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Tresvant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7750 WISCONSIN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INTERNATIONAL INC /MD/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2"/>
        <w:gridCol w:w="903"/>
        <w:gridCol w:w="773"/>
        <w:gridCol w:w="600"/>
        <w:gridCol w:w="346"/>
        <w:gridCol w:w="796"/>
        <w:gridCol w:w="492"/>
        <w:gridCol w:w="838"/>
        <w:gridCol w:w="1153"/>
        <w:gridCol w:w="991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Stock-Dir. Def. Stock Comp Plan-1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670</w:t>
            </w:r>
          </w:p>
        </w:tc>
        <w:tc>
          <w:tcPr>
            <w:tcW w:w="4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will vest on a daily pro-rata basis over the twelve (12) month period following the grant and be distributed following termination of service as a Board member.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P.C.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3896" TargetMode="External"/><Relationship Id="rId5" Type="http://schemas.openxmlformats.org/officeDocument/2006/relationships/hyperlink" Target="http://www.sec.gov/cgi-bin/browse-edgar?action=getcompany&amp;CIK=00010482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3214</Characters>
  <CharactersWithSpaces>3748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