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39"/>
        <w:spacing w:after="0"/>
        <w:rPr>
          <w:sz w:val="20"/>
          <w:szCs w:val="20"/>
          <w:color w:val="auto"/>
        </w:rPr>
      </w:pPr>
      <w:r>
        <w:rPr>
          <w:rFonts w:ascii="Arial" w:cs="Arial" w:eastAsia="Arial" w:hAnsi="Arial"/>
          <w:sz w:val="20"/>
          <w:szCs w:val="20"/>
          <w:b w:val="1"/>
          <w:bCs w:val="1"/>
          <w:color w:val="auto"/>
        </w:rPr>
        <w:t>Washington, D.C. 20549</w:t>
      </w:r>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10-K</w:t>
      </w:r>
    </w:p>
    <w:p>
      <w:pPr>
        <w:spacing w:after="0" w:line="134"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95"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For the Fiscal Year Ended December 31, 2020</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or</w:t>
      </w:r>
    </w:p>
    <w:p>
      <w:pPr>
        <w:spacing w:after="0" w:line="118"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8" w:lineRule="exact"/>
        <w:rPr>
          <w:sz w:val="24"/>
          <w:szCs w:val="24"/>
          <w:color w:val="auto"/>
        </w:rPr>
      </w:pPr>
    </w:p>
    <w:p>
      <w:pPr>
        <w:ind w:left="396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Commission File No. 1-13881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635</wp:posOffset>
            </wp:positionV>
            <wp:extent cx="1200150"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0"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MARRIOTT INTERNATIONAL, INC.</w:t>
      </w:r>
    </w:p>
    <w:p>
      <w:pPr>
        <w:spacing w:after="0" w:line="26"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100" w:type="dxa"/>
            <w:vAlign w:val="bottom"/>
          </w:tcPr>
          <w:p>
            <w:pPr>
              <w:spacing w:after="0"/>
              <w:rPr>
                <w:sz w:val="18"/>
                <w:szCs w:val="18"/>
                <w:color w:val="auto"/>
              </w:rPr>
            </w:pPr>
          </w:p>
        </w:tc>
        <w:tc>
          <w:tcPr>
            <w:tcW w:w="3520" w:type="dxa"/>
            <w:vAlign w:val="bottom"/>
            <w:gridSpan w:val="2"/>
          </w:tcPr>
          <w:p>
            <w:pPr>
              <w:jc w:val="center"/>
              <w:ind w:left="1919"/>
              <w:spacing w:after="0"/>
              <w:rPr>
                <w:sz w:val="20"/>
                <w:szCs w:val="20"/>
                <w:color w:val="auto"/>
              </w:rPr>
            </w:pPr>
            <w:r>
              <w:rPr>
                <w:rFonts w:ascii="Arial" w:cs="Arial" w:eastAsia="Arial" w:hAnsi="Arial"/>
                <w:sz w:val="16"/>
                <w:szCs w:val="16"/>
                <w:b w:val="1"/>
                <w:bCs w:val="1"/>
                <w:color w:val="auto"/>
                <w:w w:val="91"/>
              </w:rPr>
              <w:t>Delaware</w:t>
            </w:r>
          </w:p>
        </w:tc>
        <w:tc>
          <w:tcPr>
            <w:tcW w:w="1760" w:type="dxa"/>
            <w:vAlign w:val="bottom"/>
          </w:tcPr>
          <w:p>
            <w:pPr>
              <w:spacing w:after="0"/>
              <w:rPr>
                <w:sz w:val="18"/>
                <w:szCs w:val="18"/>
                <w:color w:val="auto"/>
              </w:rPr>
            </w:pPr>
          </w:p>
        </w:tc>
        <w:tc>
          <w:tcPr>
            <w:tcW w:w="3760" w:type="dxa"/>
            <w:vAlign w:val="bottom"/>
            <w:gridSpan w:val="2"/>
          </w:tcPr>
          <w:p>
            <w:pPr>
              <w:jc w:val="right"/>
              <w:ind w:right="2099"/>
              <w:spacing w:after="0"/>
              <w:rPr>
                <w:sz w:val="20"/>
                <w:szCs w:val="20"/>
                <w:color w:val="auto"/>
              </w:rPr>
            </w:pPr>
            <w:r>
              <w:rPr>
                <w:rFonts w:ascii="Arial" w:cs="Arial" w:eastAsia="Arial" w:hAnsi="Arial"/>
                <w:sz w:val="16"/>
                <w:szCs w:val="16"/>
                <w:b w:val="1"/>
                <w:bCs w:val="1"/>
                <w:color w:val="auto"/>
              </w:rPr>
              <w:t>52-2055918</w:t>
            </w:r>
          </w:p>
        </w:tc>
      </w:tr>
      <w:tr>
        <w:trPr>
          <w:trHeight w:val="168"/>
        </w:trPr>
        <w:tc>
          <w:tcPr>
            <w:tcW w:w="1100" w:type="dxa"/>
            <w:vAlign w:val="bottom"/>
          </w:tcPr>
          <w:p>
            <w:pPr>
              <w:spacing w:after="0"/>
              <w:rPr>
                <w:sz w:val="14"/>
                <w:szCs w:val="14"/>
                <w:color w:val="auto"/>
              </w:rPr>
            </w:pPr>
          </w:p>
        </w:tc>
        <w:tc>
          <w:tcPr>
            <w:tcW w:w="5280" w:type="dxa"/>
            <w:vAlign w:val="bottom"/>
            <w:gridSpan w:val="3"/>
          </w:tcPr>
          <w:p>
            <w:pPr>
              <w:jc w:val="center"/>
              <w:ind w:left="179"/>
              <w:spacing w:after="0" w:line="168" w:lineRule="exact"/>
              <w:rPr>
                <w:sz w:val="20"/>
                <w:szCs w:val="20"/>
                <w:color w:val="auto"/>
              </w:rPr>
            </w:pPr>
            <w:r>
              <w:rPr>
                <w:rFonts w:ascii="Arial" w:cs="Arial" w:eastAsia="Arial" w:hAnsi="Arial"/>
                <w:sz w:val="16"/>
                <w:szCs w:val="16"/>
                <w:b w:val="1"/>
                <w:bCs w:val="1"/>
                <w:color w:val="auto"/>
                <w:w w:val="91"/>
              </w:rPr>
              <w:t>(State or other jurisdiction of</w:t>
            </w:r>
          </w:p>
        </w:tc>
        <w:tc>
          <w:tcPr>
            <w:tcW w:w="3760" w:type="dxa"/>
            <w:vAlign w:val="bottom"/>
            <w:gridSpan w:val="2"/>
          </w:tcPr>
          <w:p>
            <w:pPr>
              <w:jc w:val="center"/>
              <w:ind w:right="1279"/>
              <w:spacing w:after="0" w:line="168" w:lineRule="exact"/>
              <w:rPr>
                <w:sz w:val="20"/>
                <w:szCs w:val="20"/>
                <w:color w:val="auto"/>
              </w:rPr>
            </w:pPr>
            <w:r>
              <w:rPr>
                <w:rFonts w:ascii="Arial" w:cs="Arial" w:eastAsia="Arial" w:hAnsi="Arial"/>
                <w:sz w:val="16"/>
                <w:szCs w:val="16"/>
                <w:b w:val="1"/>
                <w:bCs w:val="1"/>
                <w:color w:val="auto"/>
                <w:w w:val="95"/>
              </w:rPr>
              <w:t>(IRS Employer</w:t>
            </w:r>
          </w:p>
        </w:tc>
      </w:tr>
      <w:tr>
        <w:trPr>
          <w:trHeight w:val="210"/>
        </w:trPr>
        <w:tc>
          <w:tcPr>
            <w:tcW w:w="1100" w:type="dxa"/>
            <w:vAlign w:val="bottom"/>
          </w:tcPr>
          <w:p>
            <w:pPr>
              <w:spacing w:after="0"/>
              <w:rPr>
                <w:sz w:val="18"/>
                <w:szCs w:val="18"/>
                <w:color w:val="auto"/>
              </w:rPr>
            </w:pPr>
          </w:p>
        </w:tc>
        <w:tc>
          <w:tcPr>
            <w:tcW w:w="5280" w:type="dxa"/>
            <w:vAlign w:val="bottom"/>
            <w:gridSpan w:val="3"/>
          </w:tcPr>
          <w:p>
            <w:pPr>
              <w:jc w:val="center"/>
              <w:ind w:left="159"/>
              <w:spacing w:after="0"/>
              <w:rPr>
                <w:sz w:val="20"/>
                <w:szCs w:val="20"/>
                <w:color w:val="auto"/>
              </w:rPr>
            </w:pPr>
            <w:r>
              <w:rPr>
                <w:rFonts w:ascii="Arial" w:cs="Arial" w:eastAsia="Arial" w:hAnsi="Arial"/>
                <w:sz w:val="16"/>
                <w:szCs w:val="16"/>
                <w:b w:val="1"/>
                <w:bCs w:val="1"/>
                <w:color w:val="auto"/>
                <w:w w:val="92"/>
              </w:rPr>
              <w:t>incorporation or organization)</w:t>
            </w:r>
          </w:p>
        </w:tc>
        <w:tc>
          <w:tcPr>
            <w:tcW w:w="3760" w:type="dxa"/>
            <w:vAlign w:val="bottom"/>
            <w:gridSpan w:val="2"/>
          </w:tcPr>
          <w:p>
            <w:pPr>
              <w:jc w:val="center"/>
              <w:ind w:right="1299"/>
              <w:spacing w:after="0"/>
              <w:rPr>
                <w:sz w:val="20"/>
                <w:szCs w:val="20"/>
                <w:color w:val="auto"/>
              </w:rPr>
            </w:pPr>
            <w:r>
              <w:rPr>
                <w:rFonts w:ascii="Arial" w:cs="Arial" w:eastAsia="Arial" w:hAnsi="Arial"/>
                <w:sz w:val="16"/>
                <w:szCs w:val="16"/>
                <w:b w:val="1"/>
                <w:bCs w:val="1"/>
                <w:color w:val="auto"/>
                <w:w w:val="93"/>
              </w:rPr>
              <w:t>Identification No.)</w:t>
            </w:r>
          </w:p>
        </w:tc>
      </w:tr>
      <w:tr>
        <w:trPr>
          <w:trHeight w:val="270"/>
        </w:trPr>
        <w:tc>
          <w:tcPr>
            <w:tcW w:w="1100" w:type="dxa"/>
            <w:vAlign w:val="bottom"/>
          </w:tcPr>
          <w:p>
            <w:pPr>
              <w:spacing w:after="0"/>
              <w:rPr>
                <w:sz w:val="23"/>
                <w:szCs w:val="23"/>
                <w:color w:val="auto"/>
              </w:rPr>
            </w:pPr>
          </w:p>
        </w:tc>
        <w:tc>
          <w:tcPr>
            <w:tcW w:w="3520" w:type="dxa"/>
            <w:vAlign w:val="bottom"/>
            <w:gridSpan w:val="2"/>
          </w:tcPr>
          <w:p>
            <w:pPr>
              <w:ind w:left="1020"/>
              <w:spacing w:after="0"/>
              <w:rPr>
                <w:sz w:val="20"/>
                <w:szCs w:val="20"/>
                <w:color w:val="auto"/>
              </w:rPr>
            </w:pPr>
            <w:r>
              <w:rPr>
                <w:rFonts w:ascii="Arial" w:cs="Arial" w:eastAsia="Arial" w:hAnsi="Arial"/>
                <w:sz w:val="16"/>
                <w:szCs w:val="16"/>
                <w:b w:val="1"/>
                <w:bCs w:val="1"/>
                <w:color w:val="auto"/>
                <w:w w:val="97"/>
              </w:rPr>
              <w:t>10400 Fernwood Road   Bethesda</w:t>
            </w:r>
          </w:p>
        </w:tc>
        <w:tc>
          <w:tcPr>
            <w:tcW w:w="1760" w:type="dxa"/>
            <w:vAlign w:val="bottom"/>
          </w:tcPr>
          <w:p>
            <w:pPr>
              <w:ind w:left="160"/>
              <w:spacing w:after="0"/>
              <w:rPr>
                <w:sz w:val="20"/>
                <w:szCs w:val="20"/>
                <w:color w:val="auto"/>
              </w:rPr>
            </w:pPr>
            <w:r>
              <w:rPr>
                <w:rFonts w:ascii="Arial" w:cs="Arial" w:eastAsia="Arial" w:hAnsi="Arial"/>
                <w:sz w:val="16"/>
                <w:szCs w:val="16"/>
                <w:b w:val="1"/>
                <w:bCs w:val="1"/>
                <w:color w:val="auto"/>
              </w:rPr>
              <w:t>Maryland</w:t>
            </w:r>
          </w:p>
        </w:tc>
        <w:tc>
          <w:tcPr>
            <w:tcW w:w="3760" w:type="dxa"/>
            <w:vAlign w:val="bottom"/>
            <w:gridSpan w:val="2"/>
          </w:tcPr>
          <w:p>
            <w:pPr>
              <w:jc w:val="right"/>
              <w:ind w:right="2279"/>
              <w:spacing w:after="0"/>
              <w:rPr>
                <w:sz w:val="20"/>
                <w:szCs w:val="20"/>
                <w:color w:val="auto"/>
              </w:rPr>
            </w:pPr>
            <w:r>
              <w:rPr>
                <w:rFonts w:ascii="Arial" w:cs="Arial" w:eastAsia="Arial" w:hAnsi="Arial"/>
                <w:sz w:val="16"/>
                <w:szCs w:val="16"/>
                <w:b w:val="1"/>
                <w:bCs w:val="1"/>
                <w:color w:val="auto"/>
              </w:rPr>
              <w:t>20817</w:t>
            </w:r>
          </w:p>
        </w:tc>
      </w:tr>
      <w:tr>
        <w:trPr>
          <w:trHeight w:val="216"/>
        </w:trPr>
        <w:tc>
          <w:tcPr>
            <w:tcW w:w="1100" w:type="dxa"/>
            <w:vAlign w:val="bottom"/>
          </w:tcPr>
          <w:p>
            <w:pPr>
              <w:spacing w:after="0"/>
              <w:rPr>
                <w:sz w:val="18"/>
                <w:szCs w:val="18"/>
                <w:color w:val="auto"/>
              </w:rPr>
            </w:pPr>
          </w:p>
        </w:tc>
        <w:tc>
          <w:tcPr>
            <w:tcW w:w="5280" w:type="dxa"/>
            <w:vAlign w:val="bottom"/>
            <w:gridSpan w:val="3"/>
          </w:tcPr>
          <w:p>
            <w:pPr>
              <w:jc w:val="center"/>
              <w:ind w:left="159"/>
              <w:spacing w:after="0"/>
              <w:rPr>
                <w:sz w:val="20"/>
                <w:szCs w:val="20"/>
                <w:color w:val="auto"/>
              </w:rPr>
            </w:pPr>
            <w:r>
              <w:rPr>
                <w:rFonts w:ascii="Arial" w:cs="Arial" w:eastAsia="Arial" w:hAnsi="Arial"/>
                <w:sz w:val="16"/>
                <w:szCs w:val="16"/>
                <w:b w:val="1"/>
                <w:bCs w:val="1"/>
                <w:color w:val="auto"/>
                <w:w w:val="90"/>
              </w:rPr>
              <w:t>(Address of Principal Executive Offices)</w:t>
            </w:r>
          </w:p>
        </w:tc>
        <w:tc>
          <w:tcPr>
            <w:tcW w:w="3760" w:type="dxa"/>
            <w:vAlign w:val="bottom"/>
            <w:gridSpan w:val="2"/>
          </w:tcPr>
          <w:p>
            <w:pPr>
              <w:jc w:val="center"/>
              <w:ind w:right="1279"/>
              <w:spacing w:after="0"/>
              <w:rPr>
                <w:sz w:val="20"/>
                <w:szCs w:val="20"/>
                <w:color w:val="auto"/>
              </w:rPr>
            </w:pPr>
            <w:r>
              <w:rPr>
                <w:rFonts w:ascii="Arial" w:cs="Arial" w:eastAsia="Arial" w:hAnsi="Arial"/>
                <w:sz w:val="16"/>
                <w:szCs w:val="16"/>
                <w:b w:val="1"/>
                <w:bCs w:val="1"/>
                <w:color w:val="auto"/>
                <w:w w:val="96"/>
              </w:rPr>
              <w:t>(Zip Code)</w:t>
            </w:r>
          </w:p>
        </w:tc>
      </w:tr>
      <w:tr>
        <w:trPr>
          <w:trHeight w:val="519"/>
        </w:trPr>
        <w:tc>
          <w:tcPr>
            <w:tcW w:w="1100" w:type="dxa"/>
            <w:vAlign w:val="bottom"/>
          </w:tcPr>
          <w:p>
            <w:pPr>
              <w:spacing w:after="0"/>
              <w:rPr>
                <w:sz w:val="24"/>
                <w:szCs w:val="24"/>
                <w:color w:val="auto"/>
              </w:rPr>
            </w:pPr>
          </w:p>
        </w:tc>
        <w:tc>
          <w:tcPr>
            <w:tcW w:w="904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Registrant’s Telephone Number, Including Area Code (301) 380-3000</w:t>
            </w:r>
          </w:p>
        </w:tc>
      </w:tr>
      <w:tr>
        <w:trPr>
          <w:trHeight w:val="210"/>
        </w:trPr>
        <w:tc>
          <w:tcPr>
            <w:tcW w:w="1100" w:type="dxa"/>
            <w:vAlign w:val="bottom"/>
          </w:tcPr>
          <w:p>
            <w:pPr>
              <w:spacing w:after="0"/>
              <w:rPr>
                <w:sz w:val="18"/>
                <w:szCs w:val="18"/>
                <w:color w:val="auto"/>
              </w:rPr>
            </w:pPr>
          </w:p>
        </w:tc>
        <w:tc>
          <w:tcPr>
            <w:tcW w:w="6660" w:type="dxa"/>
            <w:vAlign w:val="bottom"/>
            <w:gridSpan w:val="4"/>
          </w:tcPr>
          <w:p>
            <w:pPr>
              <w:jc w:val="center"/>
              <w:ind w:left="229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2380" w:type="dxa"/>
            <w:vAlign w:val="bottom"/>
          </w:tcPr>
          <w:p>
            <w:pPr>
              <w:spacing w:after="0"/>
              <w:rPr>
                <w:sz w:val="18"/>
                <w:szCs w:val="18"/>
                <w:color w:val="auto"/>
              </w:rPr>
            </w:pPr>
          </w:p>
        </w:tc>
      </w:tr>
      <w:tr>
        <w:trPr>
          <w:trHeight w:val="314"/>
        </w:trPr>
        <w:tc>
          <w:tcPr>
            <w:tcW w:w="1100" w:type="dxa"/>
            <w:vAlign w:val="bottom"/>
          </w:tcPr>
          <w:p>
            <w:pPr>
              <w:spacing w:after="0"/>
              <w:rPr>
                <w:sz w:val="24"/>
                <w:szCs w:val="24"/>
                <w:color w:val="auto"/>
              </w:rPr>
            </w:pPr>
          </w:p>
        </w:tc>
        <w:tc>
          <w:tcPr>
            <w:tcW w:w="3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Title of Each Class</w:t>
            </w:r>
          </w:p>
        </w:tc>
        <w:tc>
          <w:tcPr>
            <w:tcW w:w="176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Trading Symbol(s)</w:t>
            </w:r>
          </w:p>
        </w:tc>
        <w:tc>
          <w:tcPr>
            <w:tcW w:w="376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07"/>
        </w:trPr>
        <w:tc>
          <w:tcPr>
            <w:tcW w:w="1100" w:type="dxa"/>
            <w:vAlign w:val="bottom"/>
          </w:tcPr>
          <w:p>
            <w:pPr>
              <w:spacing w:after="0"/>
              <w:rPr>
                <w:sz w:val="17"/>
                <w:szCs w:val="17"/>
                <w:color w:val="auto"/>
              </w:rPr>
            </w:pP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Class A Common Stock, $0.01 par value</w:t>
            </w:r>
          </w:p>
        </w:tc>
        <w:tc>
          <w:tcPr>
            <w:tcW w:w="280" w:type="dxa"/>
            <w:vAlign w:val="bottom"/>
          </w:tcPr>
          <w:p>
            <w:pPr>
              <w:spacing w:after="0"/>
              <w:rPr>
                <w:sz w:val="17"/>
                <w:szCs w:val="17"/>
                <w:color w:val="auto"/>
              </w:rPr>
            </w:pPr>
          </w:p>
        </w:tc>
        <w:tc>
          <w:tcPr>
            <w:tcW w:w="1760" w:type="dxa"/>
            <w:vAlign w:val="bottom"/>
            <w:tcBorders>
              <w:top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MAR</w:t>
            </w:r>
          </w:p>
        </w:tc>
        <w:tc>
          <w:tcPr>
            <w:tcW w:w="376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Nasdaq Global Select Market</w:t>
            </w:r>
          </w:p>
        </w:tc>
      </w:tr>
      <w:tr>
        <w:trPr>
          <w:trHeight w:val="540"/>
        </w:trPr>
        <w:tc>
          <w:tcPr>
            <w:tcW w:w="462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12(g) of the Act: NONE</w:t>
            </w:r>
          </w:p>
        </w:tc>
        <w:tc>
          <w:tcPr>
            <w:tcW w:w="1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50"/>
        </w:trPr>
        <w:tc>
          <w:tcPr>
            <w:tcW w:w="7760" w:type="dxa"/>
            <w:vAlign w:val="bottom"/>
            <w:gridSpan w:val="5"/>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2380" w:type="dxa"/>
            <w:vAlign w:val="bottom"/>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tc>
      </w:tr>
      <w:tr>
        <w:trPr>
          <w:trHeight w:val="432"/>
        </w:trPr>
        <w:tc>
          <w:tcPr>
            <w:tcW w:w="7760" w:type="dxa"/>
            <w:vAlign w:val="bottom"/>
            <w:gridSpan w:val="5"/>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238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Yes o   No </w:t>
            </w:r>
            <w:r>
              <w:rPr>
                <w:rFonts w:ascii="MS PGothic" w:cs="MS PGothic" w:eastAsia="MS PGothic" w:hAnsi="MS PGothic"/>
                <w:sz w:val="16"/>
                <w:szCs w:val="16"/>
                <w:color w:val="auto"/>
              </w:rPr>
              <w:t>☒</w:t>
            </w:r>
          </w:p>
        </w:tc>
      </w:tr>
    </w:tbl>
    <w:p>
      <w:pPr>
        <w:spacing w:after="0" w:line="208" w:lineRule="exact"/>
        <w:rPr>
          <w:sz w:val="24"/>
          <w:szCs w:val="24"/>
          <w:color w:val="auto"/>
        </w:rPr>
      </w:pPr>
    </w:p>
    <w:p>
      <w:pPr>
        <w:ind w:right="26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210" w:lineRule="exact"/>
        <w:rPr>
          <w:sz w:val="24"/>
          <w:szCs w:val="24"/>
          <w:color w:val="auto"/>
        </w:rPr>
      </w:pPr>
    </w:p>
    <w:p>
      <w:pPr>
        <w:ind w:right="12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208" w:lineRule="exact"/>
        <w:rPr>
          <w:sz w:val="24"/>
          <w:szCs w:val="24"/>
          <w:color w:val="auto"/>
        </w:rPr>
      </w:pPr>
    </w:p>
    <w:p>
      <w:pPr>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2120" w:type="dxa"/>
            <w:vAlign w:val="bottom"/>
            <w:vMerge w:val="restart"/>
          </w:tcPr>
          <w:p>
            <w:pPr>
              <w:spacing w:after="0"/>
              <w:rPr>
                <w:sz w:val="20"/>
                <w:szCs w:val="20"/>
                <w:color w:val="auto"/>
              </w:rPr>
            </w:pPr>
            <w:r>
              <w:rPr>
                <w:rFonts w:ascii="Arial" w:cs="Arial" w:eastAsia="Arial" w:hAnsi="Arial"/>
                <w:sz w:val="16"/>
                <w:szCs w:val="16"/>
                <w:color w:val="auto"/>
              </w:rPr>
              <w:t>Large accelerated filer</w:t>
            </w:r>
          </w:p>
        </w:tc>
        <w:tc>
          <w:tcPr>
            <w:tcW w:w="2820" w:type="dxa"/>
            <w:vAlign w:val="bottom"/>
          </w:tcPr>
          <w:p>
            <w:pPr>
              <w:spacing w:after="0"/>
              <w:rPr>
                <w:sz w:val="17"/>
                <w:szCs w:val="17"/>
                <w:color w:val="auto"/>
              </w:rPr>
            </w:pPr>
          </w:p>
        </w:tc>
        <w:tc>
          <w:tcPr>
            <w:tcW w:w="4300" w:type="dxa"/>
            <w:vAlign w:val="bottom"/>
          </w:tcPr>
          <w:p>
            <w:pPr>
              <w:ind w:left="2020"/>
              <w:spacing w:after="0"/>
              <w:rPr>
                <w:sz w:val="20"/>
                <w:szCs w:val="20"/>
                <w:color w:val="auto"/>
              </w:rPr>
            </w:pPr>
            <w:r>
              <w:rPr>
                <w:rFonts w:ascii="Arial" w:cs="Arial" w:eastAsia="Arial" w:hAnsi="Arial"/>
                <w:sz w:val="16"/>
                <w:szCs w:val="16"/>
                <w:color w:val="auto"/>
              </w:rPr>
              <w:t>Accelerated filer</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120" w:type="dxa"/>
            <w:vAlign w:val="bottom"/>
            <w:vMerge w:val="continue"/>
          </w:tcPr>
          <w:p>
            <w:pPr>
              <w:spacing w:after="0"/>
              <w:rPr>
                <w:sz w:val="11"/>
                <w:szCs w:val="11"/>
                <w:color w:val="auto"/>
              </w:rPr>
            </w:pPr>
          </w:p>
        </w:tc>
        <w:tc>
          <w:tcPr>
            <w:tcW w:w="2820" w:type="dxa"/>
            <w:vAlign w:val="bottom"/>
            <w:vMerge w:val="restart"/>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spacing w:after="0"/>
              <w:rPr>
                <w:sz w:val="11"/>
                <w:szCs w:val="11"/>
                <w:color w:val="auto"/>
              </w:rPr>
            </w:pPr>
          </w:p>
        </w:tc>
        <w:tc>
          <w:tcPr>
            <w:tcW w:w="680" w:type="dxa"/>
            <w:vAlign w:val="bottom"/>
            <w:vMerge w:val="restart"/>
          </w:tcPr>
          <w:p>
            <w:pPr>
              <w:ind w:left="520"/>
              <w:spacing w:after="0"/>
              <w:rPr>
                <w:sz w:val="20"/>
                <w:szCs w:val="20"/>
                <w:color w:val="auto"/>
              </w:rPr>
            </w:pPr>
            <w:r>
              <w:rPr>
                <w:rFonts w:ascii="Arial" w:cs="Arial" w:eastAsia="Arial" w:hAnsi="Arial"/>
                <w:sz w:val="16"/>
                <w:szCs w:val="16"/>
                <w:color w:val="auto"/>
              </w:rPr>
              <w:t>o</w:t>
            </w:r>
          </w:p>
        </w:tc>
        <w:tc>
          <w:tcPr>
            <w:tcW w:w="0" w:type="dxa"/>
            <w:vAlign w:val="bottom"/>
          </w:tcPr>
          <w:p>
            <w:pPr>
              <w:spacing w:after="0"/>
              <w:rPr>
                <w:sz w:val="1"/>
                <w:szCs w:val="1"/>
                <w:color w:val="auto"/>
              </w:rPr>
            </w:pPr>
          </w:p>
        </w:tc>
      </w:tr>
      <w:tr>
        <w:trPr>
          <w:trHeight w:val="128"/>
        </w:trPr>
        <w:tc>
          <w:tcPr>
            <w:tcW w:w="2120" w:type="dxa"/>
            <w:vAlign w:val="bottom"/>
          </w:tcPr>
          <w:p>
            <w:pPr>
              <w:spacing w:after="0"/>
              <w:rPr>
                <w:sz w:val="11"/>
                <w:szCs w:val="11"/>
                <w:color w:val="auto"/>
              </w:rPr>
            </w:pPr>
          </w:p>
        </w:tc>
        <w:tc>
          <w:tcPr>
            <w:tcW w:w="2820" w:type="dxa"/>
            <w:vAlign w:val="bottom"/>
            <w:vMerge w:val="continue"/>
          </w:tcPr>
          <w:p>
            <w:pPr>
              <w:spacing w:after="0"/>
              <w:rPr>
                <w:sz w:val="11"/>
                <w:szCs w:val="11"/>
                <w:color w:val="auto"/>
              </w:rPr>
            </w:pPr>
          </w:p>
        </w:tc>
        <w:tc>
          <w:tcPr>
            <w:tcW w:w="43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6"/>
                <w:szCs w:val="16"/>
                <w:color w:val="auto"/>
              </w:rPr>
              <w:t>Non-accelerated filer</w:t>
            </w:r>
          </w:p>
        </w:tc>
        <w:tc>
          <w:tcPr>
            <w:tcW w:w="2820" w:type="dxa"/>
            <w:vAlign w:val="bottom"/>
          </w:tcPr>
          <w:p>
            <w:pPr>
              <w:ind w:left="660"/>
              <w:spacing w:after="0"/>
              <w:rPr>
                <w:sz w:val="20"/>
                <w:szCs w:val="20"/>
                <w:color w:val="auto"/>
              </w:rPr>
            </w:pPr>
            <w:r>
              <w:rPr>
                <w:rFonts w:ascii="Arial" w:cs="Arial" w:eastAsia="Arial" w:hAnsi="Arial"/>
                <w:sz w:val="16"/>
                <w:szCs w:val="16"/>
                <w:color w:val="auto"/>
              </w:rPr>
              <w:t>o</w:t>
            </w:r>
          </w:p>
        </w:tc>
        <w:tc>
          <w:tcPr>
            <w:tcW w:w="4300" w:type="dxa"/>
            <w:vAlign w:val="bottom"/>
          </w:tcPr>
          <w:p>
            <w:pPr>
              <w:ind w:left="2020"/>
              <w:spacing w:after="0"/>
              <w:rPr>
                <w:sz w:val="20"/>
                <w:szCs w:val="20"/>
                <w:color w:val="auto"/>
              </w:rPr>
            </w:pPr>
            <w:r>
              <w:rPr>
                <w:rFonts w:ascii="Arial" w:cs="Arial" w:eastAsia="Arial" w:hAnsi="Arial"/>
                <w:sz w:val="16"/>
                <w:szCs w:val="16"/>
                <w:color w:val="auto"/>
              </w:rPr>
              <w:t>Smaller reporting company</w:t>
            </w:r>
          </w:p>
        </w:tc>
        <w:tc>
          <w:tcPr>
            <w:tcW w:w="6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54"/>
        </w:trPr>
        <w:tc>
          <w:tcPr>
            <w:tcW w:w="21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4300" w:type="dxa"/>
            <w:vAlign w:val="bottom"/>
          </w:tcPr>
          <w:p>
            <w:pPr>
              <w:ind w:left="2020"/>
              <w:spacing w:after="0"/>
              <w:rPr>
                <w:sz w:val="20"/>
                <w:szCs w:val="20"/>
                <w:color w:val="auto"/>
              </w:rPr>
            </w:pPr>
            <w:r>
              <w:rPr>
                <w:rFonts w:ascii="Arial" w:cs="Arial" w:eastAsia="Arial" w:hAnsi="Arial"/>
                <w:sz w:val="16"/>
                <w:szCs w:val="16"/>
                <w:color w:val="auto"/>
              </w:rPr>
              <w:t>Emerging growth company</w:t>
            </w:r>
          </w:p>
        </w:tc>
        <w:tc>
          <w:tcPr>
            <w:tcW w:w="6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bl>
    <w:p>
      <w:pPr>
        <w:ind w:left="20" w:right="440"/>
        <w:spacing w:after="0" w:line="234"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78" w:lineRule="exact"/>
        <w:rPr>
          <w:sz w:val="24"/>
          <w:szCs w:val="24"/>
          <w:color w:val="auto"/>
        </w:rPr>
      </w:pPr>
    </w:p>
    <w:p>
      <w:pPr>
        <w:ind w:right="100"/>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78" w:lineRule="exact"/>
        <w:rPr>
          <w:sz w:val="24"/>
          <w:szCs w:val="24"/>
          <w:color w:val="auto"/>
        </w:rPr>
      </w:pPr>
    </w:p>
    <w:p>
      <w:pPr>
        <w:spacing w:after="0" w:line="184" w:lineRule="exact"/>
        <w:tabs>
          <w:tab w:leader="none" w:pos="6820" w:val="left"/>
          <w:tab w:leader="none" w:pos="74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49" w:lineRule="exact"/>
        <w:rPr>
          <w:sz w:val="24"/>
          <w:szCs w:val="24"/>
          <w:color w:val="auto"/>
        </w:rPr>
      </w:pPr>
    </w:p>
    <w:p>
      <w:pPr>
        <w:spacing w:after="0"/>
        <w:rPr>
          <w:sz w:val="20"/>
          <w:szCs w:val="20"/>
          <w:color w:val="auto"/>
        </w:rPr>
      </w:pPr>
      <w:r>
        <w:rPr>
          <w:rFonts w:ascii="Arial" w:cs="Arial" w:eastAsia="Arial" w:hAnsi="Arial"/>
          <w:sz w:val="16"/>
          <w:szCs w:val="16"/>
          <w:color w:val="auto"/>
        </w:rPr>
        <w:t>The aggregate market value of shares of common stock held by non-affiliates at June 30, 2020, was $23,156,431,539.</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There were 324,414,150 shares of Class A Common Stock, par value $0.01 per share, outstanding at February 10, 2021.</w:t>
      </w:r>
    </w:p>
    <w:p>
      <w:pPr>
        <w:spacing w:after="0" w:line="230"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Portions of the Proxy Statement prepared for the 2021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33" w:right="45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40"/>
        <w:spacing w:after="0"/>
        <w:rPr>
          <w:rFonts w:ascii="Arial" w:cs="Arial" w:eastAsia="Arial" w:hAnsi="Arial"/>
          <w:sz w:val="18"/>
          <w:szCs w:val="18"/>
          <w:color w:val="0000FF"/>
        </w:rPr>
      </w:pPr>
      <w:hyperlink w:anchor="page3">
        <w:r>
          <w:rPr>
            <w:rFonts w:ascii="Arial" w:cs="Arial" w:eastAsia="Arial" w:hAnsi="Arial"/>
            <w:sz w:val="18"/>
            <w:szCs w:val="18"/>
            <w:u w:val="single" w:color="auto"/>
            <w:color w:val="0000FF"/>
          </w:rPr>
          <w:t>Part I</w:t>
        </w:r>
        <w:r>
          <w:rPr>
            <w:rFonts w:ascii="Arial" w:cs="Arial" w:eastAsia="Arial" w:hAnsi="Arial"/>
            <w:sz w:val="18"/>
            <w:szCs w:val="18"/>
            <w:color w:val="0000FF"/>
          </w:rPr>
          <w:t>.</w:t>
        </w:r>
      </w:hyperlink>
    </w:p>
    <w:p>
      <w:pPr>
        <w:spacing w:after="0" w:line="104" w:lineRule="exact"/>
        <w:rPr>
          <w:sz w:val="20"/>
          <w:szCs w:val="20"/>
          <w:color w:val="auto"/>
        </w:rPr>
      </w:pPr>
    </w:p>
    <w:p>
      <w:pPr>
        <w:ind w:left="13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w:t>
        </w:r>
      </w:hyperlink>
    </w:p>
    <w:p>
      <w:pPr>
        <w:spacing w:after="0" w:line="50" w:lineRule="exact"/>
        <w:rPr>
          <w:sz w:val="20"/>
          <w:szCs w:val="20"/>
          <w:color w:val="auto"/>
        </w:rPr>
      </w:pPr>
    </w:p>
    <w:p>
      <w:pPr>
        <w:ind w:left="1360"/>
        <w:spacing w:after="0"/>
        <w:rPr>
          <w:rFonts w:ascii="Arial" w:cs="Arial" w:eastAsia="Arial" w:hAnsi="Arial"/>
          <w:sz w:val="17"/>
          <w:szCs w:val="17"/>
          <w:u w:val="single" w:color="auto"/>
          <w:color w:val="0000FF"/>
        </w:rPr>
      </w:pPr>
      <w:hyperlink w:anchor="page11">
        <w:r>
          <w:rPr>
            <w:rFonts w:ascii="Arial" w:cs="Arial" w:eastAsia="Arial" w:hAnsi="Arial"/>
            <w:sz w:val="17"/>
            <w:szCs w:val="17"/>
            <w:u w:val="single" w:color="auto"/>
            <w:color w:val="0000FF"/>
          </w:rPr>
          <w:t>Item 1A.</w:t>
        </w:r>
      </w:hyperlink>
    </w:p>
    <w:p>
      <w:pPr>
        <w:spacing w:after="0" w:line="61" w:lineRule="exact"/>
        <w:rPr>
          <w:sz w:val="20"/>
          <w:szCs w:val="20"/>
          <w:color w:val="auto"/>
        </w:rPr>
      </w:pPr>
    </w:p>
    <w:p>
      <w:pPr>
        <w:ind w:left="1360"/>
        <w:spacing w:after="0"/>
        <w:rPr>
          <w:rFonts w:ascii="Arial" w:cs="Arial" w:eastAsia="Arial" w:hAnsi="Arial"/>
          <w:sz w:val="17"/>
          <w:szCs w:val="17"/>
          <w:color w:val="0000FF"/>
        </w:rPr>
      </w:pPr>
      <w:hyperlink w:anchor="page22">
        <w:r>
          <w:rPr>
            <w:rFonts w:ascii="Arial" w:cs="Arial" w:eastAsia="Arial" w:hAnsi="Arial"/>
            <w:sz w:val="17"/>
            <w:szCs w:val="17"/>
            <w:u w:val="single" w:color="auto"/>
            <w:color w:val="0000FF"/>
          </w:rPr>
          <w:t>Item 1B</w:t>
        </w:r>
        <w:r>
          <w:rPr>
            <w:rFonts w:ascii="Arial" w:cs="Arial" w:eastAsia="Arial" w:hAnsi="Arial"/>
            <w:sz w:val="17"/>
            <w:szCs w:val="17"/>
            <w:color w:val="0000FF"/>
          </w:rPr>
          <w:t>.</w:t>
        </w:r>
      </w:hyperlink>
    </w:p>
    <w:p>
      <w:pPr>
        <w:spacing w:after="0" w:line="61" w:lineRule="exact"/>
        <w:rPr>
          <w:sz w:val="20"/>
          <w:szCs w:val="20"/>
          <w:color w:val="auto"/>
        </w:rPr>
      </w:pPr>
    </w:p>
    <w:p>
      <w:pPr>
        <w:ind w:left="136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Item 2.</w:t>
        </w:r>
      </w:hyperlink>
    </w:p>
    <w:p>
      <w:pPr>
        <w:spacing w:after="0" w:line="50" w:lineRule="exact"/>
        <w:rPr>
          <w:sz w:val="20"/>
          <w:szCs w:val="20"/>
          <w:color w:val="auto"/>
        </w:rPr>
      </w:pPr>
    </w:p>
    <w:p>
      <w:pPr>
        <w:ind w:left="136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Item 3.</w:t>
        </w:r>
      </w:hyperlink>
    </w:p>
    <w:p>
      <w:pPr>
        <w:spacing w:after="0" w:line="50" w:lineRule="exact"/>
        <w:rPr>
          <w:sz w:val="20"/>
          <w:szCs w:val="20"/>
          <w:color w:val="auto"/>
        </w:rPr>
      </w:pPr>
    </w:p>
    <w:p>
      <w:pPr>
        <w:ind w:left="136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Item 4.</w:t>
        </w:r>
      </w:hyperlink>
    </w:p>
    <w:p>
      <w:pPr>
        <w:spacing w:after="0" w:line="104" w:lineRule="exact"/>
        <w:rPr>
          <w:sz w:val="20"/>
          <w:szCs w:val="20"/>
          <w:color w:val="auto"/>
        </w:rPr>
      </w:pPr>
    </w:p>
    <w:p>
      <w:pPr>
        <w:ind w:left="104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Part II.</w:t>
        </w:r>
      </w:hyperlink>
    </w:p>
    <w:p>
      <w:pPr>
        <w:spacing w:after="0" w:line="77" w:lineRule="exact"/>
        <w:rPr>
          <w:sz w:val="20"/>
          <w:szCs w:val="20"/>
          <w:color w:val="auto"/>
        </w:rPr>
      </w:pPr>
    </w:p>
    <w:p>
      <w:pPr>
        <w:ind w:left="136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Item 5.</w:t>
        </w:r>
      </w:hyperlink>
    </w:p>
    <w:p>
      <w:pPr>
        <w:spacing w:after="0" w:line="225" w:lineRule="exact"/>
        <w:rPr>
          <w:sz w:val="20"/>
          <w:szCs w:val="20"/>
          <w:color w:val="auto"/>
        </w:rPr>
      </w:pPr>
    </w:p>
    <w:p>
      <w:pPr>
        <w:ind w:left="136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Item 6.</w:t>
        </w:r>
      </w:hyperlink>
    </w:p>
    <w:p>
      <w:pPr>
        <w:spacing w:after="0" w:line="50" w:lineRule="exact"/>
        <w:rPr>
          <w:sz w:val="20"/>
          <w:szCs w:val="20"/>
          <w:color w:val="auto"/>
        </w:rPr>
      </w:pPr>
    </w:p>
    <w:p>
      <w:pPr>
        <w:ind w:left="136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Item 7.</w:t>
        </w:r>
      </w:hyperlink>
    </w:p>
    <w:p>
      <w:pPr>
        <w:spacing w:after="0" w:line="50" w:lineRule="exact"/>
        <w:rPr>
          <w:sz w:val="20"/>
          <w:szCs w:val="20"/>
          <w:color w:val="auto"/>
        </w:rPr>
      </w:pPr>
    </w:p>
    <w:p>
      <w:pPr>
        <w:ind w:left="1360"/>
        <w:spacing w:after="0"/>
        <w:rPr>
          <w:rFonts w:ascii="Arial" w:cs="Arial" w:eastAsia="Arial" w:hAnsi="Arial"/>
          <w:sz w:val="17"/>
          <w:szCs w:val="17"/>
          <w:u w:val="single" w:color="auto"/>
          <w:color w:val="0000FF"/>
        </w:rPr>
      </w:pPr>
      <w:hyperlink w:anchor="page37">
        <w:r>
          <w:rPr>
            <w:rFonts w:ascii="Arial" w:cs="Arial" w:eastAsia="Arial" w:hAnsi="Arial"/>
            <w:sz w:val="17"/>
            <w:szCs w:val="17"/>
            <w:u w:val="single" w:color="auto"/>
            <w:color w:val="0000FF"/>
          </w:rPr>
          <w:t>Item 7A.</w:t>
        </w:r>
      </w:hyperlink>
    </w:p>
    <w:p>
      <w:pPr>
        <w:spacing w:after="0" w:line="61" w:lineRule="exact"/>
        <w:rPr>
          <w:sz w:val="20"/>
          <w:szCs w:val="20"/>
          <w:color w:val="auto"/>
        </w:rPr>
      </w:pPr>
    </w:p>
    <w:p>
      <w:pPr>
        <w:ind w:left="136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8.</w:t>
        </w:r>
      </w:hyperlink>
    </w:p>
    <w:p>
      <w:pPr>
        <w:spacing w:after="0" w:line="50" w:lineRule="exact"/>
        <w:rPr>
          <w:sz w:val="20"/>
          <w:szCs w:val="20"/>
          <w:color w:val="auto"/>
        </w:rPr>
      </w:pPr>
    </w:p>
    <w:p>
      <w:pPr>
        <w:ind w:left="136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Item 9.</w:t>
        </w:r>
      </w:hyperlink>
    </w:p>
    <w:p>
      <w:pPr>
        <w:spacing w:after="0" w:line="50" w:lineRule="exact"/>
        <w:rPr>
          <w:sz w:val="20"/>
          <w:szCs w:val="20"/>
          <w:color w:val="auto"/>
        </w:rPr>
      </w:pPr>
    </w:p>
    <w:p>
      <w:pPr>
        <w:ind w:left="1360"/>
        <w:spacing w:after="0"/>
        <w:rPr>
          <w:rFonts w:ascii="Arial" w:cs="Arial" w:eastAsia="Arial" w:hAnsi="Arial"/>
          <w:sz w:val="17"/>
          <w:szCs w:val="17"/>
          <w:u w:val="single" w:color="auto"/>
          <w:color w:val="0000FF"/>
        </w:rPr>
      </w:pPr>
      <w:hyperlink w:anchor="page77">
        <w:r>
          <w:rPr>
            <w:rFonts w:ascii="Arial" w:cs="Arial" w:eastAsia="Arial" w:hAnsi="Arial"/>
            <w:sz w:val="17"/>
            <w:szCs w:val="17"/>
            <w:u w:val="single" w:color="auto"/>
            <w:color w:val="0000FF"/>
          </w:rPr>
          <w:t>Item 9A.</w:t>
        </w:r>
      </w:hyperlink>
    </w:p>
    <w:p>
      <w:pPr>
        <w:spacing w:after="0" w:line="61" w:lineRule="exact"/>
        <w:rPr>
          <w:sz w:val="20"/>
          <w:szCs w:val="20"/>
          <w:color w:val="auto"/>
        </w:rPr>
      </w:pPr>
    </w:p>
    <w:p>
      <w:pPr>
        <w:ind w:left="1360"/>
        <w:spacing w:after="0"/>
        <w:rPr>
          <w:rFonts w:ascii="Arial" w:cs="Arial" w:eastAsia="Arial" w:hAnsi="Arial"/>
          <w:sz w:val="17"/>
          <w:szCs w:val="17"/>
          <w:color w:val="0000FF"/>
        </w:rPr>
      </w:pPr>
      <w:hyperlink w:anchor="page77">
        <w:r>
          <w:rPr>
            <w:rFonts w:ascii="Arial" w:cs="Arial" w:eastAsia="Arial" w:hAnsi="Arial"/>
            <w:sz w:val="17"/>
            <w:szCs w:val="17"/>
            <w:u w:val="single" w:color="auto"/>
            <w:color w:val="0000FF"/>
          </w:rPr>
          <w:t>Item 9B</w:t>
        </w:r>
        <w:r>
          <w:rPr>
            <w:rFonts w:ascii="Arial" w:cs="Arial" w:eastAsia="Arial" w:hAnsi="Arial"/>
            <w:sz w:val="17"/>
            <w:szCs w:val="17"/>
            <w:color w:val="0000FF"/>
          </w:rPr>
          <w:t>.</w:t>
        </w:r>
      </w:hyperlink>
    </w:p>
    <w:p>
      <w:pPr>
        <w:spacing w:after="0" w:line="115" w:lineRule="exact"/>
        <w:rPr>
          <w:sz w:val="20"/>
          <w:szCs w:val="20"/>
          <w:color w:val="auto"/>
        </w:rPr>
      </w:pPr>
    </w:p>
    <w:p>
      <w:pPr>
        <w:ind w:left="104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Part III.</w:t>
        </w:r>
      </w:hyperlink>
    </w:p>
    <w:p>
      <w:pPr>
        <w:spacing w:after="0" w:line="77" w:lineRule="exact"/>
        <w:rPr>
          <w:sz w:val="20"/>
          <w:szCs w:val="20"/>
          <w:color w:val="auto"/>
        </w:rPr>
      </w:pPr>
    </w:p>
    <w:p>
      <w:pPr>
        <w:ind w:left="1360"/>
        <w:spacing w:after="0"/>
        <w:rPr>
          <w:rFonts w:ascii="Arial" w:cs="Arial" w:eastAsia="Arial" w:hAnsi="Arial"/>
          <w:sz w:val="17"/>
          <w:szCs w:val="17"/>
          <w:u w:val="single" w:color="auto"/>
          <w:color w:val="0000FF"/>
        </w:rPr>
      </w:pPr>
      <w:hyperlink w:anchor="page77">
        <w:r>
          <w:rPr>
            <w:rFonts w:ascii="Arial" w:cs="Arial" w:eastAsia="Arial" w:hAnsi="Arial"/>
            <w:sz w:val="17"/>
            <w:szCs w:val="17"/>
            <w:u w:val="single" w:color="auto"/>
            <w:color w:val="0000FF"/>
          </w:rPr>
          <w:t>Item 10.</w:t>
        </w:r>
      </w:hyperlink>
    </w:p>
    <w:p>
      <w:pPr>
        <w:spacing w:after="0" w:line="61" w:lineRule="exact"/>
        <w:rPr>
          <w:sz w:val="20"/>
          <w:szCs w:val="20"/>
          <w:color w:val="auto"/>
        </w:rPr>
      </w:pPr>
    </w:p>
    <w:p>
      <w:pPr>
        <w:ind w:left="1360"/>
        <w:spacing w:after="0"/>
        <w:rPr>
          <w:rFonts w:ascii="Arial" w:cs="Arial" w:eastAsia="Arial" w:hAnsi="Arial"/>
          <w:sz w:val="17"/>
          <w:szCs w:val="17"/>
          <w:u w:val="single" w:color="auto"/>
          <w:color w:val="0000FF"/>
        </w:rPr>
      </w:pPr>
      <w:hyperlink w:anchor="page77">
        <w:r>
          <w:rPr>
            <w:rFonts w:ascii="Arial" w:cs="Arial" w:eastAsia="Arial" w:hAnsi="Arial"/>
            <w:sz w:val="17"/>
            <w:szCs w:val="17"/>
            <w:u w:val="single" w:color="auto"/>
            <w:color w:val="0000FF"/>
          </w:rPr>
          <w:t>Item 11.</w:t>
        </w:r>
      </w:hyperlink>
    </w:p>
    <w:p>
      <w:pPr>
        <w:spacing w:after="0" w:line="61" w:lineRule="exact"/>
        <w:rPr>
          <w:sz w:val="20"/>
          <w:szCs w:val="20"/>
          <w:color w:val="auto"/>
        </w:rPr>
      </w:pPr>
    </w:p>
    <w:p>
      <w:pPr>
        <w:ind w:left="1360"/>
        <w:spacing w:after="0"/>
        <w:rPr>
          <w:rFonts w:ascii="Arial" w:cs="Arial" w:eastAsia="Arial" w:hAnsi="Arial"/>
          <w:sz w:val="17"/>
          <w:szCs w:val="17"/>
          <w:u w:val="single" w:color="auto"/>
          <w:color w:val="0000FF"/>
        </w:rPr>
      </w:pPr>
      <w:hyperlink w:anchor="page77">
        <w:r>
          <w:rPr>
            <w:rFonts w:ascii="Arial" w:cs="Arial" w:eastAsia="Arial" w:hAnsi="Arial"/>
            <w:sz w:val="17"/>
            <w:szCs w:val="17"/>
            <w:u w:val="single" w:color="auto"/>
            <w:color w:val="0000FF"/>
          </w:rPr>
          <w:t>Item 12.</w:t>
        </w:r>
      </w:hyperlink>
    </w:p>
    <w:p>
      <w:pPr>
        <w:spacing w:after="0" w:line="237" w:lineRule="exact"/>
        <w:rPr>
          <w:sz w:val="20"/>
          <w:szCs w:val="20"/>
          <w:color w:val="auto"/>
        </w:rPr>
      </w:pPr>
    </w:p>
    <w:p>
      <w:pPr>
        <w:ind w:left="1360"/>
        <w:spacing w:after="0"/>
        <w:rPr>
          <w:rFonts w:ascii="Arial" w:cs="Arial" w:eastAsia="Arial" w:hAnsi="Arial"/>
          <w:sz w:val="17"/>
          <w:szCs w:val="17"/>
          <w:u w:val="single" w:color="auto"/>
          <w:color w:val="0000FF"/>
        </w:rPr>
      </w:pPr>
      <w:hyperlink w:anchor="page77">
        <w:r>
          <w:rPr>
            <w:rFonts w:ascii="Arial" w:cs="Arial" w:eastAsia="Arial" w:hAnsi="Arial"/>
            <w:sz w:val="17"/>
            <w:szCs w:val="17"/>
            <w:u w:val="single" w:color="auto"/>
            <w:color w:val="0000FF"/>
          </w:rPr>
          <w:t>Item 13.</w:t>
        </w:r>
      </w:hyperlink>
    </w:p>
    <w:p>
      <w:pPr>
        <w:spacing w:after="0" w:line="61" w:lineRule="exact"/>
        <w:rPr>
          <w:sz w:val="20"/>
          <w:szCs w:val="20"/>
          <w:color w:val="auto"/>
        </w:rPr>
      </w:pPr>
    </w:p>
    <w:p>
      <w:pPr>
        <w:ind w:left="1360"/>
        <w:spacing w:after="0"/>
        <w:rPr>
          <w:rFonts w:ascii="Arial" w:cs="Arial" w:eastAsia="Arial" w:hAnsi="Arial"/>
          <w:sz w:val="17"/>
          <w:szCs w:val="17"/>
          <w:u w:val="single" w:color="auto"/>
          <w:color w:val="0000FF"/>
        </w:rPr>
      </w:pPr>
      <w:hyperlink w:anchor="page77">
        <w:r>
          <w:rPr>
            <w:rFonts w:ascii="Arial" w:cs="Arial" w:eastAsia="Arial" w:hAnsi="Arial"/>
            <w:sz w:val="17"/>
            <w:szCs w:val="17"/>
            <w:u w:val="single" w:color="auto"/>
            <w:color w:val="0000FF"/>
          </w:rPr>
          <w:t>Item 14.</w:t>
        </w:r>
      </w:hyperlink>
    </w:p>
    <w:p>
      <w:pPr>
        <w:spacing w:after="0" w:line="115" w:lineRule="exact"/>
        <w:rPr>
          <w:sz w:val="20"/>
          <w:szCs w:val="20"/>
          <w:color w:val="auto"/>
        </w:rPr>
      </w:pPr>
    </w:p>
    <w:p>
      <w:pPr>
        <w:ind w:left="1040"/>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Part IV.</w:t>
        </w:r>
      </w:hyperlink>
    </w:p>
    <w:p>
      <w:pPr>
        <w:spacing w:after="0" w:line="77" w:lineRule="exact"/>
        <w:rPr>
          <w:sz w:val="20"/>
          <w:szCs w:val="20"/>
          <w:color w:val="auto"/>
        </w:rPr>
      </w:pPr>
    </w:p>
    <w:p>
      <w:pPr>
        <w:ind w:left="1360"/>
        <w:spacing w:after="0"/>
        <w:rPr>
          <w:rFonts w:ascii="Arial" w:cs="Arial" w:eastAsia="Arial" w:hAnsi="Arial"/>
          <w:sz w:val="17"/>
          <w:szCs w:val="17"/>
          <w:u w:val="single" w:color="auto"/>
          <w:color w:val="0000FF"/>
        </w:rPr>
      </w:pPr>
      <w:hyperlink w:anchor="page82">
        <w:r>
          <w:rPr>
            <w:rFonts w:ascii="Arial" w:cs="Arial" w:eastAsia="Arial" w:hAnsi="Arial"/>
            <w:sz w:val="17"/>
            <w:szCs w:val="17"/>
            <w:u w:val="single" w:color="auto"/>
            <w:color w:val="0000FF"/>
          </w:rPr>
          <w:t>Item 15.</w:t>
        </w:r>
      </w:hyperlink>
    </w:p>
    <w:p>
      <w:pPr>
        <w:spacing w:after="0" w:line="61" w:lineRule="exact"/>
        <w:rPr>
          <w:sz w:val="20"/>
          <w:szCs w:val="20"/>
          <w:color w:val="auto"/>
        </w:rPr>
      </w:pPr>
    </w:p>
    <w:p>
      <w:pPr>
        <w:ind w:left="1360"/>
        <w:spacing w:after="0"/>
        <w:rPr>
          <w:rFonts w:ascii="Arial" w:cs="Arial" w:eastAsia="Arial" w:hAnsi="Arial"/>
          <w:sz w:val="17"/>
          <w:szCs w:val="17"/>
          <w:u w:val="single" w:color="auto"/>
          <w:color w:val="0000FF"/>
        </w:rPr>
      </w:pPr>
      <w:hyperlink w:anchor="page87">
        <w:r>
          <w:rPr>
            <w:rFonts w:ascii="Arial" w:cs="Arial" w:eastAsia="Arial" w:hAnsi="Arial"/>
            <w:sz w:val="17"/>
            <w:szCs w:val="17"/>
            <w:u w:val="single" w:color="auto"/>
            <w:color w:val="0000FF"/>
          </w:rPr>
          <w:t>Item 16.</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260"/>
        <w:spacing w:after="0"/>
        <w:rPr>
          <w:sz w:val="20"/>
          <w:szCs w:val="20"/>
          <w:color w:val="auto"/>
        </w:rPr>
      </w:pPr>
      <w:r>
        <w:rPr>
          <w:rFonts w:ascii="Arial" w:cs="Arial" w:eastAsia="Arial" w:hAnsi="Arial"/>
          <w:sz w:val="18"/>
          <w:szCs w:val="18"/>
          <w:b w:val="1"/>
          <w:bCs w:val="1"/>
          <w:color w:val="auto"/>
        </w:rPr>
        <w:t>MARRIOTT INTERNATIONAL, INC.</w:t>
      </w:r>
    </w:p>
    <w:p>
      <w:pPr>
        <w:spacing w:after="0" w:line="63" w:lineRule="exact"/>
        <w:rPr>
          <w:sz w:val="20"/>
          <w:szCs w:val="20"/>
          <w:color w:val="auto"/>
        </w:rPr>
      </w:pPr>
    </w:p>
    <w:p>
      <w:pPr>
        <w:jc w:val="center"/>
        <w:ind w:right="1260"/>
        <w:spacing w:after="0"/>
        <w:rPr>
          <w:sz w:val="20"/>
          <w:szCs w:val="20"/>
          <w:color w:val="auto"/>
        </w:rPr>
      </w:pPr>
      <w:r>
        <w:rPr>
          <w:rFonts w:ascii="Arial" w:cs="Arial" w:eastAsia="Arial" w:hAnsi="Arial"/>
          <w:sz w:val="18"/>
          <w:szCs w:val="18"/>
          <w:b w:val="1"/>
          <w:bCs w:val="1"/>
          <w:color w:val="auto"/>
        </w:rPr>
        <w:t>FORM 10-K TABLE OF CONTENTS</w:t>
      </w:r>
    </w:p>
    <w:p>
      <w:pPr>
        <w:spacing w:after="0" w:line="63" w:lineRule="exact"/>
        <w:rPr>
          <w:sz w:val="20"/>
          <w:szCs w:val="20"/>
          <w:color w:val="auto"/>
        </w:rPr>
      </w:pPr>
    </w:p>
    <w:p>
      <w:pPr>
        <w:jc w:val="center"/>
        <w:ind w:right="1260"/>
        <w:spacing w:after="0"/>
        <w:rPr>
          <w:sz w:val="20"/>
          <w:szCs w:val="20"/>
          <w:color w:val="auto"/>
        </w:rPr>
      </w:pPr>
      <w:r>
        <w:rPr>
          <w:rFonts w:ascii="Arial" w:cs="Arial" w:eastAsia="Arial" w:hAnsi="Arial"/>
          <w:sz w:val="18"/>
          <w:szCs w:val="18"/>
          <w:b w:val="1"/>
          <w:bCs w:val="1"/>
          <w:color w:val="auto"/>
        </w:rPr>
        <w:t>FISCAL YEAR ENDED DECEMBER 31, 2020</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553"/>
        </w:trPr>
        <w:tc>
          <w:tcPr>
            <w:tcW w:w="7060" w:type="dxa"/>
            <w:vAlign w:val="bottom"/>
            <w:gridSpan w:val="5"/>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Business</w:t>
              </w:r>
            </w:hyperlink>
          </w:p>
        </w:tc>
        <w:tc>
          <w:tcPr>
            <w:tcW w:w="92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257"/>
        </w:trPr>
        <w:tc>
          <w:tcPr>
            <w:tcW w:w="7060" w:type="dxa"/>
            <w:vAlign w:val="bottom"/>
            <w:gridSpan w:val="5"/>
          </w:tcPr>
          <w:p>
            <w:pPr>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Risk Factors</w:t>
              </w:r>
            </w:hyperlink>
          </w:p>
        </w:tc>
        <w:tc>
          <w:tcPr>
            <w:tcW w:w="920" w:type="dxa"/>
            <w:vAlign w:val="bottom"/>
          </w:tcPr>
          <w:p>
            <w:pPr>
              <w:jc w:val="right"/>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11</w:t>
              </w:r>
            </w:hyperlink>
          </w:p>
        </w:tc>
        <w:tc>
          <w:tcPr>
            <w:tcW w:w="0" w:type="dxa"/>
            <w:vAlign w:val="bottom"/>
          </w:tcPr>
          <w:p>
            <w:pPr>
              <w:spacing w:after="0"/>
              <w:rPr>
                <w:sz w:val="1"/>
                <w:szCs w:val="1"/>
                <w:color w:val="auto"/>
              </w:rPr>
            </w:pPr>
          </w:p>
        </w:tc>
      </w:tr>
      <w:tr>
        <w:trPr>
          <w:trHeight w:val="256"/>
        </w:trPr>
        <w:tc>
          <w:tcPr>
            <w:tcW w:w="7060" w:type="dxa"/>
            <w:vAlign w:val="bottom"/>
            <w:gridSpan w:val="5"/>
          </w:tcPr>
          <w:p>
            <w:pPr>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Unresolved Staff Comments</w:t>
              </w:r>
            </w:hyperlink>
          </w:p>
        </w:tc>
        <w:tc>
          <w:tcPr>
            <w:tcW w:w="920" w:type="dxa"/>
            <w:vAlign w:val="bottom"/>
          </w:tcPr>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22</w:t>
              </w:r>
            </w:hyperlink>
          </w:p>
        </w:tc>
        <w:tc>
          <w:tcPr>
            <w:tcW w:w="0" w:type="dxa"/>
            <w:vAlign w:val="bottom"/>
          </w:tcPr>
          <w:p>
            <w:pPr>
              <w:spacing w:after="0"/>
              <w:rPr>
                <w:sz w:val="1"/>
                <w:szCs w:val="1"/>
                <w:color w:val="auto"/>
              </w:rPr>
            </w:pPr>
          </w:p>
        </w:tc>
      </w:tr>
      <w:tr>
        <w:trPr>
          <w:trHeight w:val="257"/>
        </w:trPr>
        <w:tc>
          <w:tcPr>
            <w:tcW w:w="7060" w:type="dxa"/>
            <w:vAlign w:val="bottom"/>
            <w:gridSpan w:val="5"/>
          </w:tcPr>
          <w:p>
            <w:pPr>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Properties</w:t>
              </w:r>
            </w:hyperlink>
          </w:p>
        </w:tc>
        <w:tc>
          <w:tcPr>
            <w:tcW w:w="920" w:type="dxa"/>
            <w:vAlign w:val="bottom"/>
          </w:tcPr>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22</w:t>
              </w:r>
            </w:hyperlink>
          </w:p>
        </w:tc>
        <w:tc>
          <w:tcPr>
            <w:tcW w:w="0" w:type="dxa"/>
            <w:vAlign w:val="bottom"/>
          </w:tcPr>
          <w:p>
            <w:pPr>
              <w:spacing w:after="0"/>
              <w:rPr>
                <w:sz w:val="1"/>
                <w:szCs w:val="1"/>
                <w:color w:val="auto"/>
              </w:rPr>
            </w:pPr>
          </w:p>
        </w:tc>
      </w:tr>
      <w:tr>
        <w:trPr>
          <w:trHeight w:val="257"/>
        </w:trPr>
        <w:tc>
          <w:tcPr>
            <w:tcW w:w="7060" w:type="dxa"/>
            <w:vAlign w:val="bottom"/>
            <w:gridSpan w:val="5"/>
          </w:tcPr>
          <w:p>
            <w:pPr>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Legal Proceedings</w:t>
              </w:r>
            </w:hyperlink>
          </w:p>
        </w:tc>
        <w:tc>
          <w:tcPr>
            <w:tcW w:w="920" w:type="dxa"/>
            <w:vAlign w:val="bottom"/>
          </w:tcPr>
          <w:p>
            <w:pPr>
              <w:jc w:val="right"/>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23</w:t>
              </w:r>
            </w:hyperlink>
          </w:p>
        </w:tc>
        <w:tc>
          <w:tcPr>
            <w:tcW w:w="0" w:type="dxa"/>
            <w:vAlign w:val="bottom"/>
          </w:tcPr>
          <w:p>
            <w:pPr>
              <w:spacing w:after="0"/>
              <w:rPr>
                <w:sz w:val="1"/>
                <w:szCs w:val="1"/>
                <w:color w:val="auto"/>
              </w:rPr>
            </w:pPr>
          </w:p>
        </w:tc>
      </w:tr>
      <w:tr>
        <w:trPr>
          <w:trHeight w:val="257"/>
        </w:trPr>
        <w:tc>
          <w:tcPr>
            <w:tcW w:w="7060" w:type="dxa"/>
            <w:vAlign w:val="bottom"/>
            <w:gridSpan w:val="5"/>
          </w:tcPr>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Mine Safety Disclosures</w:t>
              </w:r>
            </w:hyperlink>
          </w:p>
        </w:tc>
        <w:tc>
          <w:tcPr>
            <w:tcW w:w="920" w:type="dxa"/>
            <w:vAlign w:val="bottom"/>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24</w:t>
              </w:r>
            </w:hyperlink>
          </w:p>
        </w:tc>
        <w:tc>
          <w:tcPr>
            <w:tcW w:w="0" w:type="dxa"/>
            <w:vAlign w:val="bottom"/>
          </w:tcPr>
          <w:p>
            <w:pPr>
              <w:spacing w:after="0"/>
              <w:rPr>
                <w:sz w:val="1"/>
                <w:szCs w:val="1"/>
                <w:color w:val="auto"/>
              </w:rPr>
            </w:pPr>
          </w:p>
        </w:tc>
      </w:tr>
      <w:tr>
        <w:trPr>
          <w:trHeight w:val="553"/>
        </w:trPr>
        <w:tc>
          <w:tcPr>
            <w:tcW w:w="7060" w:type="dxa"/>
            <w:vAlign w:val="bottom"/>
            <w:gridSpan w:val="5"/>
          </w:tcPr>
          <w:p>
            <w:pPr>
              <w:spacing w:after="0"/>
              <w:rPr>
                <w:rFonts w:ascii="Arial" w:cs="Arial" w:eastAsia="Arial" w:hAnsi="Arial"/>
                <w:sz w:val="18"/>
                <w:szCs w:val="18"/>
                <w:color w:val="0000FF"/>
                <w:w w:val="93"/>
              </w:rPr>
            </w:pPr>
            <w:hyperlink w:anchor="page24">
              <w:r>
                <w:rPr>
                  <w:rFonts w:ascii="Arial" w:cs="Arial" w:eastAsia="Arial" w:hAnsi="Arial"/>
                  <w:sz w:val="18"/>
                  <w:szCs w:val="18"/>
                  <w:color w:val="0000FF"/>
                  <w:w w:val="93"/>
                </w:rPr>
                <w:t>Market for Registrant’s Common Equity, Related Stockholder Matters, and Issuer Purchases of</w:t>
              </w:r>
            </w:hyperlink>
          </w:p>
        </w:tc>
        <w:tc>
          <w:tcPr>
            <w:tcW w:w="920" w:type="dxa"/>
            <w:vAlign w:val="bottom"/>
            <w:vMerge w:val="restart"/>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24</w:t>
              </w:r>
            </w:hyperlink>
          </w:p>
        </w:tc>
        <w:tc>
          <w:tcPr>
            <w:tcW w:w="0" w:type="dxa"/>
            <w:vAlign w:val="bottom"/>
          </w:tcPr>
          <w:p>
            <w:pPr>
              <w:spacing w:after="0"/>
              <w:rPr>
                <w:sz w:val="1"/>
                <w:szCs w:val="1"/>
                <w:color w:val="auto"/>
              </w:rPr>
            </w:pPr>
          </w:p>
        </w:tc>
      </w:tr>
      <w:tr>
        <w:trPr>
          <w:trHeight w:val="156"/>
        </w:trPr>
        <w:tc>
          <w:tcPr>
            <w:tcW w:w="12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24">
              <w:r>
                <w:rPr>
                  <w:rFonts w:ascii="Arial" w:cs="Arial" w:eastAsia="Arial" w:hAnsi="Arial"/>
                  <w:sz w:val="18"/>
                  <w:szCs w:val="18"/>
                  <w:color w:val="0000FF"/>
                  <w:w w:val="90"/>
                </w:rPr>
                <w:t>Equity Securities</w:t>
              </w:r>
            </w:hyperlink>
          </w:p>
        </w:tc>
        <w:tc>
          <w:tcPr>
            <w:tcW w:w="5600" w:type="dxa"/>
            <w:vAlign w:val="bottom"/>
            <w:tcBorders>
              <w:top w:val="single" w:sz="8" w:color="0000FF"/>
            </w:tcBorders>
            <w:gridSpan w:val="2"/>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060" w:type="dxa"/>
            <w:vAlign w:val="bottom"/>
            <w:gridSpan w:val="5"/>
          </w:tcPr>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Selected Financial Data</w:t>
              </w:r>
            </w:hyperlink>
          </w:p>
        </w:tc>
        <w:tc>
          <w:tcPr>
            <w:tcW w:w="920" w:type="dxa"/>
            <w:vAlign w:val="bottom"/>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25</w:t>
              </w:r>
            </w:hyperlink>
          </w:p>
        </w:tc>
        <w:tc>
          <w:tcPr>
            <w:tcW w:w="0" w:type="dxa"/>
            <w:vAlign w:val="bottom"/>
          </w:tcPr>
          <w:p>
            <w:pPr>
              <w:spacing w:after="0"/>
              <w:rPr>
                <w:sz w:val="1"/>
                <w:szCs w:val="1"/>
                <w:color w:val="auto"/>
              </w:rPr>
            </w:pPr>
          </w:p>
        </w:tc>
      </w:tr>
      <w:tr>
        <w:trPr>
          <w:trHeight w:val="256"/>
        </w:trPr>
        <w:tc>
          <w:tcPr>
            <w:tcW w:w="7060" w:type="dxa"/>
            <w:vAlign w:val="bottom"/>
            <w:gridSpan w:val="5"/>
          </w:tcPr>
          <w:p>
            <w:pPr>
              <w:spacing w:after="0"/>
              <w:rPr>
                <w:rFonts w:ascii="Arial" w:cs="Arial" w:eastAsia="Arial" w:hAnsi="Arial"/>
                <w:sz w:val="18"/>
                <w:szCs w:val="18"/>
                <w:u w:val="single" w:color="auto"/>
                <w:color w:val="0000FF"/>
                <w:w w:val="99"/>
              </w:rPr>
            </w:pPr>
            <w:hyperlink w:anchor="page25">
              <w:r>
                <w:rPr>
                  <w:rFonts w:ascii="Arial" w:cs="Arial" w:eastAsia="Arial" w:hAnsi="Arial"/>
                  <w:sz w:val="18"/>
                  <w:szCs w:val="18"/>
                  <w:u w:val="single" w:color="auto"/>
                  <w:color w:val="0000FF"/>
                  <w:w w:val="99"/>
                </w:rPr>
                <w:t>Management’s Discussion and Analysis of Financial Condition and Results of Operations</w:t>
              </w:r>
            </w:hyperlink>
          </w:p>
        </w:tc>
        <w:tc>
          <w:tcPr>
            <w:tcW w:w="920" w:type="dxa"/>
            <w:vAlign w:val="bottom"/>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25</w:t>
              </w:r>
            </w:hyperlink>
          </w:p>
        </w:tc>
        <w:tc>
          <w:tcPr>
            <w:tcW w:w="0" w:type="dxa"/>
            <w:vAlign w:val="bottom"/>
          </w:tcPr>
          <w:p>
            <w:pPr>
              <w:spacing w:after="0"/>
              <w:rPr>
                <w:sz w:val="1"/>
                <w:szCs w:val="1"/>
                <w:color w:val="auto"/>
              </w:rPr>
            </w:pPr>
          </w:p>
        </w:tc>
      </w:tr>
      <w:tr>
        <w:trPr>
          <w:trHeight w:val="257"/>
        </w:trPr>
        <w:tc>
          <w:tcPr>
            <w:tcW w:w="7060" w:type="dxa"/>
            <w:vAlign w:val="bottom"/>
            <w:gridSpan w:val="5"/>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Quantitative and Qualitative Disclosures About Market Risk</w:t>
              </w:r>
            </w:hyperlink>
          </w:p>
        </w:tc>
        <w:tc>
          <w:tcPr>
            <w:tcW w:w="92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37</w:t>
              </w:r>
            </w:hyperlink>
          </w:p>
        </w:tc>
        <w:tc>
          <w:tcPr>
            <w:tcW w:w="0" w:type="dxa"/>
            <w:vAlign w:val="bottom"/>
          </w:tcPr>
          <w:p>
            <w:pPr>
              <w:spacing w:after="0"/>
              <w:rPr>
                <w:sz w:val="1"/>
                <w:szCs w:val="1"/>
                <w:color w:val="auto"/>
              </w:rPr>
            </w:pPr>
          </w:p>
        </w:tc>
      </w:tr>
      <w:tr>
        <w:trPr>
          <w:trHeight w:val="257"/>
        </w:trPr>
        <w:tc>
          <w:tcPr>
            <w:tcW w:w="7060" w:type="dxa"/>
            <w:vAlign w:val="bottom"/>
            <w:gridSpan w:val="5"/>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Financial Statements and Supplementary Data</w:t>
              </w:r>
            </w:hyperlink>
          </w:p>
        </w:tc>
        <w:tc>
          <w:tcPr>
            <w:tcW w:w="92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39</w:t>
              </w:r>
            </w:hyperlink>
          </w:p>
        </w:tc>
        <w:tc>
          <w:tcPr>
            <w:tcW w:w="0" w:type="dxa"/>
            <w:vAlign w:val="bottom"/>
          </w:tcPr>
          <w:p>
            <w:pPr>
              <w:spacing w:after="0"/>
              <w:rPr>
                <w:sz w:val="1"/>
                <w:szCs w:val="1"/>
                <w:color w:val="auto"/>
              </w:rPr>
            </w:pPr>
          </w:p>
        </w:tc>
      </w:tr>
      <w:tr>
        <w:trPr>
          <w:trHeight w:val="257"/>
        </w:trPr>
        <w:tc>
          <w:tcPr>
            <w:tcW w:w="7060" w:type="dxa"/>
            <w:vAlign w:val="bottom"/>
            <w:gridSpan w:val="5"/>
          </w:tcPr>
          <w:p>
            <w:pPr>
              <w:spacing w:after="0"/>
              <w:rPr>
                <w:rFonts w:ascii="Arial" w:cs="Arial" w:eastAsia="Arial" w:hAnsi="Arial"/>
                <w:sz w:val="18"/>
                <w:szCs w:val="18"/>
                <w:u w:val="single" w:color="auto"/>
                <w:color w:val="0000FF"/>
                <w:w w:val="98"/>
              </w:rPr>
            </w:pPr>
            <w:hyperlink w:anchor="page76">
              <w:r>
                <w:rPr>
                  <w:rFonts w:ascii="Arial" w:cs="Arial" w:eastAsia="Arial" w:hAnsi="Arial"/>
                  <w:sz w:val="18"/>
                  <w:szCs w:val="18"/>
                  <w:u w:val="single" w:color="auto"/>
                  <w:color w:val="0000FF"/>
                  <w:w w:val="98"/>
                </w:rPr>
                <w:t>Changes in and Disagreements with Accountants on Accounting and Financial Disclosure</w:t>
              </w:r>
            </w:hyperlink>
          </w:p>
        </w:tc>
        <w:tc>
          <w:tcPr>
            <w:tcW w:w="920" w:type="dxa"/>
            <w:vAlign w:val="bottom"/>
          </w:tcPr>
          <w:p>
            <w:pPr>
              <w:jc w:val="right"/>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77</w:t>
              </w:r>
            </w:hyperlink>
          </w:p>
        </w:tc>
        <w:tc>
          <w:tcPr>
            <w:tcW w:w="0" w:type="dxa"/>
            <w:vAlign w:val="bottom"/>
          </w:tcPr>
          <w:p>
            <w:pPr>
              <w:spacing w:after="0"/>
              <w:rPr>
                <w:sz w:val="1"/>
                <w:szCs w:val="1"/>
                <w:color w:val="auto"/>
              </w:rPr>
            </w:pPr>
          </w:p>
        </w:tc>
      </w:tr>
      <w:tr>
        <w:trPr>
          <w:trHeight w:val="257"/>
        </w:trPr>
        <w:tc>
          <w:tcPr>
            <w:tcW w:w="7060" w:type="dxa"/>
            <w:vAlign w:val="bottom"/>
            <w:gridSpan w:val="5"/>
          </w:tcPr>
          <w:p>
            <w:pPr>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Controls and Procedures</w:t>
              </w:r>
            </w:hyperlink>
          </w:p>
        </w:tc>
        <w:tc>
          <w:tcPr>
            <w:tcW w:w="920" w:type="dxa"/>
            <w:vAlign w:val="bottom"/>
          </w:tcPr>
          <w:p>
            <w:pPr>
              <w:jc w:val="right"/>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77</w:t>
              </w:r>
            </w:hyperlink>
          </w:p>
        </w:tc>
        <w:tc>
          <w:tcPr>
            <w:tcW w:w="0" w:type="dxa"/>
            <w:vAlign w:val="bottom"/>
          </w:tcPr>
          <w:p>
            <w:pPr>
              <w:spacing w:after="0"/>
              <w:rPr>
                <w:sz w:val="1"/>
                <w:szCs w:val="1"/>
                <w:color w:val="auto"/>
              </w:rPr>
            </w:pPr>
          </w:p>
        </w:tc>
      </w:tr>
      <w:tr>
        <w:trPr>
          <w:trHeight w:val="256"/>
        </w:trPr>
        <w:tc>
          <w:tcPr>
            <w:tcW w:w="7060" w:type="dxa"/>
            <w:vAlign w:val="bottom"/>
            <w:gridSpan w:val="5"/>
          </w:tcPr>
          <w:p>
            <w:pPr>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Other Information</w:t>
              </w:r>
            </w:hyperlink>
          </w:p>
        </w:tc>
        <w:tc>
          <w:tcPr>
            <w:tcW w:w="920" w:type="dxa"/>
            <w:vAlign w:val="bottom"/>
          </w:tcPr>
          <w:p>
            <w:pPr>
              <w:jc w:val="right"/>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77</w:t>
              </w:r>
            </w:hyperlink>
          </w:p>
        </w:tc>
        <w:tc>
          <w:tcPr>
            <w:tcW w:w="0" w:type="dxa"/>
            <w:vAlign w:val="bottom"/>
          </w:tcPr>
          <w:p>
            <w:pPr>
              <w:spacing w:after="0"/>
              <w:rPr>
                <w:sz w:val="1"/>
                <w:szCs w:val="1"/>
                <w:color w:val="auto"/>
              </w:rPr>
            </w:pPr>
          </w:p>
        </w:tc>
      </w:tr>
      <w:tr>
        <w:trPr>
          <w:trHeight w:val="594"/>
        </w:trPr>
        <w:tc>
          <w:tcPr>
            <w:tcW w:w="7060" w:type="dxa"/>
            <w:vAlign w:val="bottom"/>
            <w:gridSpan w:val="5"/>
          </w:tcPr>
          <w:p>
            <w:pPr>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Directors, Executive Officers, and Corporate Governance</w:t>
              </w:r>
            </w:hyperlink>
          </w:p>
        </w:tc>
        <w:tc>
          <w:tcPr>
            <w:tcW w:w="920" w:type="dxa"/>
            <w:vAlign w:val="bottom"/>
          </w:tcPr>
          <w:p>
            <w:pPr>
              <w:jc w:val="right"/>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77</w:t>
              </w:r>
            </w:hyperlink>
          </w:p>
        </w:tc>
        <w:tc>
          <w:tcPr>
            <w:tcW w:w="0" w:type="dxa"/>
            <w:vAlign w:val="bottom"/>
          </w:tcPr>
          <w:p>
            <w:pPr>
              <w:spacing w:after="0"/>
              <w:rPr>
                <w:sz w:val="1"/>
                <w:szCs w:val="1"/>
                <w:color w:val="auto"/>
              </w:rPr>
            </w:pPr>
          </w:p>
        </w:tc>
      </w:tr>
      <w:tr>
        <w:trPr>
          <w:trHeight w:val="257"/>
        </w:trPr>
        <w:tc>
          <w:tcPr>
            <w:tcW w:w="7060" w:type="dxa"/>
            <w:vAlign w:val="bottom"/>
            <w:gridSpan w:val="5"/>
          </w:tcPr>
          <w:p>
            <w:pPr>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Executive Compensation</w:t>
              </w:r>
            </w:hyperlink>
          </w:p>
        </w:tc>
        <w:tc>
          <w:tcPr>
            <w:tcW w:w="920" w:type="dxa"/>
            <w:vAlign w:val="bottom"/>
          </w:tcPr>
          <w:p>
            <w:pPr>
              <w:jc w:val="right"/>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77</w:t>
              </w:r>
            </w:hyperlink>
          </w:p>
        </w:tc>
        <w:tc>
          <w:tcPr>
            <w:tcW w:w="0" w:type="dxa"/>
            <w:vAlign w:val="bottom"/>
          </w:tcPr>
          <w:p>
            <w:pPr>
              <w:spacing w:after="0"/>
              <w:rPr>
                <w:sz w:val="1"/>
                <w:szCs w:val="1"/>
                <w:color w:val="auto"/>
              </w:rPr>
            </w:pPr>
          </w:p>
        </w:tc>
      </w:tr>
      <w:tr>
        <w:trPr>
          <w:trHeight w:val="216"/>
        </w:trPr>
        <w:tc>
          <w:tcPr>
            <w:tcW w:w="7060" w:type="dxa"/>
            <w:vAlign w:val="bottom"/>
            <w:gridSpan w:val="5"/>
          </w:tcPr>
          <w:p>
            <w:pPr>
              <w:spacing w:after="0"/>
              <w:rPr>
                <w:rFonts w:ascii="Arial" w:cs="Arial" w:eastAsia="Arial" w:hAnsi="Arial"/>
                <w:sz w:val="18"/>
                <w:szCs w:val="18"/>
                <w:color w:val="0000FF"/>
                <w:w w:val="95"/>
              </w:rPr>
            </w:pPr>
            <w:hyperlink w:anchor="page77">
              <w:r>
                <w:rPr>
                  <w:rFonts w:ascii="Arial" w:cs="Arial" w:eastAsia="Arial" w:hAnsi="Arial"/>
                  <w:sz w:val="18"/>
                  <w:szCs w:val="18"/>
                  <w:color w:val="0000FF"/>
                  <w:w w:val="95"/>
                </w:rPr>
                <w:t>Security Ownership of Certain Beneficial Owners and Management and Related Stockholder</w:t>
              </w:r>
            </w:hyperlink>
          </w:p>
        </w:tc>
        <w:tc>
          <w:tcPr>
            <w:tcW w:w="920" w:type="dxa"/>
            <w:vAlign w:val="bottom"/>
            <w:vMerge w:val="restart"/>
          </w:tcPr>
          <w:p>
            <w:pPr>
              <w:jc w:val="right"/>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77</w:t>
              </w:r>
            </w:hyperlink>
          </w:p>
        </w:tc>
        <w:tc>
          <w:tcPr>
            <w:tcW w:w="0" w:type="dxa"/>
            <w:vAlign w:val="bottom"/>
          </w:tcPr>
          <w:p>
            <w:pPr>
              <w:spacing w:after="0"/>
              <w:rPr>
                <w:sz w:val="1"/>
                <w:szCs w:val="1"/>
                <w:color w:val="auto"/>
              </w:rPr>
            </w:pPr>
          </w:p>
        </w:tc>
      </w:tr>
      <w:tr>
        <w:trPr>
          <w:trHeight w:val="155"/>
        </w:trPr>
        <w:tc>
          <w:tcPr>
            <w:tcW w:w="670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w:anchor="page77">
              <w:r>
                <w:rPr>
                  <w:rFonts w:ascii="Arial" w:cs="Arial" w:eastAsia="Arial" w:hAnsi="Arial"/>
                  <w:sz w:val="18"/>
                  <w:szCs w:val="18"/>
                  <w:color w:val="0000FF"/>
                </w:rPr>
                <w:t>Matters</w:t>
              </w:r>
            </w:hyperlink>
          </w:p>
        </w:tc>
        <w:tc>
          <w:tcPr>
            <w:tcW w:w="360" w:type="dxa"/>
            <w:vAlign w:val="bottom"/>
            <w:gridSpan w:val="2"/>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652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060" w:type="dxa"/>
            <w:vAlign w:val="bottom"/>
            <w:gridSpan w:val="5"/>
          </w:tcPr>
          <w:p>
            <w:pPr>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Certain Relationships and Related Transactions, and Director Independence</w:t>
              </w:r>
            </w:hyperlink>
          </w:p>
        </w:tc>
        <w:tc>
          <w:tcPr>
            <w:tcW w:w="920" w:type="dxa"/>
            <w:vAlign w:val="bottom"/>
          </w:tcPr>
          <w:p>
            <w:pPr>
              <w:jc w:val="right"/>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77</w:t>
              </w:r>
            </w:hyperlink>
          </w:p>
        </w:tc>
        <w:tc>
          <w:tcPr>
            <w:tcW w:w="0" w:type="dxa"/>
            <w:vAlign w:val="bottom"/>
          </w:tcPr>
          <w:p>
            <w:pPr>
              <w:spacing w:after="0"/>
              <w:rPr>
                <w:sz w:val="1"/>
                <w:szCs w:val="1"/>
                <w:color w:val="auto"/>
              </w:rPr>
            </w:pPr>
          </w:p>
        </w:tc>
      </w:tr>
      <w:tr>
        <w:trPr>
          <w:trHeight w:val="257"/>
        </w:trPr>
        <w:tc>
          <w:tcPr>
            <w:tcW w:w="7060" w:type="dxa"/>
            <w:vAlign w:val="bottom"/>
            <w:gridSpan w:val="5"/>
          </w:tcPr>
          <w:p>
            <w:pPr>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Principal Accountant Fees and Services</w:t>
              </w:r>
            </w:hyperlink>
          </w:p>
        </w:tc>
        <w:tc>
          <w:tcPr>
            <w:tcW w:w="920" w:type="dxa"/>
            <w:vAlign w:val="bottom"/>
          </w:tcPr>
          <w:p>
            <w:pPr>
              <w:jc w:val="right"/>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77</w:t>
              </w:r>
            </w:hyperlink>
          </w:p>
        </w:tc>
        <w:tc>
          <w:tcPr>
            <w:tcW w:w="0" w:type="dxa"/>
            <w:vAlign w:val="bottom"/>
          </w:tcPr>
          <w:p>
            <w:pPr>
              <w:spacing w:after="0"/>
              <w:rPr>
                <w:sz w:val="1"/>
                <w:szCs w:val="1"/>
                <w:color w:val="auto"/>
              </w:rPr>
            </w:pPr>
          </w:p>
        </w:tc>
      </w:tr>
      <w:tr>
        <w:trPr>
          <w:trHeight w:val="594"/>
        </w:trPr>
        <w:tc>
          <w:tcPr>
            <w:tcW w:w="7060" w:type="dxa"/>
            <w:vAlign w:val="bottom"/>
            <w:gridSpan w:val="5"/>
          </w:tcPr>
          <w:p>
            <w:pPr>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Exhibits and Financial Statement Schedules</w:t>
              </w:r>
            </w:hyperlink>
          </w:p>
        </w:tc>
        <w:tc>
          <w:tcPr>
            <w:tcW w:w="920" w:type="dxa"/>
            <w:vAlign w:val="bottom"/>
          </w:tcPr>
          <w:p>
            <w:pPr>
              <w:jc w:val="right"/>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82</w:t>
              </w:r>
            </w:hyperlink>
          </w:p>
        </w:tc>
        <w:tc>
          <w:tcPr>
            <w:tcW w:w="0" w:type="dxa"/>
            <w:vAlign w:val="bottom"/>
          </w:tcPr>
          <w:p>
            <w:pPr>
              <w:spacing w:after="0"/>
              <w:rPr>
                <w:sz w:val="1"/>
                <w:szCs w:val="1"/>
                <w:color w:val="auto"/>
              </w:rPr>
            </w:pPr>
          </w:p>
        </w:tc>
      </w:tr>
      <w:tr>
        <w:trPr>
          <w:trHeight w:val="257"/>
        </w:trPr>
        <w:tc>
          <w:tcPr>
            <w:tcW w:w="7060" w:type="dxa"/>
            <w:vAlign w:val="bottom"/>
            <w:gridSpan w:val="5"/>
          </w:tcPr>
          <w:p>
            <w:pPr>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Form 10-K Summary</w:t>
              </w:r>
            </w:hyperlink>
          </w:p>
        </w:tc>
        <w:tc>
          <w:tcPr>
            <w:tcW w:w="920" w:type="dxa"/>
            <w:vAlign w:val="bottom"/>
          </w:tcPr>
          <w:p>
            <w:pPr>
              <w:jc w:val="right"/>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87</w:t>
              </w:r>
            </w:hyperlink>
          </w:p>
        </w:tc>
        <w:tc>
          <w:tcPr>
            <w:tcW w:w="0" w:type="dxa"/>
            <w:vAlign w:val="bottom"/>
          </w:tcPr>
          <w:p>
            <w:pPr>
              <w:spacing w:after="0"/>
              <w:rPr>
                <w:sz w:val="1"/>
                <w:szCs w:val="1"/>
                <w:color w:val="auto"/>
              </w:rPr>
            </w:pPr>
          </w:p>
        </w:tc>
      </w:tr>
      <w:tr>
        <w:trPr>
          <w:trHeight w:val="256"/>
        </w:trPr>
        <w:tc>
          <w:tcPr>
            <w:tcW w:w="7060" w:type="dxa"/>
            <w:vAlign w:val="bottom"/>
            <w:gridSpan w:val="5"/>
          </w:tcPr>
          <w:p>
            <w:pPr>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Signatures</w:t>
              </w:r>
            </w:hyperlink>
          </w:p>
        </w:tc>
        <w:tc>
          <w:tcPr>
            <w:tcW w:w="920" w:type="dxa"/>
            <w:vAlign w:val="bottom"/>
          </w:tcPr>
          <w:p>
            <w:pPr>
              <w:jc w:val="right"/>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88</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000" w:space="260"/>
            <w:col w:w="7980"/>
          </w:cols>
          <w:pgMar w:left="320" w:top="125" w:right="1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firstLine="445"/>
        <w:spacing w:after="0" w:line="287" w:lineRule="auto"/>
        <w:rPr>
          <w:sz w:val="20"/>
          <w:szCs w:val="20"/>
          <w:color w:val="auto"/>
        </w:rPr>
      </w:pPr>
      <w:r>
        <w:rPr>
          <w:rFonts w:ascii="Arial" w:cs="Arial" w:eastAsia="Arial" w:hAnsi="Arial"/>
          <w:sz w:val="16"/>
          <w:szCs w:val="16"/>
          <w:color w:val="auto"/>
        </w:rPr>
        <w:t>Throughout this report, we refer to Marriott International, Inc., together with its consolidated subsidiaries, as “we,” “us,” “Marriott,” or the “Company.” In order to make this report easier to read, we also refer throughout to (1) our Consolidated Financial Statements as our “Financial Statements,” (2) our Consolidated Statements of (Loss) Income as our “Income Statements,” (3) our Consolidated Balance Sheets as our “Balance Sheets,”</w:t>
      </w:r>
    </w:p>
    <w:p>
      <w:pPr>
        <w:spacing w:after="0" w:line="2" w:lineRule="exact"/>
        <w:rPr>
          <w:sz w:val="20"/>
          <w:szCs w:val="20"/>
          <w:color w:val="auto"/>
        </w:rPr>
      </w:pPr>
    </w:p>
    <w:p>
      <w:pPr>
        <w:jc w:val="both"/>
        <w:ind w:right="120" w:firstLine="8"/>
        <w:spacing w:after="0" w:line="253"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Consolidated Statements of Cash Flows as our “Statements of Cash Flows,” (5) our properties, brands, or markets in the United States and Canada as “U.S. &amp; Canada,” and (6) our properties, brands, or markets in our Caribbean and Latin America region, Europe, Middle East and Africa segment, and Asia Pacific segment as “International.” In addition, references throughout to numbered “Notes” refer to the Notes to our Financial Statements, unless otherwise stated.</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Cautionary Statement</w:t>
      </w:r>
    </w:p>
    <w:p>
      <w:pPr>
        <w:spacing w:after="0" w:line="175"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All statements in this report are made as of the date this Form 10-K is filed with the U.S. Securities and Exchange Commission (the “SEC”). We undertake no obligation to publicly update or revise these statements, whether as a result of new information, future events or otherwise. We make forward-looking statements in Management’s Discussion and Analysis of Financial Condition and Results of Operations and elsewhere in this report based on the beliefs and assumptions of our management and on information available to us through the date this Form 10-K is filed with the SEC. Forward-looking statements include information related to the possible effects on our business of the coronavirus pandemic and efforts to contain it (“COVID-19”), including the performance of the Company’s hotels; Revenue per Available Room (“RevPAR”) and occupancy trends and expectations; the nature and impact of contingency plans, restructuring plans and cost reduction plans; rooms growth; our expectations regarding our ability to meet our liquidity requirements; our expectations regarding COVID-19’s impact on our cash from operations; our capital expenditures and other investment spending expectations; statements related to leadership changes and the structure of the Company’s management operations; other statements throughout this report that are preceded by, followed by, or include the words “believes,” “expects,” “anticipates,” “intends,” “plans,” “estimates,” “foresees,” or similar expressions; and similar statements concerning anticipated future events and expectations that are not historical facts.</w:t>
      </w:r>
    </w:p>
    <w:p>
      <w:pPr>
        <w:spacing w:after="0" w:line="118"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We caution you that these statements are not guarantees of future performance and are subject to numerous evolving risks and uncertainties that we may not be able to accurately predict or assess, including the risks and uncertainties we describe below and other factors we describe from time to time in our periodic filings with the SEC. Risks that could affect our results of operations, liquidity and capital resources, and other aspects of our business discussed in this Form 10-K include the duration and scope of COVID-19, including the availability and distribution of effective vaccines or treatments; its short and longer-term impact on the demand for travel, transient and group business, and levels of consumer confidence; actions governments, businesses and individuals have taken or may take in response to the pandemic, including limiting or banning travel and/or in-person gatherings or imposing occupancy or other restrictions on lodging or other facilities; the impact of the pandemic and actions taken in response to the pandemic on global and regional economies, travel, and economic activity, including the duration and magnitude of its impact on unemployment rates and consumer discretionary spending; the ability of our owners and franchisees to successfully navigate the impacts of COVID-19; the pace of recovery when the pandemic subsides or effective treatments or vaccines become widely available; general economic uncertainty in key global markets and a worsening of global economic conditions or low levels of economic growth; the effects of steps we and our property owners and franchisees have taken and may continue to take to reduce operating costs and/or enhance certain health and cleanliness protocols at our hotels; the impacts of our employee furloughs and reduced work week schedules, our voluntary transition program and our other restructuring activities; competitive conditions in the lodging industry; relationships with customers and property owners; the availability of capital to finance hotel growth and refurbishment; the extent to which we experience adverse effects from data security incidents; and changes in tax laws in countries in which we earn significant income.</w:t>
      </w:r>
    </w:p>
    <w:p>
      <w:pPr>
        <w:spacing w:after="0" w:line="113"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As discussed in this Form 10-K, COVID-19 is materially impacting our operations and financial results. COVID-19, and the volatile regional and global economic conditions stemming from it, and additional or unforeseen effects from the COVID-19 pandemic, could also give rise to or aggravate the other risk factors that we identify within Part I, Item 1A of this report, which in turn could materially adversely affect our business, liquidity, financial condition, and results of operations. Further, COVID-19 may also affect our operating and financial results in a manner that is not presently known to us or that we currently do not consider to present significant risks to our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Structure and Business</w:t>
      </w:r>
    </w:p>
    <w:p>
      <w:pPr>
        <w:spacing w:after="0" w:line="171" w:lineRule="exact"/>
        <w:rPr>
          <w:sz w:val="20"/>
          <w:szCs w:val="20"/>
          <w:color w:val="auto"/>
        </w:rPr>
      </w:pPr>
    </w:p>
    <w:p>
      <w:pPr>
        <w:ind w:right="200" w:firstLine="445"/>
        <w:spacing w:after="0" w:line="308" w:lineRule="auto"/>
        <w:rPr>
          <w:sz w:val="20"/>
          <w:szCs w:val="20"/>
          <w:color w:val="auto"/>
        </w:rPr>
      </w:pPr>
      <w:r>
        <w:rPr>
          <w:rFonts w:ascii="Arial" w:cs="Arial" w:eastAsia="Arial" w:hAnsi="Arial"/>
          <w:sz w:val="17"/>
          <w:szCs w:val="17"/>
          <w:color w:val="auto"/>
        </w:rPr>
        <w:t>We are a worldwide operator, franchisor, and licensor of hotel, residential, and timeshare properties under numerous brand names at different price and service points. Consistent with our focus on management, franchising, and licensing, we own very few of our lodging properties.</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portfolio of brands at year-end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117475</wp:posOffset>
            </wp:positionV>
            <wp:extent cx="5863590" cy="1791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6359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60" w:firstLine="445"/>
        <w:spacing w:after="0" w:line="272" w:lineRule="auto"/>
        <w:rPr>
          <w:sz w:val="20"/>
          <w:szCs w:val="20"/>
          <w:color w:val="auto"/>
        </w:rPr>
      </w:pPr>
      <w:r>
        <w:rPr>
          <w:rFonts w:ascii="Arial" w:cs="Arial" w:eastAsia="Arial" w:hAnsi="Arial"/>
          <w:sz w:val="17"/>
          <w:szCs w:val="17"/>
          <w:color w:val="auto"/>
        </w:rPr>
        <w:t>We discuss our operations in the following three reportable business segments: United States and Canada (“U.S. &amp; Canada”), Asia Pacific, and Europe, Middle East and Africa (“EMEA”). Our Caribbean and Latin America (“CALA”) operating segment does not meet the applicable accounting criteria for separate disclosure as a reportable business segment, and we include its results in “Unallocated corporate and other.” In the 2020 fourth quarter, we changed the name of our largest segment from “North America” to “U.S. &amp; Canada.” Other than the name change, we made no other changes to the composition of this segment. In January 2021, we modified our reportable segment structure as a result of a change in the way management intends to evaluate results and allocate resources within the Company. Beginning with the 2021 first quarter, we will report the following two operating segments: U.S. &amp; Canada and International. See Note 15 for more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171"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COVID-19 has had an unprecedented impact on the travel industry and the Company. As the virus and efforts to contain it spread around the world, demand at our hotels dropped significantly. While 2020 generally got off to a great start, we saw sudden, sharp declines in hotel occupancy, beginning in Greater China in January 2020 and then extending around the world. In April 2020, comparable systemwide constant dollar RevPAR experienced a record decline, decreasing 90 percent worldwide compared to the prior year period, and 27 percent of our hotels were temporarily closed. Although business at our hotels improved throughout the remainder of 2020 as compared to the extremely low levels in April 2020, COVID-19 continues to constrain recovery and to have a significant negative impact on demand. COVID-19 also resulted in significantly lower new room additions than we had budgeted for 2020 and historically high levels of cancellations by group and other travelers for future periods. As a result, our revenues and profitability declined dramatically in 2020 compared to 2019.</w:t>
      </w:r>
    </w:p>
    <w:p>
      <w:pPr>
        <w:spacing w:after="0" w:line="138"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We continue to take substantial measures to mitigate the negative financial and operational impacts of COVID-19 for our hotel owners and our own business, and we remain focused on taking care of our guests and associates. We have made significant changes to our business and enhanced our liquidity position, while remaining focused on how to best position ourselves for recovery and for growth over the longer term. At the property level, we implemented plans to help our hotel owners and franchisees reduce their cash outlays and mitigate costs, and we implemented a multi-pronged platform to elevate cleanliness standards and hospitality norms for the health and safety of our guests and associates. At the corporate level, we made significant cuts in general and administrative costs and spending on capital and other investments. We have substantially completed our above-property restructuring program, and we have implemented and are continuing to develop restructuring plans to achieve cost savings specific to each of our company-operated properties. With the steps we have taken, and any additional measures we may take to adapt our operations and plans to the evolving situation, along with the power of our Marriott Bonvoy loyalty program, our strengthened liquidity position, and our incredible team of associates around the world, we believe that our business is well positioned now and for the future.</w:t>
      </w:r>
    </w:p>
    <w:p>
      <w:pPr>
        <w:spacing w:after="0" w:line="131"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For further information about COVID-19’s impact to our business, see Part I, Item 1A “Risk Factors” and Part II, Item 7 “Management’s Discussion and Analysis of Financial Condition and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Starwood Hotels &amp; Resorts Worldwide</w:t>
      </w:r>
    </w:p>
    <w:p>
      <w:pPr>
        <w:spacing w:after="0" w:line="171" w:lineRule="exact"/>
        <w:rPr>
          <w:sz w:val="20"/>
          <w:szCs w:val="20"/>
          <w:color w:val="auto"/>
        </w:rPr>
      </w:pPr>
    </w:p>
    <w:p>
      <w:pPr>
        <w:ind w:right="200" w:firstLine="405"/>
        <w:spacing w:after="0" w:line="311" w:lineRule="auto"/>
        <w:rPr>
          <w:sz w:val="20"/>
          <w:szCs w:val="20"/>
          <w:color w:val="auto"/>
        </w:rPr>
      </w:pPr>
      <w:r>
        <w:rPr>
          <w:rFonts w:ascii="Arial" w:cs="Arial" w:eastAsia="Arial" w:hAnsi="Arial"/>
          <w:sz w:val="16"/>
          <w:szCs w:val="16"/>
          <w:color w:val="auto"/>
        </w:rPr>
        <w:t>On September 23, 2016 (the “Merger Date”), we completed the acquisition of Starwood Hotels &amp; Resorts Worldwide, LLC, formerly known as Starwood Hotels &amp; Resorts Worldwide, Inc. (“Starwood”), through a series of transactions (the “Starwood Combination”), after which Starwood became an indirect wholly-owned subsidiary of the Company. We refer to the Starwood business and brands that we acquired as “Legacy-Starwood.”</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Company-Operated Properties</w:t>
      </w:r>
    </w:p>
    <w:p>
      <w:pPr>
        <w:spacing w:after="0" w:line="171" w:lineRule="exact"/>
        <w:rPr>
          <w:sz w:val="20"/>
          <w:szCs w:val="20"/>
          <w:color w:val="auto"/>
        </w:rPr>
      </w:pPr>
    </w:p>
    <w:p>
      <w:pPr>
        <w:ind w:right="400" w:firstLine="405"/>
        <w:spacing w:after="0" w:line="263" w:lineRule="auto"/>
        <w:rPr>
          <w:sz w:val="20"/>
          <w:szCs w:val="20"/>
          <w:color w:val="auto"/>
        </w:rPr>
      </w:pPr>
      <w:r>
        <w:rPr>
          <w:rFonts w:ascii="Arial" w:cs="Arial" w:eastAsia="Arial" w:hAnsi="Arial"/>
          <w:sz w:val="18"/>
          <w:szCs w:val="18"/>
          <w:color w:val="auto"/>
        </w:rPr>
        <w:t>At year-end 2020, we had 2,149 company-operated properties (585,132 rooms), which included properties under long-term management or lease agreements with property owners (management and lease agreements together, the “Operating Agreements”), properties that we own, and home and condominium communities for which we manage the related owners’ associations.</w:t>
      </w:r>
    </w:p>
    <w:p>
      <w:pPr>
        <w:spacing w:after="0" w:line="130" w:lineRule="exact"/>
        <w:rPr>
          <w:sz w:val="20"/>
          <w:szCs w:val="20"/>
          <w:color w:val="auto"/>
        </w:rPr>
      </w:pPr>
    </w:p>
    <w:p>
      <w:pPr>
        <w:ind w:right="80" w:firstLine="445"/>
        <w:spacing w:after="0" w:line="290" w:lineRule="auto"/>
        <w:rPr>
          <w:sz w:val="20"/>
          <w:szCs w:val="20"/>
          <w:color w:val="auto"/>
        </w:rPr>
      </w:pPr>
      <w:r>
        <w:rPr>
          <w:rFonts w:ascii="Arial" w:cs="Arial" w:eastAsia="Arial" w:hAnsi="Arial"/>
          <w:sz w:val="16"/>
          <w:szCs w:val="16"/>
          <w:color w:val="auto"/>
        </w:rPr>
        <w:t>Terms of our management agreements vary, but we earn a management fee that is typically composed of a base management fee, which is a percentage of the revenues of the hotel, and an incentive management fee, which is based on the profits of the hotel. Our management agreements also typically include reimbursement of costs of operations (both direct and indirect). Such agreements are generally for initial periods of 15 to 30 years, with options for us to renew for up to 10 or more additional years. Our lease agreements also vary, but may include fixed annual rentals plus additional rentals based on a specified percentage of annual revenues that exceed a fixed amount. Many of our Operating Agreements are subordinated to mortgages or other liens securing indebtedness of the owners. Many of our Operating Agreements also permit the owners to terminate the agreement if we do not meet certain performance metrics, financial returns fail to meet defined levels for a period of time, and we have not cured those deficiencies. In certain circumstances, some of our management agreements allow owners to convert company-operated properties to franchised properties under our brands.</w:t>
      </w:r>
    </w:p>
    <w:p>
      <w:pPr>
        <w:spacing w:after="0" w:line="111"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For the lodging facilities we operate, we generally are responsible for hiring, training, and supervising the managers and employees needed to operate the facilities and for purchasing supplies, and owners are required to reimburse us for those costs. We provide centralized reservation services and advertising, marketing, and promotional services, as well as various accounting and data processing services, and owners are also required to reimburse us for those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Franchised and Licensed Properties</w:t>
      </w:r>
    </w:p>
    <w:p>
      <w:pPr>
        <w:spacing w:after="0" w:line="171" w:lineRule="exact"/>
        <w:rPr>
          <w:sz w:val="20"/>
          <w:szCs w:val="20"/>
          <w:color w:val="auto"/>
        </w:rPr>
      </w:pPr>
    </w:p>
    <w:p>
      <w:pPr>
        <w:ind w:right="80" w:firstLine="445"/>
        <w:spacing w:after="0" w:line="279" w:lineRule="auto"/>
        <w:rPr>
          <w:sz w:val="20"/>
          <w:szCs w:val="20"/>
          <w:color w:val="auto"/>
        </w:rPr>
      </w:pPr>
      <w:r>
        <w:rPr>
          <w:rFonts w:ascii="Arial" w:cs="Arial" w:eastAsia="Arial" w:hAnsi="Arial"/>
          <w:sz w:val="17"/>
          <w:szCs w:val="17"/>
          <w:color w:val="auto"/>
        </w:rPr>
        <w:t>We have franchising and licensing arrangements that permit hotel owners and operators to use many of our lodging brand names and systems. Under our hotel franchising arrangements, we generally receive an initial application fee and continuing royalty fees, which typically range from four to seven percent of room revenues for all brands, plus two to three percent of food and beverage revenues for certain full-service brands. Franchisees contribute to our marketing and advertising programs and pay fees for use of our centralized reservation systems.</w:t>
      </w:r>
    </w:p>
    <w:p>
      <w:pPr>
        <w:spacing w:after="0" w:line="117"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We also receive royalty fees under license agreements with Marriott Vacations Worldwide Corporation (“MVW”), our former timeshare subsidiary that we spun off in 2011, and its affiliates for certain brands, including Marriott Vacation Club, Grand Residences by Marriott, The Ritz-Carlton Destination Club, Westin, Sheraton, and for certain existing properties, St. Regis and The Luxury Collection. We receive license fees from MVW consisting of a fixed annual fee, adjusted for inflation, plus certain variable fees based on sales volumes.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year-end 2020, we had 5,493 franchised and licensed properties (837,912 rooms).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w:t>
      </w:r>
    </w:p>
    <w:p>
      <w:pPr>
        <w:spacing w:after="0" w:line="171"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We use or license our trademarks for the sale of residential real estate, often in conjunction with hotel development, and receive branding fees for sales of such branded residential real estate by others. Third-party owners typically construct and sell residences with limited amounts, if any, of our capital at risk. We have used or licensed the JW Marriott, The Ritz-Carlton, Ritz-Carlton Reserve, W, The Luxury Collection, St. Regis, EDITION, Bulgari, Renaissance, Le Méridien, Marriott, Sheraton, Westin, Four Points, Delta and Autograph Collection brand names and trademarks for residential real estate sales.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171"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We operate in a highly competitive industry and our brand names, trademarks, service marks, trade names, and logos are very important to the sales and marketing of our properties and services. We believe that our brand names and other intellectual property have come to represent the highest standards of quality, care, service, and value to our customers, guests, and the traveling public. Accordingly, we register and protect our intellectual property where we deem appropriate and otherwise protect against its unauthorized use.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Brand Portfolio</w:t>
      </w:r>
    </w:p>
    <w:p>
      <w:pPr>
        <w:spacing w:after="0" w:line="171" w:lineRule="exact"/>
        <w:rPr>
          <w:sz w:val="20"/>
          <w:szCs w:val="20"/>
          <w:color w:val="auto"/>
        </w:rPr>
      </w:pPr>
    </w:p>
    <w:p>
      <w:pPr>
        <w:ind w:right="240" w:firstLine="405"/>
        <w:spacing w:after="0" w:line="286" w:lineRule="auto"/>
        <w:rPr>
          <w:sz w:val="20"/>
          <w:szCs w:val="20"/>
          <w:color w:val="auto"/>
        </w:rPr>
      </w:pPr>
      <w:r>
        <w:rPr>
          <w:rFonts w:ascii="Arial" w:cs="Arial" w:eastAsia="Arial" w:hAnsi="Arial"/>
          <w:sz w:val="17"/>
          <w:szCs w:val="17"/>
          <w:color w:val="auto"/>
        </w:rPr>
        <w:t>We believe that our brand portfolio offers the most compelling range of brands and hotels in hospitality. Our brands are categorized by style of offering - Classic and Distinctive. Our Classic brands offer time-honored hospitality for the modern traveler, and our Distinctive brands offer memorable experiences with a unique perspective - each of which we group into three quality tiers: Luxury, Premium, and Select.</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b w:val="1"/>
          <w:bCs w:val="1"/>
          <w:i w:val="1"/>
          <w:iCs w:val="1"/>
          <w:color w:val="auto"/>
        </w:rPr>
        <w:t xml:space="preserve">Luxury </w:t>
      </w:r>
      <w:r>
        <w:rPr>
          <w:rFonts w:ascii="Arial" w:cs="Arial" w:eastAsia="Arial" w:hAnsi="Arial"/>
          <w:sz w:val="18"/>
          <w:szCs w:val="18"/>
          <w:color w:val="auto"/>
        </w:rPr>
        <w:t>offers bespoke and superb amenities and services. Our Classic Luxury hotel brands include JW Marriott, The Ritz-Carlton, and St. Regis.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Distinctive Luxury hotel brands include W Hotels, The Luxury Collection, EDITION, and Bulgari.</w:t>
      </w:r>
    </w:p>
    <w:p>
      <w:pPr>
        <w:spacing w:after="0" w:line="116" w:lineRule="exact"/>
        <w:rPr>
          <w:sz w:val="20"/>
          <w:szCs w:val="20"/>
          <w:color w:val="auto"/>
        </w:rPr>
      </w:pPr>
    </w:p>
    <w:p>
      <w:pPr>
        <w:jc w:val="both"/>
        <w:ind w:right="380" w:firstLine="405"/>
        <w:spacing w:after="0" w:line="263" w:lineRule="auto"/>
        <w:rPr>
          <w:sz w:val="20"/>
          <w:szCs w:val="20"/>
          <w:color w:val="auto"/>
        </w:rPr>
      </w:pPr>
      <w:r>
        <w:rPr>
          <w:rFonts w:ascii="Arial" w:cs="Arial" w:eastAsia="Arial" w:hAnsi="Arial"/>
          <w:sz w:val="18"/>
          <w:szCs w:val="18"/>
          <w:b w:val="1"/>
          <w:bCs w:val="1"/>
          <w:i w:val="1"/>
          <w:iCs w:val="1"/>
          <w:color w:val="auto"/>
        </w:rPr>
        <w:t xml:space="preserve">Premium </w:t>
      </w:r>
      <w:r>
        <w:rPr>
          <w:rFonts w:ascii="Arial" w:cs="Arial" w:eastAsia="Arial" w:hAnsi="Arial"/>
          <w:sz w:val="18"/>
          <w:szCs w:val="18"/>
          <w:color w:val="auto"/>
        </w:rPr>
        <w:t>offers sophisticated and thoughtful amenities and services. Our Classic Premium hotel brands include Marriott Hotels, Sheraton, Delta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Hotels, Marriott Executive Apartments, and Marriott Vacation Club. Our Distinctive Premium hotel brands include Westin, Renaissance, Le Méridien, Autograph Collection, Gaylord Hotels, Tribute Portfolio, and Design Hotels.</w:t>
      </w:r>
    </w:p>
    <w:p>
      <w:pPr>
        <w:spacing w:after="0" w:line="130" w:lineRule="exact"/>
        <w:rPr>
          <w:sz w:val="20"/>
          <w:szCs w:val="20"/>
          <w:color w:val="auto"/>
        </w:rPr>
      </w:pPr>
    </w:p>
    <w:p>
      <w:pPr>
        <w:jc w:val="both"/>
        <w:ind w:right="360" w:firstLine="405"/>
        <w:spacing w:after="0" w:line="263" w:lineRule="auto"/>
        <w:rPr>
          <w:sz w:val="20"/>
          <w:szCs w:val="20"/>
          <w:color w:val="auto"/>
        </w:rPr>
      </w:pPr>
      <w:r>
        <w:rPr>
          <w:rFonts w:ascii="Arial" w:cs="Arial" w:eastAsia="Arial" w:hAnsi="Arial"/>
          <w:sz w:val="18"/>
          <w:szCs w:val="18"/>
          <w:b w:val="1"/>
          <w:bCs w:val="1"/>
          <w:i w:val="1"/>
          <w:iCs w:val="1"/>
          <w:color w:val="auto"/>
        </w:rPr>
        <w:t xml:space="preserve">Select </w:t>
      </w:r>
      <w:r>
        <w:rPr>
          <w:rFonts w:ascii="Arial" w:cs="Arial" w:eastAsia="Arial" w:hAnsi="Arial"/>
          <w:sz w:val="18"/>
          <w:szCs w:val="18"/>
          <w:color w:val="auto"/>
        </w:rPr>
        <w:t>offers smart and easy amenities and services, with our longer stay brands offering amenities that mirror the comforts of home. Our Classic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Select hotel brands include Courtyard, Residence Inn, Fairfield by Marriott, SpringHill Suites, Four Points, TownePlace Suites, and Protea Hotels. Our Distinctive Select hotel brands include Aloft, AC Hotels by Marriott, Element, and Moxy.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geographic distribution of our brands at year-end 2020:</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ind w:left="780"/>
              <w:spacing w:after="0"/>
              <w:rPr>
                <w:sz w:val="20"/>
                <w:szCs w:val="20"/>
                <w:color w:val="auto"/>
              </w:rPr>
            </w:pPr>
            <w:r>
              <w:rPr>
                <w:rFonts w:ascii="Arial" w:cs="Arial" w:eastAsia="Arial" w:hAnsi="Arial"/>
                <w:sz w:val="14"/>
                <w:szCs w:val="14"/>
                <w:b w:val="1"/>
                <w:bCs w:val="1"/>
                <w:color w:val="auto"/>
              </w:rPr>
              <w:t>U.S. &amp;</w:t>
            </w:r>
          </w:p>
        </w:tc>
        <w:tc>
          <w:tcPr>
            <w:tcW w:w="9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Europe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7"/>
              </w:rPr>
              <w:t>Middle East &amp;</w:t>
            </w:r>
          </w:p>
        </w:tc>
        <w:tc>
          <w:tcPr>
            <w:tcW w:w="10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Asia Pacific</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9"/>
              </w:rPr>
              <w:t>Caribbean &amp;</w:t>
            </w:r>
          </w:p>
        </w:tc>
        <w:tc>
          <w:tcPr>
            <w:tcW w:w="10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4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Canada</w:t>
            </w:r>
          </w:p>
        </w:tc>
        <w:tc>
          <w:tcPr>
            <w:tcW w:w="94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Africa</w:t>
            </w:r>
          </w:p>
        </w:tc>
        <w:tc>
          <w:tcPr>
            <w:tcW w:w="102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Latin America</w:t>
            </w: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Luxury</w:t>
            </w:r>
          </w:p>
        </w:tc>
        <w:tc>
          <w:tcPr>
            <w:tcW w:w="1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80" w:type="dxa"/>
            <w:vAlign w:val="bottom"/>
            <w:vMerge w:val="restart"/>
          </w:tcPr>
          <w:p>
            <w:pPr>
              <w:ind w:left="20"/>
              <w:spacing w:after="0"/>
              <w:rPr>
                <w:sz w:val="20"/>
                <w:szCs w:val="20"/>
                <w:color w:val="auto"/>
              </w:rPr>
            </w:pPr>
            <w:r>
              <w:rPr>
                <w:rFonts w:ascii="Arial" w:cs="Arial" w:eastAsia="Arial" w:hAnsi="Arial"/>
                <w:sz w:val="14"/>
                <w:szCs w:val="14"/>
                <w:color w:val="auto"/>
              </w:rPr>
              <w:t>JW Marriott</w:t>
            </w:r>
            <w:r>
              <w:rPr>
                <w:rFonts w:ascii="Arial" w:cs="Arial" w:eastAsia="Arial" w:hAnsi="Arial"/>
                <w:sz w:val="18"/>
                <w:szCs w:val="18"/>
                <w:color w:val="auto"/>
                <w:vertAlign w:val="superscript"/>
              </w:rPr>
              <w:t>®</w:t>
            </w:r>
          </w:p>
        </w:tc>
        <w:tc>
          <w:tcPr>
            <w:tcW w:w="1200" w:type="dxa"/>
            <w:vAlign w:val="bottom"/>
          </w:tcPr>
          <w:p>
            <w:pPr>
              <w:ind w:left="6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89"/>
              </w:rPr>
              <w:t>34</w:t>
            </w:r>
          </w:p>
        </w:tc>
        <w:tc>
          <w:tcPr>
            <w:tcW w:w="940" w:type="dxa"/>
            <w:vAlign w:val="bottom"/>
          </w:tcPr>
          <w:p>
            <w:pPr>
              <w:jc w:val="center"/>
              <w:spacing w:after="0"/>
              <w:rPr>
                <w:sz w:val="20"/>
                <w:szCs w:val="20"/>
                <w:color w:val="auto"/>
              </w:rPr>
            </w:pPr>
            <w:r>
              <w:rPr>
                <w:rFonts w:ascii="Arial" w:cs="Arial" w:eastAsia="Arial" w:hAnsi="Arial"/>
                <w:sz w:val="14"/>
                <w:szCs w:val="14"/>
                <w:color w:val="auto"/>
              </w:rPr>
              <w:t>7</w:t>
            </w:r>
          </w:p>
        </w:tc>
        <w:tc>
          <w:tcPr>
            <w:tcW w:w="1280" w:type="dxa"/>
            <w:vAlign w:val="bottom"/>
          </w:tcPr>
          <w:p>
            <w:pPr>
              <w:jc w:val="center"/>
              <w:spacing w:after="0"/>
              <w:rPr>
                <w:sz w:val="20"/>
                <w:szCs w:val="20"/>
                <w:color w:val="auto"/>
              </w:rPr>
            </w:pPr>
            <w:r>
              <w:rPr>
                <w:rFonts w:ascii="Arial" w:cs="Arial" w:eastAsia="Arial" w:hAnsi="Arial"/>
                <w:sz w:val="14"/>
                <w:szCs w:val="14"/>
                <w:color w:val="auto"/>
                <w:w w:val="76"/>
              </w:rPr>
              <w:t>6</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42</w:t>
            </w:r>
          </w:p>
        </w:tc>
        <w:tc>
          <w:tcPr>
            <w:tcW w:w="1280" w:type="dxa"/>
            <w:vAlign w:val="bottom"/>
          </w:tcPr>
          <w:p>
            <w:pPr>
              <w:jc w:val="center"/>
              <w:spacing w:after="0"/>
              <w:rPr>
                <w:sz w:val="20"/>
                <w:szCs w:val="20"/>
                <w:color w:val="auto"/>
              </w:rPr>
            </w:pPr>
            <w:r>
              <w:rPr>
                <w:rFonts w:ascii="Arial" w:cs="Arial" w:eastAsia="Arial" w:hAnsi="Arial"/>
                <w:sz w:val="14"/>
                <w:szCs w:val="14"/>
                <w:color w:val="auto"/>
                <w:w w:val="89"/>
              </w:rPr>
              <w:t>13</w:t>
            </w:r>
          </w:p>
        </w:tc>
        <w:tc>
          <w:tcPr>
            <w:tcW w:w="1040" w:type="dxa"/>
            <w:vAlign w:val="bottom"/>
          </w:tcPr>
          <w:p>
            <w:pPr>
              <w:jc w:val="center"/>
              <w:ind w:right="28"/>
              <w:spacing w:after="0"/>
              <w:rPr>
                <w:sz w:val="20"/>
                <w:szCs w:val="20"/>
                <w:color w:val="auto"/>
              </w:rPr>
            </w:pPr>
            <w:r>
              <w:rPr>
                <w:rFonts w:ascii="Arial" w:cs="Arial" w:eastAsia="Arial" w:hAnsi="Arial"/>
                <w:sz w:val="14"/>
                <w:szCs w:val="14"/>
                <w:color w:val="auto"/>
                <w:w w:val="94"/>
              </w:rPr>
              <w:t>102</w:t>
            </w:r>
          </w:p>
        </w:tc>
        <w:tc>
          <w:tcPr>
            <w:tcW w:w="0" w:type="dxa"/>
            <w:vAlign w:val="bottom"/>
          </w:tcPr>
          <w:p>
            <w:pPr>
              <w:spacing w:after="0"/>
              <w:rPr>
                <w:sz w:val="1"/>
                <w:szCs w:val="1"/>
                <w:color w:val="auto"/>
              </w:rPr>
            </w:pPr>
          </w:p>
        </w:tc>
      </w:tr>
      <w:tr>
        <w:trPr>
          <w:trHeight w:val="160"/>
        </w:trPr>
        <w:tc>
          <w:tcPr>
            <w:tcW w:w="2480" w:type="dxa"/>
            <w:vAlign w:val="bottom"/>
            <w:vMerge w:val="continue"/>
          </w:tcPr>
          <w:p>
            <w:pPr>
              <w:spacing w:after="0"/>
              <w:rPr>
                <w:sz w:val="13"/>
                <w:szCs w:val="13"/>
                <w:color w:val="auto"/>
              </w:rPr>
            </w:pPr>
          </w:p>
        </w:tc>
        <w:tc>
          <w:tcPr>
            <w:tcW w:w="1200" w:type="dxa"/>
            <w:vAlign w:val="bottom"/>
            <w:vMerge w:val="restart"/>
          </w:tcPr>
          <w:p>
            <w:pPr>
              <w:ind w:left="6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48"/>
              <w:spacing w:after="0"/>
              <w:rPr>
                <w:sz w:val="20"/>
                <w:szCs w:val="20"/>
                <w:color w:val="auto"/>
              </w:rPr>
            </w:pPr>
            <w:r>
              <w:rPr>
                <w:rFonts w:ascii="Arial" w:cs="Arial" w:eastAsia="Arial" w:hAnsi="Arial"/>
                <w:sz w:val="14"/>
                <w:szCs w:val="14"/>
                <w:color w:val="auto"/>
                <w:w w:val="93"/>
              </w:rPr>
              <w:t>18,658</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1"/>
              </w:rPr>
              <w:t>2,205</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6"/>
              </w:rPr>
              <w:t>3,325</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8"/>
              </w:rPr>
              <w:t>15,574</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1"/>
              </w:rPr>
              <w:t>3,597</w:t>
            </w:r>
          </w:p>
        </w:tc>
        <w:tc>
          <w:tcPr>
            <w:tcW w:w="1040" w:type="dxa"/>
            <w:vAlign w:val="bottom"/>
            <w:vMerge w:val="restart"/>
          </w:tcPr>
          <w:p>
            <w:pPr>
              <w:jc w:val="center"/>
              <w:ind w:right="48"/>
              <w:spacing w:after="0"/>
              <w:rPr>
                <w:sz w:val="20"/>
                <w:szCs w:val="20"/>
                <w:color w:val="auto"/>
              </w:rPr>
            </w:pPr>
            <w:r>
              <w:rPr>
                <w:rFonts w:ascii="Arial" w:cs="Arial" w:eastAsia="Arial" w:hAnsi="Arial"/>
                <w:sz w:val="14"/>
                <w:szCs w:val="14"/>
                <w:color w:val="auto"/>
                <w:w w:val="93"/>
              </w:rPr>
              <w:t>43,359</w:t>
            </w:r>
          </w:p>
        </w:tc>
        <w:tc>
          <w:tcPr>
            <w:tcW w:w="0" w:type="dxa"/>
            <w:vAlign w:val="bottom"/>
          </w:tcPr>
          <w:p>
            <w:pPr>
              <w:spacing w:after="0"/>
              <w:rPr>
                <w:sz w:val="1"/>
                <w:szCs w:val="1"/>
                <w:color w:val="auto"/>
              </w:rPr>
            </w:pPr>
          </w:p>
        </w:tc>
      </w:tr>
      <w:tr>
        <w:trPr>
          <w:trHeight w:val="51"/>
        </w:trPr>
        <w:tc>
          <w:tcPr>
            <w:tcW w:w="24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480" w:type="dxa"/>
            <w:vAlign w:val="bottom"/>
            <w:vMerge w:val="restart"/>
          </w:tcPr>
          <w:p>
            <w:pPr>
              <w:ind w:left="20"/>
              <w:spacing w:after="0"/>
              <w:rPr>
                <w:sz w:val="20"/>
                <w:szCs w:val="20"/>
                <w:color w:val="auto"/>
              </w:rPr>
            </w:pPr>
            <w:r>
              <w:rPr>
                <w:rFonts w:ascii="Arial" w:cs="Arial" w:eastAsia="Arial" w:hAnsi="Arial"/>
                <w:sz w:val="14"/>
                <w:szCs w:val="14"/>
                <w:color w:val="auto"/>
              </w:rPr>
              <w:t>The Ritz-Carlton</w:t>
            </w:r>
            <w:r>
              <w:rPr>
                <w:rFonts w:ascii="Arial" w:cs="Arial" w:eastAsia="Arial" w:hAnsi="Arial"/>
                <w:sz w:val="18"/>
                <w:szCs w:val="18"/>
                <w:color w:val="auto"/>
                <w:vertAlign w:val="superscript"/>
              </w:rPr>
              <w:t>®</w:t>
            </w:r>
          </w:p>
        </w:tc>
        <w:tc>
          <w:tcPr>
            <w:tcW w:w="1200" w:type="dxa"/>
            <w:vAlign w:val="bottom"/>
          </w:tcPr>
          <w:p>
            <w:pPr>
              <w:ind w:left="6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89"/>
              </w:rPr>
              <w:t>39</w:t>
            </w: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13</w:t>
            </w:r>
          </w:p>
        </w:tc>
        <w:tc>
          <w:tcPr>
            <w:tcW w:w="1280" w:type="dxa"/>
            <w:vAlign w:val="bottom"/>
          </w:tcPr>
          <w:p>
            <w:pPr>
              <w:jc w:val="center"/>
              <w:spacing w:after="0"/>
              <w:rPr>
                <w:sz w:val="20"/>
                <w:szCs w:val="20"/>
                <w:color w:val="auto"/>
              </w:rPr>
            </w:pPr>
            <w:r>
              <w:rPr>
                <w:rFonts w:ascii="Arial" w:cs="Arial" w:eastAsia="Arial" w:hAnsi="Arial"/>
                <w:sz w:val="14"/>
                <w:szCs w:val="14"/>
                <w:color w:val="auto"/>
                <w:w w:val="89"/>
              </w:rPr>
              <w:t>13</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36</w:t>
            </w:r>
          </w:p>
        </w:tc>
        <w:tc>
          <w:tcPr>
            <w:tcW w:w="1280" w:type="dxa"/>
            <w:vAlign w:val="bottom"/>
          </w:tcPr>
          <w:p>
            <w:pPr>
              <w:jc w:val="center"/>
              <w:spacing w:after="0"/>
              <w:rPr>
                <w:sz w:val="20"/>
                <w:szCs w:val="20"/>
                <w:color w:val="auto"/>
              </w:rPr>
            </w:pPr>
            <w:r>
              <w:rPr>
                <w:rFonts w:ascii="Arial" w:cs="Arial" w:eastAsia="Arial" w:hAnsi="Arial"/>
                <w:sz w:val="14"/>
                <w:szCs w:val="14"/>
                <w:color w:val="auto"/>
                <w:w w:val="76"/>
              </w:rPr>
              <w:t>8</w:t>
            </w:r>
          </w:p>
        </w:tc>
        <w:tc>
          <w:tcPr>
            <w:tcW w:w="1040" w:type="dxa"/>
            <w:vAlign w:val="bottom"/>
          </w:tcPr>
          <w:p>
            <w:pPr>
              <w:jc w:val="center"/>
              <w:ind w:right="28"/>
              <w:spacing w:after="0"/>
              <w:rPr>
                <w:sz w:val="20"/>
                <w:szCs w:val="20"/>
                <w:color w:val="auto"/>
              </w:rPr>
            </w:pPr>
            <w:r>
              <w:rPr>
                <w:rFonts w:ascii="Arial" w:cs="Arial" w:eastAsia="Arial" w:hAnsi="Arial"/>
                <w:sz w:val="14"/>
                <w:szCs w:val="14"/>
                <w:color w:val="auto"/>
                <w:w w:val="94"/>
              </w:rPr>
              <w:t>109</w:t>
            </w:r>
          </w:p>
        </w:tc>
        <w:tc>
          <w:tcPr>
            <w:tcW w:w="0" w:type="dxa"/>
            <w:vAlign w:val="bottom"/>
          </w:tcPr>
          <w:p>
            <w:pPr>
              <w:spacing w:after="0"/>
              <w:rPr>
                <w:sz w:val="1"/>
                <w:szCs w:val="1"/>
                <w:color w:val="auto"/>
              </w:rPr>
            </w:pPr>
          </w:p>
        </w:tc>
      </w:tr>
      <w:tr>
        <w:trPr>
          <w:trHeight w:val="160"/>
        </w:trPr>
        <w:tc>
          <w:tcPr>
            <w:tcW w:w="2480" w:type="dxa"/>
            <w:vAlign w:val="bottom"/>
            <w:vMerge w:val="continue"/>
          </w:tcPr>
          <w:p>
            <w:pPr>
              <w:spacing w:after="0"/>
              <w:rPr>
                <w:sz w:val="13"/>
                <w:szCs w:val="13"/>
                <w:color w:val="auto"/>
              </w:rPr>
            </w:pPr>
          </w:p>
        </w:tc>
        <w:tc>
          <w:tcPr>
            <w:tcW w:w="1200" w:type="dxa"/>
            <w:vAlign w:val="bottom"/>
            <w:vMerge w:val="restart"/>
          </w:tcPr>
          <w:p>
            <w:pPr>
              <w:ind w:left="6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48"/>
              <w:spacing w:after="0"/>
              <w:rPr>
                <w:sz w:val="20"/>
                <w:szCs w:val="20"/>
                <w:color w:val="auto"/>
              </w:rPr>
            </w:pPr>
            <w:r>
              <w:rPr>
                <w:rFonts w:ascii="Arial" w:cs="Arial" w:eastAsia="Arial" w:hAnsi="Arial"/>
                <w:sz w:val="14"/>
                <w:szCs w:val="14"/>
                <w:color w:val="auto"/>
                <w:w w:val="93"/>
              </w:rPr>
              <w:t>11,833</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1"/>
              </w:rPr>
              <w:t>3,080</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6"/>
              </w:rPr>
              <w:t>3,523</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6"/>
              </w:rPr>
              <w:t>8,754</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1"/>
              </w:rPr>
              <w:t>2,081</w:t>
            </w:r>
          </w:p>
        </w:tc>
        <w:tc>
          <w:tcPr>
            <w:tcW w:w="1040" w:type="dxa"/>
            <w:vAlign w:val="bottom"/>
            <w:vMerge w:val="restart"/>
          </w:tcPr>
          <w:p>
            <w:pPr>
              <w:jc w:val="center"/>
              <w:ind w:right="48"/>
              <w:spacing w:after="0"/>
              <w:rPr>
                <w:sz w:val="20"/>
                <w:szCs w:val="20"/>
                <w:color w:val="auto"/>
              </w:rPr>
            </w:pPr>
            <w:r>
              <w:rPr>
                <w:rFonts w:ascii="Arial" w:cs="Arial" w:eastAsia="Arial" w:hAnsi="Arial"/>
                <w:sz w:val="14"/>
                <w:szCs w:val="14"/>
                <w:color w:val="auto"/>
                <w:w w:val="93"/>
              </w:rPr>
              <w:t>29,271</w:t>
            </w:r>
          </w:p>
        </w:tc>
        <w:tc>
          <w:tcPr>
            <w:tcW w:w="0" w:type="dxa"/>
            <w:vAlign w:val="bottom"/>
          </w:tcPr>
          <w:p>
            <w:pPr>
              <w:spacing w:after="0"/>
              <w:rPr>
                <w:sz w:val="1"/>
                <w:szCs w:val="1"/>
                <w:color w:val="auto"/>
              </w:rPr>
            </w:pPr>
          </w:p>
        </w:tc>
      </w:tr>
      <w:tr>
        <w:trPr>
          <w:trHeight w:val="51"/>
        </w:trPr>
        <w:tc>
          <w:tcPr>
            <w:tcW w:w="24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480" w:type="dxa"/>
            <w:vAlign w:val="bottom"/>
            <w:vMerge w:val="restart"/>
          </w:tcPr>
          <w:p>
            <w:pPr>
              <w:ind w:left="20"/>
              <w:spacing w:after="0"/>
              <w:rPr>
                <w:sz w:val="20"/>
                <w:szCs w:val="20"/>
                <w:color w:val="auto"/>
              </w:rPr>
            </w:pPr>
            <w:r>
              <w:rPr>
                <w:rFonts w:ascii="Arial" w:cs="Arial" w:eastAsia="Arial" w:hAnsi="Arial"/>
                <w:sz w:val="14"/>
                <w:szCs w:val="14"/>
                <w:color w:val="auto"/>
              </w:rPr>
              <w:t>W</w:t>
            </w:r>
            <w:r>
              <w:rPr>
                <w:rFonts w:ascii="Arial" w:cs="Arial" w:eastAsia="Arial" w:hAnsi="Arial"/>
                <w:sz w:val="18"/>
                <w:szCs w:val="18"/>
                <w:color w:val="auto"/>
                <w:vertAlign w:val="superscript"/>
              </w:rPr>
              <w:t>®</w:t>
            </w:r>
            <w:r>
              <w:rPr>
                <w:rFonts w:ascii="Arial" w:cs="Arial" w:eastAsia="Arial" w:hAnsi="Arial"/>
                <w:sz w:val="14"/>
                <w:szCs w:val="14"/>
                <w:color w:val="auto"/>
              </w:rPr>
              <w:t xml:space="preserve"> Hotels</w:t>
            </w:r>
          </w:p>
        </w:tc>
        <w:tc>
          <w:tcPr>
            <w:tcW w:w="1200" w:type="dxa"/>
            <w:vAlign w:val="bottom"/>
          </w:tcPr>
          <w:p>
            <w:pPr>
              <w:ind w:left="6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89"/>
              </w:rPr>
              <w:t>24</w:t>
            </w:r>
          </w:p>
        </w:tc>
        <w:tc>
          <w:tcPr>
            <w:tcW w:w="940" w:type="dxa"/>
            <w:vAlign w:val="bottom"/>
          </w:tcPr>
          <w:p>
            <w:pPr>
              <w:jc w:val="center"/>
              <w:spacing w:after="0"/>
              <w:rPr>
                <w:sz w:val="20"/>
                <w:szCs w:val="20"/>
                <w:color w:val="auto"/>
              </w:rPr>
            </w:pPr>
            <w:r>
              <w:rPr>
                <w:rFonts w:ascii="Arial" w:cs="Arial" w:eastAsia="Arial" w:hAnsi="Arial"/>
                <w:sz w:val="14"/>
                <w:szCs w:val="14"/>
                <w:color w:val="auto"/>
              </w:rPr>
              <w:t>7</w:t>
            </w:r>
          </w:p>
        </w:tc>
        <w:tc>
          <w:tcPr>
            <w:tcW w:w="128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16</w:t>
            </w:r>
          </w:p>
        </w:tc>
        <w:tc>
          <w:tcPr>
            <w:tcW w:w="1280" w:type="dxa"/>
            <w:vAlign w:val="bottom"/>
          </w:tcPr>
          <w:p>
            <w:pPr>
              <w:jc w:val="center"/>
              <w:spacing w:after="0"/>
              <w:rPr>
                <w:sz w:val="20"/>
                <w:szCs w:val="20"/>
                <w:color w:val="auto"/>
              </w:rPr>
            </w:pPr>
            <w:r>
              <w:rPr>
                <w:rFonts w:ascii="Arial" w:cs="Arial" w:eastAsia="Arial" w:hAnsi="Arial"/>
                <w:sz w:val="14"/>
                <w:szCs w:val="14"/>
                <w:color w:val="auto"/>
                <w:w w:val="76"/>
              </w:rPr>
              <w:t>7</w:t>
            </w:r>
          </w:p>
        </w:tc>
        <w:tc>
          <w:tcPr>
            <w:tcW w:w="1040" w:type="dxa"/>
            <w:vAlign w:val="bottom"/>
          </w:tcPr>
          <w:p>
            <w:pPr>
              <w:jc w:val="center"/>
              <w:ind w:right="28"/>
              <w:spacing w:after="0"/>
              <w:rPr>
                <w:sz w:val="20"/>
                <w:szCs w:val="20"/>
                <w:color w:val="auto"/>
              </w:rPr>
            </w:pPr>
            <w:r>
              <w:rPr>
                <w:rFonts w:ascii="Arial" w:cs="Arial" w:eastAsia="Arial" w:hAnsi="Arial"/>
                <w:sz w:val="14"/>
                <w:szCs w:val="14"/>
                <w:color w:val="auto"/>
                <w:w w:val="89"/>
              </w:rPr>
              <w:t>59</w:t>
            </w:r>
          </w:p>
        </w:tc>
        <w:tc>
          <w:tcPr>
            <w:tcW w:w="0" w:type="dxa"/>
            <w:vAlign w:val="bottom"/>
          </w:tcPr>
          <w:p>
            <w:pPr>
              <w:spacing w:after="0"/>
              <w:rPr>
                <w:sz w:val="1"/>
                <w:szCs w:val="1"/>
                <w:color w:val="auto"/>
              </w:rPr>
            </w:pPr>
          </w:p>
        </w:tc>
      </w:tr>
      <w:tr>
        <w:trPr>
          <w:trHeight w:val="160"/>
        </w:trPr>
        <w:tc>
          <w:tcPr>
            <w:tcW w:w="2480" w:type="dxa"/>
            <w:vAlign w:val="bottom"/>
            <w:vMerge w:val="continue"/>
          </w:tcPr>
          <w:p>
            <w:pPr>
              <w:spacing w:after="0"/>
              <w:rPr>
                <w:sz w:val="13"/>
                <w:szCs w:val="13"/>
                <w:color w:val="auto"/>
              </w:rPr>
            </w:pPr>
          </w:p>
        </w:tc>
        <w:tc>
          <w:tcPr>
            <w:tcW w:w="1200" w:type="dxa"/>
            <w:vAlign w:val="bottom"/>
            <w:vMerge w:val="restart"/>
          </w:tcPr>
          <w:p>
            <w:pPr>
              <w:ind w:left="6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48"/>
              <w:spacing w:after="0"/>
              <w:rPr>
                <w:sz w:val="20"/>
                <w:szCs w:val="20"/>
                <w:color w:val="auto"/>
              </w:rPr>
            </w:pPr>
            <w:r>
              <w:rPr>
                <w:rFonts w:ascii="Arial" w:cs="Arial" w:eastAsia="Arial" w:hAnsi="Arial"/>
                <w:sz w:val="14"/>
                <w:szCs w:val="14"/>
                <w:color w:val="auto"/>
                <w:w w:val="91"/>
              </w:rPr>
              <w:t>7,182</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1"/>
              </w:rPr>
              <w:t>1,423</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6"/>
              </w:rPr>
              <w:t>1,850</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6"/>
              </w:rPr>
              <w:t>4,245</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1"/>
              </w:rPr>
              <w:t>1,752</w:t>
            </w:r>
          </w:p>
        </w:tc>
        <w:tc>
          <w:tcPr>
            <w:tcW w:w="1040" w:type="dxa"/>
            <w:vAlign w:val="bottom"/>
            <w:vMerge w:val="restart"/>
          </w:tcPr>
          <w:p>
            <w:pPr>
              <w:jc w:val="center"/>
              <w:ind w:right="48"/>
              <w:spacing w:after="0"/>
              <w:rPr>
                <w:sz w:val="20"/>
                <w:szCs w:val="20"/>
                <w:color w:val="auto"/>
              </w:rPr>
            </w:pPr>
            <w:r>
              <w:rPr>
                <w:rFonts w:ascii="Arial" w:cs="Arial" w:eastAsia="Arial" w:hAnsi="Arial"/>
                <w:sz w:val="14"/>
                <w:szCs w:val="14"/>
                <w:color w:val="auto"/>
                <w:w w:val="93"/>
              </w:rPr>
              <w:t>16,452</w:t>
            </w:r>
          </w:p>
        </w:tc>
        <w:tc>
          <w:tcPr>
            <w:tcW w:w="0" w:type="dxa"/>
            <w:vAlign w:val="bottom"/>
          </w:tcPr>
          <w:p>
            <w:pPr>
              <w:spacing w:after="0"/>
              <w:rPr>
                <w:sz w:val="1"/>
                <w:szCs w:val="1"/>
                <w:color w:val="auto"/>
              </w:rPr>
            </w:pPr>
          </w:p>
        </w:tc>
      </w:tr>
      <w:tr>
        <w:trPr>
          <w:trHeight w:val="51"/>
        </w:trPr>
        <w:tc>
          <w:tcPr>
            <w:tcW w:w="24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480" w:type="dxa"/>
            <w:vAlign w:val="bottom"/>
            <w:vMerge w:val="restart"/>
          </w:tcPr>
          <w:p>
            <w:pPr>
              <w:ind w:left="20"/>
              <w:spacing w:after="0"/>
              <w:rPr>
                <w:sz w:val="20"/>
                <w:szCs w:val="20"/>
                <w:color w:val="auto"/>
              </w:rPr>
            </w:pPr>
            <w:r>
              <w:rPr>
                <w:rFonts w:ascii="Arial" w:cs="Arial" w:eastAsia="Arial" w:hAnsi="Arial"/>
                <w:sz w:val="14"/>
                <w:szCs w:val="14"/>
                <w:color w:val="auto"/>
              </w:rPr>
              <w:t>The Luxury Collection</w:t>
            </w:r>
            <w:r>
              <w:rPr>
                <w:rFonts w:ascii="Arial" w:cs="Arial" w:eastAsia="Arial" w:hAnsi="Arial"/>
                <w:sz w:val="18"/>
                <w:szCs w:val="18"/>
                <w:color w:val="auto"/>
                <w:vertAlign w:val="superscript"/>
              </w:rPr>
              <w:t>® (1)</w:t>
            </w:r>
          </w:p>
        </w:tc>
        <w:tc>
          <w:tcPr>
            <w:tcW w:w="1200" w:type="dxa"/>
            <w:vAlign w:val="bottom"/>
          </w:tcPr>
          <w:p>
            <w:pPr>
              <w:ind w:left="6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89"/>
              </w:rPr>
              <w:t>17</w:t>
            </w: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48</w:t>
            </w:r>
          </w:p>
        </w:tc>
        <w:tc>
          <w:tcPr>
            <w:tcW w:w="1280" w:type="dxa"/>
            <w:vAlign w:val="bottom"/>
          </w:tcPr>
          <w:p>
            <w:pPr>
              <w:jc w:val="center"/>
              <w:spacing w:after="0"/>
              <w:rPr>
                <w:sz w:val="20"/>
                <w:szCs w:val="20"/>
                <w:color w:val="auto"/>
              </w:rPr>
            </w:pPr>
            <w:r>
              <w:rPr>
                <w:rFonts w:ascii="Arial" w:cs="Arial" w:eastAsia="Arial" w:hAnsi="Arial"/>
                <w:sz w:val="14"/>
                <w:szCs w:val="14"/>
                <w:color w:val="auto"/>
                <w:w w:val="89"/>
              </w:rPr>
              <w:t>10</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30</w:t>
            </w:r>
          </w:p>
        </w:tc>
        <w:tc>
          <w:tcPr>
            <w:tcW w:w="1280" w:type="dxa"/>
            <w:vAlign w:val="bottom"/>
          </w:tcPr>
          <w:p>
            <w:pPr>
              <w:jc w:val="center"/>
              <w:spacing w:after="0"/>
              <w:rPr>
                <w:sz w:val="20"/>
                <w:szCs w:val="20"/>
                <w:color w:val="auto"/>
              </w:rPr>
            </w:pPr>
            <w:r>
              <w:rPr>
                <w:rFonts w:ascii="Arial" w:cs="Arial" w:eastAsia="Arial" w:hAnsi="Arial"/>
                <w:sz w:val="14"/>
                <w:szCs w:val="14"/>
                <w:color w:val="auto"/>
                <w:w w:val="89"/>
              </w:rPr>
              <w:t>14</w:t>
            </w:r>
          </w:p>
        </w:tc>
        <w:tc>
          <w:tcPr>
            <w:tcW w:w="1040" w:type="dxa"/>
            <w:vAlign w:val="bottom"/>
          </w:tcPr>
          <w:p>
            <w:pPr>
              <w:jc w:val="center"/>
              <w:ind w:right="28"/>
              <w:spacing w:after="0"/>
              <w:rPr>
                <w:sz w:val="20"/>
                <w:szCs w:val="20"/>
                <w:color w:val="auto"/>
              </w:rPr>
            </w:pPr>
            <w:r>
              <w:rPr>
                <w:rFonts w:ascii="Arial" w:cs="Arial" w:eastAsia="Arial" w:hAnsi="Arial"/>
                <w:sz w:val="14"/>
                <w:szCs w:val="14"/>
                <w:color w:val="auto"/>
                <w:w w:val="94"/>
              </w:rPr>
              <w:t>119</w:t>
            </w:r>
          </w:p>
        </w:tc>
        <w:tc>
          <w:tcPr>
            <w:tcW w:w="0" w:type="dxa"/>
            <w:vAlign w:val="bottom"/>
          </w:tcPr>
          <w:p>
            <w:pPr>
              <w:spacing w:after="0"/>
              <w:rPr>
                <w:sz w:val="1"/>
                <w:szCs w:val="1"/>
                <w:color w:val="auto"/>
              </w:rPr>
            </w:pPr>
          </w:p>
        </w:tc>
      </w:tr>
      <w:tr>
        <w:trPr>
          <w:trHeight w:val="160"/>
        </w:trPr>
        <w:tc>
          <w:tcPr>
            <w:tcW w:w="2480" w:type="dxa"/>
            <w:vAlign w:val="bottom"/>
            <w:vMerge w:val="continue"/>
          </w:tcPr>
          <w:p>
            <w:pPr>
              <w:spacing w:after="0"/>
              <w:rPr>
                <w:sz w:val="13"/>
                <w:szCs w:val="13"/>
                <w:color w:val="auto"/>
              </w:rPr>
            </w:pPr>
          </w:p>
        </w:tc>
        <w:tc>
          <w:tcPr>
            <w:tcW w:w="1200" w:type="dxa"/>
            <w:vAlign w:val="bottom"/>
            <w:vMerge w:val="restart"/>
          </w:tcPr>
          <w:p>
            <w:pPr>
              <w:ind w:left="6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48"/>
              <w:spacing w:after="0"/>
              <w:rPr>
                <w:sz w:val="20"/>
                <w:szCs w:val="20"/>
                <w:color w:val="auto"/>
              </w:rPr>
            </w:pPr>
            <w:r>
              <w:rPr>
                <w:rFonts w:ascii="Arial" w:cs="Arial" w:eastAsia="Arial" w:hAnsi="Arial"/>
                <w:sz w:val="14"/>
                <w:szCs w:val="14"/>
                <w:color w:val="auto"/>
                <w:w w:val="91"/>
              </w:rPr>
              <w:t>5,090</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1"/>
              </w:rPr>
              <w:t>7,092</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6"/>
              </w:rPr>
              <w:t>2,369</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6"/>
              </w:rPr>
              <w:t>7,715</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1"/>
              </w:rPr>
              <w:t>1,188</w:t>
            </w:r>
          </w:p>
        </w:tc>
        <w:tc>
          <w:tcPr>
            <w:tcW w:w="1040" w:type="dxa"/>
            <w:vAlign w:val="bottom"/>
            <w:vMerge w:val="restart"/>
          </w:tcPr>
          <w:p>
            <w:pPr>
              <w:jc w:val="center"/>
              <w:ind w:right="48"/>
              <w:spacing w:after="0"/>
              <w:rPr>
                <w:sz w:val="20"/>
                <w:szCs w:val="20"/>
                <w:color w:val="auto"/>
              </w:rPr>
            </w:pPr>
            <w:r>
              <w:rPr>
                <w:rFonts w:ascii="Arial" w:cs="Arial" w:eastAsia="Arial" w:hAnsi="Arial"/>
                <w:sz w:val="14"/>
                <w:szCs w:val="14"/>
                <w:color w:val="auto"/>
                <w:w w:val="93"/>
              </w:rPr>
              <w:t>23,454</w:t>
            </w:r>
          </w:p>
        </w:tc>
        <w:tc>
          <w:tcPr>
            <w:tcW w:w="0" w:type="dxa"/>
            <w:vAlign w:val="bottom"/>
          </w:tcPr>
          <w:p>
            <w:pPr>
              <w:spacing w:after="0"/>
              <w:rPr>
                <w:sz w:val="1"/>
                <w:szCs w:val="1"/>
                <w:color w:val="auto"/>
              </w:rPr>
            </w:pPr>
          </w:p>
        </w:tc>
      </w:tr>
      <w:tr>
        <w:trPr>
          <w:trHeight w:val="51"/>
        </w:trPr>
        <w:tc>
          <w:tcPr>
            <w:tcW w:w="24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480" w:type="dxa"/>
            <w:vAlign w:val="bottom"/>
            <w:vMerge w:val="restart"/>
          </w:tcPr>
          <w:p>
            <w:pPr>
              <w:ind w:left="20"/>
              <w:spacing w:after="0"/>
              <w:rPr>
                <w:sz w:val="20"/>
                <w:szCs w:val="20"/>
                <w:color w:val="auto"/>
              </w:rPr>
            </w:pPr>
            <w:r>
              <w:rPr>
                <w:rFonts w:ascii="Arial" w:cs="Arial" w:eastAsia="Arial" w:hAnsi="Arial"/>
                <w:sz w:val="14"/>
                <w:szCs w:val="14"/>
                <w:color w:val="auto"/>
              </w:rPr>
              <w:t>St. Regis</w:t>
            </w:r>
            <w:r>
              <w:rPr>
                <w:rFonts w:ascii="Arial" w:cs="Arial" w:eastAsia="Arial" w:hAnsi="Arial"/>
                <w:sz w:val="18"/>
                <w:szCs w:val="18"/>
                <w:color w:val="auto"/>
                <w:vertAlign w:val="superscript"/>
              </w:rPr>
              <w:t>®</w:t>
            </w:r>
          </w:p>
        </w:tc>
        <w:tc>
          <w:tcPr>
            <w:tcW w:w="1200" w:type="dxa"/>
            <w:vAlign w:val="bottom"/>
          </w:tcPr>
          <w:p>
            <w:pPr>
              <w:ind w:left="6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89"/>
              </w:rPr>
              <w:t>10</w:t>
            </w:r>
          </w:p>
        </w:tc>
        <w:tc>
          <w:tcPr>
            <w:tcW w:w="940" w:type="dxa"/>
            <w:vAlign w:val="bottom"/>
          </w:tcPr>
          <w:p>
            <w:pPr>
              <w:jc w:val="center"/>
              <w:spacing w:after="0"/>
              <w:rPr>
                <w:sz w:val="20"/>
                <w:szCs w:val="20"/>
                <w:color w:val="auto"/>
              </w:rPr>
            </w:pPr>
            <w:r>
              <w:rPr>
                <w:rFonts w:ascii="Arial" w:cs="Arial" w:eastAsia="Arial" w:hAnsi="Arial"/>
                <w:sz w:val="14"/>
                <w:szCs w:val="14"/>
                <w:color w:val="auto"/>
              </w:rPr>
              <w:t>7</w:t>
            </w:r>
          </w:p>
        </w:tc>
        <w:tc>
          <w:tcPr>
            <w:tcW w:w="1280" w:type="dxa"/>
            <w:vAlign w:val="bottom"/>
          </w:tcPr>
          <w:p>
            <w:pPr>
              <w:jc w:val="center"/>
              <w:spacing w:after="0"/>
              <w:rPr>
                <w:sz w:val="20"/>
                <w:szCs w:val="20"/>
                <w:color w:val="auto"/>
              </w:rPr>
            </w:pPr>
            <w:r>
              <w:rPr>
                <w:rFonts w:ascii="Arial" w:cs="Arial" w:eastAsia="Arial" w:hAnsi="Arial"/>
                <w:sz w:val="14"/>
                <w:szCs w:val="14"/>
                <w:color w:val="auto"/>
                <w:w w:val="76"/>
              </w:rPr>
              <w:t>6</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20</w:t>
            </w:r>
          </w:p>
        </w:tc>
        <w:tc>
          <w:tcPr>
            <w:tcW w:w="128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1040" w:type="dxa"/>
            <w:vAlign w:val="bottom"/>
          </w:tcPr>
          <w:p>
            <w:pPr>
              <w:jc w:val="center"/>
              <w:ind w:right="28"/>
              <w:spacing w:after="0"/>
              <w:rPr>
                <w:sz w:val="20"/>
                <w:szCs w:val="20"/>
                <w:color w:val="auto"/>
              </w:rPr>
            </w:pPr>
            <w:r>
              <w:rPr>
                <w:rFonts w:ascii="Arial" w:cs="Arial" w:eastAsia="Arial" w:hAnsi="Arial"/>
                <w:sz w:val="14"/>
                <w:szCs w:val="14"/>
                <w:color w:val="auto"/>
                <w:w w:val="89"/>
              </w:rPr>
              <w:t>46</w:t>
            </w:r>
          </w:p>
        </w:tc>
        <w:tc>
          <w:tcPr>
            <w:tcW w:w="0" w:type="dxa"/>
            <w:vAlign w:val="bottom"/>
          </w:tcPr>
          <w:p>
            <w:pPr>
              <w:spacing w:after="0"/>
              <w:rPr>
                <w:sz w:val="1"/>
                <w:szCs w:val="1"/>
                <w:color w:val="auto"/>
              </w:rPr>
            </w:pPr>
          </w:p>
        </w:tc>
      </w:tr>
      <w:tr>
        <w:trPr>
          <w:trHeight w:val="160"/>
        </w:trPr>
        <w:tc>
          <w:tcPr>
            <w:tcW w:w="2480" w:type="dxa"/>
            <w:vAlign w:val="bottom"/>
            <w:vMerge w:val="continue"/>
          </w:tcPr>
          <w:p>
            <w:pPr>
              <w:spacing w:after="0"/>
              <w:rPr>
                <w:sz w:val="13"/>
                <w:szCs w:val="13"/>
                <w:color w:val="auto"/>
              </w:rPr>
            </w:pPr>
          </w:p>
        </w:tc>
        <w:tc>
          <w:tcPr>
            <w:tcW w:w="1200" w:type="dxa"/>
            <w:vAlign w:val="bottom"/>
            <w:vMerge w:val="restart"/>
          </w:tcPr>
          <w:p>
            <w:pPr>
              <w:ind w:left="6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48"/>
              <w:spacing w:after="0"/>
              <w:rPr>
                <w:sz w:val="20"/>
                <w:szCs w:val="20"/>
                <w:color w:val="auto"/>
              </w:rPr>
            </w:pPr>
            <w:r>
              <w:rPr>
                <w:rFonts w:ascii="Arial" w:cs="Arial" w:eastAsia="Arial" w:hAnsi="Arial"/>
                <w:sz w:val="14"/>
                <w:szCs w:val="14"/>
                <w:color w:val="auto"/>
                <w:w w:val="91"/>
              </w:rPr>
              <w:t>1,968</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1"/>
              </w:rPr>
              <w:t>1,002</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6"/>
              </w:rPr>
              <w:t>1,788</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1"/>
              </w:rPr>
              <w:t>4,811</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4"/>
              </w:rPr>
              <w:t>448</w:t>
            </w:r>
          </w:p>
        </w:tc>
        <w:tc>
          <w:tcPr>
            <w:tcW w:w="1040" w:type="dxa"/>
            <w:vAlign w:val="bottom"/>
            <w:vMerge w:val="restart"/>
          </w:tcPr>
          <w:p>
            <w:pPr>
              <w:jc w:val="center"/>
              <w:ind w:right="48"/>
              <w:spacing w:after="0"/>
              <w:rPr>
                <w:sz w:val="20"/>
                <w:szCs w:val="20"/>
                <w:color w:val="auto"/>
              </w:rPr>
            </w:pPr>
            <w:r>
              <w:rPr>
                <w:rFonts w:ascii="Arial" w:cs="Arial" w:eastAsia="Arial" w:hAnsi="Arial"/>
                <w:sz w:val="14"/>
                <w:szCs w:val="14"/>
                <w:color w:val="auto"/>
                <w:w w:val="93"/>
              </w:rPr>
              <w:t>10,017</w:t>
            </w:r>
          </w:p>
        </w:tc>
        <w:tc>
          <w:tcPr>
            <w:tcW w:w="0" w:type="dxa"/>
            <w:vAlign w:val="bottom"/>
          </w:tcPr>
          <w:p>
            <w:pPr>
              <w:spacing w:after="0"/>
              <w:rPr>
                <w:sz w:val="1"/>
                <w:szCs w:val="1"/>
                <w:color w:val="auto"/>
              </w:rPr>
            </w:pPr>
          </w:p>
        </w:tc>
      </w:tr>
      <w:tr>
        <w:trPr>
          <w:trHeight w:val="51"/>
        </w:trPr>
        <w:tc>
          <w:tcPr>
            <w:tcW w:w="24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480" w:type="dxa"/>
            <w:vAlign w:val="bottom"/>
            <w:vMerge w:val="restart"/>
          </w:tcPr>
          <w:p>
            <w:pPr>
              <w:ind w:left="20"/>
              <w:spacing w:after="0"/>
              <w:rPr>
                <w:sz w:val="20"/>
                <w:szCs w:val="20"/>
                <w:color w:val="auto"/>
              </w:rPr>
            </w:pPr>
            <w:r>
              <w:rPr>
                <w:rFonts w:ascii="Arial" w:cs="Arial" w:eastAsia="Arial" w:hAnsi="Arial"/>
                <w:sz w:val="14"/>
                <w:szCs w:val="14"/>
                <w:color w:val="auto"/>
              </w:rPr>
              <w:t>EDITION</w:t>
            </w:r>
            <w:r>
              <w:rPr>
                <w:rFonts w:ascii="Arial" w:cs="Arial" w:eastAsia="Arial" w:hAnsi="Arial"/>
                <w:sz w:val="18"/>
                <w:szCs w:val="18"/>
                <w:color w:val="auto"/>
                <w:vertAlign w:val="superscript"/>
              </w:rPr>
              <w:t>®</w:t>
            </w:r>
          </w:p>
        </w:tc>
        <w:tc>
          <w:tcPr>
            <w:tcW w:w="1200" w:type="dxa"/>
            <w:vAlign w:val="bottom"/>
          </w:tcPr>
          <w:p>
            <w:pPr>
              <w:ind w:left="6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48"/>
              <w:spacing w:after="0"/>
              <w:rPr>
                <w:sz w:val="20"/>
                <w:szCs w:val="20"/>
                <w:color w:val="auto"/>
              </w:rPr>
            </w:pPr>
            <w:r>
              <w:rPr>
                <w:rFonts w:ascii="Arial" w:cs="Arial" w:eastAsia="Arial" w:hAnsi="Arial"/>
                <w:sz w:val="14"/>
                <w:szCs w:val="14"/>
                <w:color w:val="auto"/>
              </w:rPr>
              <w:t>4</w:t>
            </w:r>
          </w:p>
        </w:tc>
        <w:tc>
          <w:tcPr>
            <w:tcW w:w="940" w:type="dxa"/>
            <w:vAlign w:val="bottom"/>
          </w:tcPr>
          <w:p>
            <w:pPr>
              <w:jc w:val="center"/>
              <w:spacing w:after="0"/>
              <w:rPr>
                <w:sz w:val="20"/>
                <w:szCs w:val="20"/>
                <w:color w:val="auto"/>
              </w:rPr>
            </w:pPr>
            <w:r>
              <w:rPr>
                <w:rFonts w:ascii="Arial" w:cs="Arial" w:eastAsia="Arial" w:hAnsi="Arial"/>
                <w:sz w:val="14"/>
                <w:szCs w:val="14"/>
                <w:color w:val="auto"/>
              </w:rPr>
              <w:t>3</w:t>
            </w:r>
          </w:p>
        </w:tc>
        <w:tc>
          <w:tcPr>
            <w:tcW w:w="1280" w:type="dxa"/>
            <w:vAlign w:val="bottom"/>
          </w:tcPr>
          <w:p>
            <w:pPr>
              <w:jc w:val="center"/>
              <w:spacing w:after="0"/>
              <w:rPr>
                <w:sz w:val="20"/>
                <w:szCs w:val="20"/>
                <w:color w:val="auto"/>
              </w:rPr>
            </w:pPr>
            <w:r>
              <w:rPr>
                <w:rFonts w:ascii="Arial" w:cs="Arial" w:eastAsia="Arial" w:hAnsi="Arial"/>
                <w:sz w:val="14"/>
                <w:szCs w:val="14"/>
                <w:color w:val="auto"/>
                <w:w w:val="76"/>
              </w:rPr>
              <w:t>1</w:t>
            </w:r>
          </w:p>
        </w:tc>
        <w:tc>
          <w:tcPr>
            <w:tcW w:w="102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28"/>
              <w:spacing w:after="0"/>
              <w:rPr>
                <w:sz w:val="20"/>
                <w:szCs w:val="20"/>
                <w:color w:val="auto"/>
              </w:rPr>
            </w:pPr>
            <w:r>
              <w:rPr>
                <w:rFonts w:ascii="Arial" w:cs="Arial" w:eastAsia="Arial" w:hAnsi="Arial"/>
                <w:sz w:val="14"/>
                <w:szCs w:val="14"/>
                <w:color w:val="auto"/>
                <w:w w:val="89"/>
              </w:rPr>
              <w:t>11</w:t>
            </w:r>
          </w:p>
        </w:tc>
        <w:tc>
          <w:tcPr>
            <w:tcW w:w="0" w:type="dxa"/>
            <w:vAlign w:val="bottom"/>
          </w:tcPr>
          <w:p>
            <w:pPr>
              <w:spacing w:after="0"/>
              <w:rPr>
                <w:sz w:val="1"/>
                <w:szCs w:val="1"/>
                <w:color w:val="auto"/>
              </w:rPr>
            </w:pPr>
          </w:p>
        </w:tc>
      </w:tr>
      <w:tr>
        <w:trPr>
          <w:trHeight w:val="160"/>
        </w:trPr>
        <w:tc>
          <w:tcPr>
            <w:tcW w:w="2480" w:type="dxa"/>
            <w:vAlign w:val="bottom"/>
            <w:vMerge w:val="continue"/>
          </w:tcPr>
          <w:p>
            <w:pPr>
              <w:spacing w:after="0"/>
              <w:rPr>
                <w:sz w:val="13"/>
                <w:szCs w:val="13"/>
                <w:color w:val="auto"/>
              </w:rPr>
            </w:pPr>
          </w:p>
        </w:tc>
        <w:tc>
          <w:tcPr>
            <w:tcW w:w="1200" w:type="dxa"/>
            <w:vAlign w:val="bottom"/>
            <w:vMerge w:val="restart"/>
          </w:tcPr>
          <w:p>
            <w:pPr>
              <w:ind w:left="6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48"/>
              <w:spacing w:after="0"/>
              <w:rPr>
                <w:sz w:val="20"/>
                <w:szCs w:val="20"/>
                <w:color w:val="auto"/>
              </w:rPr>
            </w:pPr>
            <w:r>
              <w:rPr>
                <w:rFonts w:ascii="Arial" w:cs="Arial" w:eastAsia="Arial" w:hAnsi="Arial"/>
                <w:sz w:val="14"/>
                <w:szCs w:val="14"/>
                <w:color w:val="auto"/>
                <w:w w:val="91"/>
              </w:rPr>
              <w:t>1,209</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4"/>
              </w:rPr>
              <w:t>381</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4"/>
              </w:rPr>
              <w:t>255</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4"/>
              </w:rPr>
              <w:t>852</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vMerge w:val="restart"/>
          </w:tcPr>
          <w:p>
            <w:pPr>
              <w:jc w:val="center"/>
              <w:ind w:right="48"/>
              <w:spacing w:after="0"/>
              <w:rPr>
                <w:sz w:val="20"/>
                <w:szCs w:val="20"/>
                <w:color w:val="auto"/>
              </w:rPr>
            </w:pPr>
            <w:r>
              <w:rPr>
                <w:rFonts w:ascii="Arial" w:cs="Arial" w:eastAsia="Arial" w:hAnsi="Arial"/>
                <w:sz w:val="14"/>
                <w:szCs w:val="14"/>
                <w:color w:val="auto"/>
                <w:w w:val="91"/>
              </w:rPr>
              <w:t>2,697</w:t>
            </w:r>
          </w:p>
        </w:tc>
        <w:tc>
          <w:tcPr>
            <w:tcW w:w="0" w:type="dxa"/>
            <w:vAlign w:val="bottom"/>
          </w:tcPr>
          <w:p>
            <w:pPr>
              <w:spacing w:after="0"/>
              <w:rPr>
                <w:sz w:val="1"/>
                <w:szCs w:val="1"/>
                <w:color w:val="auto"/>
              </w:rPr>
            </w:pPr>
          </w:p>
        </w:tc>
      </w:tr>
      <w:tr>
        <w:trPr>
          <w:trHeight w:val="51"/>
        </w:trPr>
        <w:tc>
          <w:tcPr>
            <w:tcW w:w="24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480" w:type="dxa"/>
            <w:vAlign w:val="bottom"/>
            <w:vMerge w:val="restart"/>
          </w:tcPr>
          <w:p>
            <w:pPr>
              <w:ind w:left="20"/>
              <w:spacing w:after="0"/>
              <w:rPr>
                <w:sz w:val="20"/>
                <w:szCs w:val="20"/>
                <w:color w:val="auto"/>
              </w:rPr>
            </w:pPr>
            <w:r>
              <w:rPr>
                <w:rFonts w:ascii="Arial" w:cs="Arial" w:eastAsia="Arial" w:hAnsi="Arial"/>
                <w:sz w:val="14"/>
                <w:szCs w:val="14"/>
                <w:color w:val="auto"/>
              </w:rPr>
              <w:t>Bulgari</w:t>
            </w:r>
            <w:r>
              <w:rPr>
                <w:rFonts w:ascii="Arial" w:cs="Arial" w:eastAsia="Arial" w:hAnsi="Arial"/>
                <w:sz w:val="18"/>
                <w:szCs w:val="18"/>
                <w:color w:val="auto"/>
                <w:vertAlign w:val="superscript"/>
              </w:rPr>
              <w:t>®</w:t>
            </w:r>
          </w:p>
        </w:tc>
        <w:tc>
          <w:tcPr>
            <w:tcW w:w="1200" w:type="dxa"/>
            <w:vAlign w:val="bottom"/>
          </w:tcPr>
          <w:p>
            <w:pPr>
              <w:ind w:left="6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940" w:type="dxa"/>
            <w:vAlign w:val="bottom"/>
          </w:tcPr>
          <w:p>
            <w:pPr>
              <w:jc w:val="center"/>
              <w:spacing w:after="0"/>
              <w:rPr>
                <w:sz w:val="20"/>
                <w:szCs w:val="20"/>
                <w:color w:val="auto"/>
              </w:rPr>
            </w:pPr>
            <w:r>
              <w:rPr>
                <w:rFonts w:ascii="Arial" w:cs="Arial" w:eastAsia="Arial" w:hAnsi="Arial"/>
                <w:sz w:val="14"/>
                <w:szCs w:val="14"/>
                <w:color w:val="auto"/>
              </w:rPr>
              <w:t>2</w:t>
            </w:r>
          </w:p>
        </w:tc>
        <w:tc>
          <w:tcPr>
            <w:tcW w:w="1280" w:type="dxa"/>
            <w:vAlign w:val="bottom"/>
          </w:tcPr>
          <w:p>
            <w:pPr>
              <w:jc w:val="center"/>
              <w:spacing w:after="0"/>
              <w:rPr>
                <w:sz w:val="20"/>
                <w:szCs w:val="20"/>
                <w:color w:val="auto"/>
              </w:rPr>
            </w:pPr>
            <w:r>
              <w:rPr>
                <w:rFonts w:ascii="Arial" w:cs="Arial" w:eastAsia="Arial" w:hAnsi="Arial"/>
                <w:sz w:val="14"/>
                <w:szCs w:val="14"/>
                <w:color w:val="auto"/>
                <w:w w:val="76"/>
              </w:rPr>
              <w:t>1</w:t>
            </w:r>
          </w:p>
        </w:tc>
        <w:tc>
          <w:tcPr>
            <w:tcW w:w="102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28"/>
              <w:spacing w:after="0"/>
              <w:rPr>
                <w:sz w:val="20"/>
                <w:szCs w:val="20"/>
                <w:color w:val="auto"/>
              </w:rPr>
            </w:pPr>
            <w:r>
              <w:rPr>
                <w:rFonts w:ascii="Arial" w:cs="Arial" w:eastAsia="Arial" w:hAnsi="Arial"/>
                <w:sz w:val="14"/>
                <w:szCs w:val="14"/>
                <w:color w:val="auto"/>
                <w:w w:val="76"/>
              </w:rPr>
              <w:t>6</w:t>
            </w:r>
          </w:p>
        </w:tc>
        <w:tc>
          <w:tcPr>
            <w:tcW w:w="0" w:type="dxa"/>
            <w:vAlign w:val="bottom"/>
          </w:tcPr>
          <w:p>
            <w:pPr>
              <w:spacing w:after="0"/>
              <w:rPr>
                <w:sz w:val="1"/>
                <w:szCs w:val="1"/>
                <w:color w:val="auto"/>
              </w:rPr>
            </w:pPr>
          </w:p>
        </w:tc>
      </w:tr>
      <w:tr>
        <w:trPr>
          <w:trHeight w:val="160"/>
        </w:trPr>
        <w:tc>
          <w:tcPr>
            <w:tcW w:w="2480" w:type="dxa"/>
            <w:vAlign w:val="bottom"/>
            <w:vMerge w:val="continue"/>
          </w:tcPr>
          <w:p>
            <w:pPr>
              <w:spacing w:after="0"/>
              <w:rPr>
                <w:sz w:val="13"/>
                <w:szCs w:val="13"/>
                <w:color w:val="auto"/>
              </w:rPr>
            </w:pPr>
          </w:p>
        </w:tc>
        <w:tc>
          <w:tcPr>
            <w:tcW w:w="1200" w:type="dxa"/>
            <w:vAlign w:val="bottom"/>
            <w:vMerge w:val="restart"/>
          </w:tcPr>
          <w:p>
            <w:pPr>
              <w:ind w:left="6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68"/>
              <w:spacing w:after="0"/>
              <w:rPr>
                <w:sz w:val="20"/>
                <w:szCs w:val="20"/>
                <w:color w:val="auto"/>
              </w:rPr>
            </w:pPr>
            <w:r>
              <w:rPr>
                <w:rFonts w:ascii="Arial" w:cs="Arial" w:eastAsia="Arial" w:hAnsi="Arial"/>
                <w:sz w:val="14"/>
                <w:szCs w:val="14"/>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4"/>
              </w:rPr>
              <w:t>143</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4"/>
              </w:rPr>
              <w:t>120</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4"/>
              </w:rPr>
              <w:t>260</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vMerge w:val="restart"/>
          </w:tcPr>
          <w:p>
            <w:pPr>
              <w:jc w:val="center"/>
              <w:ind w:right="28"/>
              <w:spacing w:after="0"/>
              <w:rPr>
                <w:sz w:val="20"/>
                <w:szCs w:val="20"/>
                <w:color w:val="auto"/>
              </w:rPr>
            </w:pPr>
            <w:r>
              <w:rPr>
                <w:rFonts w:ascii="Arial" w:cs="Arial" w:eastAsia="Arial" w:hAnsi="Arial"/>
                <w:sz w:val="14"/>
                <w:szCs w:val="14"/>
                <w:color w:val="auto"/>
                <w:w w:val="94"/>
              </w:rPr>
              <w:t>523</w:t>
            </w:r>
          </w:p>
        </w:tc>
        <w:tc>
          <w:tcPr>
            <w:tcW w:w="0" w:type="dxa"/>
            <w:vAlign w:val="bottom"/>
          </w:tcPr>
          <w:p>
            <w:pPr>
              <w:spacing w:after="0"/>
              <w:rPr>
                <w:sz w:val="1"/>
                <w:szCs w:val="1"/>
                <w:color w:val="auto"/>
              </w:rPr>
            </w:pPr>
          </w:p>
        </w:tc>
      </w:tr>
      <w:tr>
        <w:trPr>
          <w:trHeight w:val="51"/>
        </w:trPr>
        <w:tc>
          <w:tcPr>
            <w:tcW w:w="24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Premium</w:t>
            </w:r>
          </w:p>
        </w:tc>
        <w:tc>
          <w:tcPr>
            <w:tcW w:w="1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80" w:type="dxa"/>
            <w:vAlign w:val="bottom"/>
            <w:vMerge w:val="restart"/>
          </w:tcPr>
          <w:p>
            <w:pPr>
              <w:ind w:left="20"/>
              <w:spacing w:after="0"/>
              <w:rPr>
                <w:sz w:val="20"/>
                <w:szCs w:val="20"/>
                <w:color w:val="auto"/>
              </w:rPr>
            </w:pPr>
            <w:r>
              <w:rPr>
                <w:rFonts w:ascii="Arial" w:cs="Arial" w:eastAsia="Arial" w:hAnsi="Arial"/>
                <w:sz w:val="14"/>
                <w:szCs w:val="14"/>
                <w:color w:val="auto"/>
              </w:rPr>
              <w:t>Marriott Hotels</w:t>
            </w:r>
            <w:r>
              <w:rPr>
                <w:rFonts w:ascii="Arial" w:cs="Arial" w:eastAsia="Arial" w:hAnsi="Arial"/>
                <w:sz w:val="18"/>
                <w:szCs w:val="18"/>
                <w:color w:val="auto"/>
                <w:vertAlign w:val="superscript"/>
              </w:rPr>
              <w:t>®</w:t>
            </w:r>
          </w:p>
        </w:tc>
        <w:tc>
          <w:tcPr>
            <w:tcW w:w="1200" w:type="dxa"/>
            <w:vAlign w:val="bottom"/>
          </w:tcPr>
          <w:p>
            <w:pPr>
              <w:ind w:left="6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4"/>
              </w:rPr>
              <w:t>340</w:t>
            </w:r>
          </w:p>
        </w:tc>
        <w:tc>
          <w:tcPr>
            <w:tcW w:w="940" w:type="dxa"/>
            <w:vAlign w:val="bottom"/>
          </w:tcPr>
          <w:p>
            <w:pPr>
              <w:jc w:val="center"/>
              <w:spacing w:after="0"/>
              <w:rPr>
                <w:sz w:val="20"/>
                <w:szCs w:val="20"/>
                <w:color w:val="auto"/>
              </w:rPr>
            </w:pPr>
            <w:r>
              <w:rPr>
                <w:rFonts w:ascii="Arial" w:cs="Arial" w:eastAsia="Arial" w:hAnsi="Arial"/>
                <w:sz w:val="14"/>
                <w:szCs w:val="14"/>
                <w:color w:val="auto"/>
                <w:w w:val="94"/>
              </w:rPr>
              <w:t>100</w:t>
            </w:r>
          </w:p>
        </w:tc>
        <w:tc>
          <w:tcPr>
            <w:tcW w:w="1280" w:type="dxa"/>
            <w:vAlign w:val="bottom"/>
          </w:tcPr>
          <w:p>
            <w:pPr>
              <w:jc w:val="center"/>
              <w:spacing w:after="0"/>
              <w:rPr>
                <w:sz w:val="20"/>
                <w:szCs w:val="20"/>
                <w:color w:val="auto"/>
              </w:rPr>
            </w:pPr>
            <w:r>
              <w:rPr>
                <w:rFonts w:ascii="Arial" w:cs="Arial" w:eastAsia="Arial" w:hAnsi="Arial"/>
                <w:sz w:val="14"/>
                <w:szCs w:val="14"/>
                <w:color w:val="auto"/>
                <w:w w:val="89"/>
              </w:rPr>
              <w:t>26</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90</w:t>
            </w:r>
          </w:p>
        </w:tc>
        <w:tc>
          <w:tcPr>
            <w:tcW w:w="1280" w:type="dxa"/>
            <w:vAlign w:val="bottom"/>
          </w:tcPr>
          <w:p>
            <w:pPr>
              <w:jc w:val="center"/>
              <w:spacing w:after="0"/>
              <w:rPr>
                <w:sz w:val="20"/>
                <w:szCs w:val="20"/>
                <w:color w:val="auto"/>
              </w:rPr>
            </w:pPr>
            <w:r>
              <w:rPr>
                <w:rFonts w:ascii="Arial" w:cs="Arial" w:eastAsia="Arial" w:hAnsi="Arial"/>
                <w:sz w:val="14"/>
                <w:szCs w:val="14"/>
                <w:color w:val="auto"/>
                <w:w w:val="89"/>
              </w:rPr>
              <w:t>29</w:t>
            </w:r>
          </w:p>
        </w:tc>
        <w:tc>
          <w:tcPr>
            <w:tcW w:w="1040" w:type="dxa"/>
            <w:vAlign w:val="bottom"/>
          </w:tcPr>
          <w:p>
            <w:pPr>
              <w:jc w:val="center"/>
              <w:ind w:right="28"/>
              <w:spacing w:after="0"/>
              <w:rPr>
                <w:sz w:val="20"/>
                <w:szCs w:val="20"/>
                <w:color w:val="auto"/>
              </w:rPr>
            </w:pPr>
            <w:r>
              <w:rPr>
                <w:rFonts w:ascii="Arial" w:cs="Arial" w:eastAsia="Arial" w:hAnsi="Arial"/>
                <w:sz w:val="14"/>
                <w:szCs w:val="14"/>
                <w:color w:val="auto"/>
                <w:w w:val="94"/>
              </w:rPr>
              <w:t>585</w:t>
            </w:r>
          </w:p>
        </w:tc>
        <w:tc>
          <w:tcPr>
            <w:tcW w:w="0" w:type="dxa"/>
            <w:vAlign w:val="bottom"/>
          </w:tcPr>
          <w:p>
            <w:pPr>
              <w:spacing w:after="0"/>
              <w:rPr>
                <w:sz w:val="1"/>
                <w:szCs w:val="1"/>
                <w:color w:val="auto"/>
              </w:rPr>
            </w:pPr>
          </w:p>
        </w:tc>
      </w:tr>
      <w:tr>
        <w:trPr>
          <w:trHeight w:val="160"/>
        </w:trPr>
        <w:tc>
          <w:tcPr>
            <w:tcW w:w="2480" w:type="dxa"/>
            <w:vAlign w:val="bottom"/>
            <w:vMerge w:val="continue"/>
          </w:tcPr>
          <w:p>
            <w:pPr>
              <w:spacing w:after="0"/>
              <w:rPr>
                <w:sz w:val="13"/>
                <w:szCs w:val="13"/>
                <w:color w:val="auto"/>
              </w:rPr>
            </w:pPr>
          </w:p>
        </w:tc>
        <w:tc>
          <w:tcPr>
            <w:tcW w:w="1200" w:type="dxa"/>
            <w:vAlign w:val="bottom"/>
            <w:vMerge w:val="restart"/>
          </w:tcPr>
          <w:p>
            <w:pPr>
              <w:ind w:left="6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48"/>
              <w:spacing w:after="0"/>
              <w:rPr>
                <w:sz w:val="20"/>
                <w:szCs w:val="20"/>
                <w:color w:val="auto"/>
              </w:rPr>
            </w:pPr>
            <w:r>
              <w:rPr>
                <w:rFonts w:ascii="Arial" w:cs="Arial" w:eastAsia="Arial" w:hAnsi="Arial"/>
                <w:sz w:val="14"/>
                <w:szCs w:val="14"/>
                <w:color w:val="auto"/>
                <w:w w:val="94"/>
              </w:rPr>
              <w:t>133,972</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3"/>
              </w:rPr>
              <w:t>25,946</w:t>
            </w:r>
          </w:p>
        </w:tc>
        <w:tc>
          <w:tcPr>
            <w:tcW w:w="1280" w:type="dxa"/>
            <w:vAlign w:val="bottom"/>
            <w:vMerge w:val="restart"/>
          </w:tcPr>
          <w:p>
            <w:pPr>
              <w:jc w:val="center"/>
              <w:ind w:left="8"/>
              <w:spacing w:after="0"/>
              <w:rPr>
                <w:sz w:val="20"/>
                <w:szCs w:val="20"/>
                <w:color w:val="auto"/>
              </w:rPr>
            </w:pPr>
            <w:r>
              <w:rPr>
                <w:rFonts w:ascii="Arial" w:cs="Arial" w:eastAsia="Arial" w:hAnsi="Arial"/>
                <w:sz w:val="14"/>
                <w:szCs w:val="14"/>
                <w:color w:val="auto"/>
                <w:w w:val="91"/>
              </w:rPr>
              <w:t>8,110</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8"/>
              </w:rPr>
              <w:t>30,008</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1"/>
              </w:rPr>
              <w:t>7,789</w:t>
            </w:r>
          </w:p>
        </w:tc>
        <w:tc>
          <w:tcPr>
            <w:tcW w:w="1040" w:type="dxa"/>
            <w:vAlign w:val="bottom"/>
            <w:vMerge w:val="restart"/>
          </w:tcPr>
          <w:p>
            <w:pPr>
              <w:jc w:val="center"/>
              <w:ind w:right="28"/>
              <w:spacing w:after="0"/>
              <w:rPr>
                <w:sz w:val="20"/>
                <w:szCs w:val="20"/>
                <w:color w:val="auto"/>
              </w:rPr>
            </w:pPr>
            <w:r>
              <w:rPr>
                <w:rFonts w:ascii="Arial" w:cs="Arial" w:eastAsia="Arial" w:hAnsi="Arial"/>
                <w:sz w:val="14"/>
                <w:szCs w:val="14"/>
                <w:color w:val="auto"/>
                <w:w w:val="90"/>
              </w:rPr>
              <w:t>205,825</w:t>
            </w:r>
          </w:p>
        </w:tc>
        <w:tc>
          <w:tcPr>
            <w:tcW w:w="0" w:type="dxa"/>
            <w:vAlign w:val="bottom"/>
          </w:tcPr>
          <w:p>
            <w:pPr>
              <w:spacing w:after="0"/>
              <w:rPr>
                <w:sz w:val="1"/>
                <w:szCs w:val="1"/>
                <w:color w:val="auto"/>
              </w:rPr>
            </w:pPr>
          </w:p>
        </w:tc>
      </w:tr>
      <w:tr>
        <w:trPr>
          <w:trHeight w:val="51"/>
        </w:trPr>
        <w:tc>
          <w:tcPr>
            <w:tcW w:w="24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480" w:type="dxa"/>
            <w:vAlign w:val="bottom"/>
            <w:vMerge w:val="restart"/>
          </w:tcPr>
          <w:p>
            <w:pPr>
              <w:ind w:left="20"/>
              <w:spacing w:after="0"/>
              <w:rPr>
                <w:sz w:val="20"/>
                <w:szCs w:val="20"/>
                <w:color w:val="auto"/>
              </w:rPr>
            </w:pPr>
            <w:r>
              <w:rPr>
                <w:rFonts w:ascii="Arial" w:cs="Arial" w:eastAsia="Arial" w:hAnsi="Arial"/>
                <w:sz w:val="14"/>
                <w:szCs w:val="14"/>
                <w:color w:val="auto"/>
              </w:rPr>
              <w:t>Sheraton</w:t>
            </w:r>
            <w:r>
              <w:rPr>
                <w:rFonts w:ascii="Arial" w:cs="Arial" w:eastAsia="Arial" w:hAnsi="Arial"/>
                <w:sz w:val="18"/>
                <w:szCs w:val="18"/>
                <w:color w:val="auto"/>
                <w:vertAlign w:val="superscript"/>
              </w:rPr>
              <w:t>®</w:t>
            </w:r>
          </w:p>
        </w:tc>
        <w:tc>
          <w:tcPr>
            <w:tcW w:w="1200" w:type="dxa"/>
            <w:vAlign w:val="bottom"/>
          </w:tcPr>
          <w:p>
            <w:pPr>
              <w:ind w:left="6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4"/>
              </w:rPr>
              <w:t>183</w:t>
            </w: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62</w:t>
            </w:r>
          </w:p>
        </w:tc>
        <w:tc>
          <w:tcPr>
            <w:tcW w:w="1280" w:type="dxa"/>
            <w:vAlign w:val="bottom"/>
          </w:tcPr>
          <w:p>
            <w:pPr>
              <w:jc w:val="center"/>
              <w:spacing w:after="0"/>
              <w:rPr>
                <w:sz w:val="20"/>
                <w:szCs w:val="20"/>
                <w:color w:val="auto"/>
              </w:rPr>
            </w:pPr>
            <w:r>
              <w:rPr>
                <w:rFonts w:ascii="Arial" w:cs="Arial" w:eastAsia="Arial" w:hAnsi="Arial"/>
                <w:sz w:val="14"/>
                <w:szCs w:val="14"/>
                <w:color w:val="auto"/>
                <w:w w:val="89"/>
              </w:rPr>
              <w:t>30</w:t>
            </w: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136</w:t>
            </w:r>
          </w:p>
        </w:tc>
        <w:tc>
          <w:tcPr>
            <w:tcW w:w="1280" w:type="dxa"/>
            <w:vAlign w:val="bottom"/>
          </w:tcPr>
          <w:p>
            <w:pPr>
              <w:jc w:val="center"/>
              <w:spacing w:after="0"/>
              <w:rPr>
                <w:sz w:val="20"/>
                <w:szCs w:val="20"/>
                <w:color w:val="auto"/>
              </w:rPr>
            </w:pPr>
            <w:r>
              <w:rPr>
                <w:rFonts w:ascii="Arial" w:cs="Arial" w:eastAsia="Arial" w:hAnsi="Arial"/>
                <w:sz w:val="14"/>
                <w:szCs w:val="14"/>
                <w:color w:val="auto"/>
                <w:w w:val="89"/>
              </w:rPr>
              <w:t>31</w:t>
            </w:r>
          </w:p>
        </w:tc>
        <w:tc>
          <w:tcPr>
            <w:tcW w:w="1040" w:type="dxa"/>
            <w:vAlign w:val="bottom"/>
          </w:tcPr>
          <w:p>
            <w:pPr>
              <w:jc w:val="center"/>
              <w:ind w:right="28"/>
              <w:spacing w:after="0"/>
              <w:rPr>
                <w:sz w:val="20"/>
                <w:szCs w:val="20"/>
                <w:color w:val="auto"/>
              </w:rPr>
            </w:pPr>
            <w:r>
              <w:rPr>
                <w:rFonts w:ascii="Arial" w:cs="Arial" w:eastAsia="Arial" w:hAnsi="Arial"/>
                <w:sz w:val="14"/>
                <w:szCs w:val="14"/>
                <w:color w:val="auto"/>
                <w:w w:val="94"/>
              </w:rPr>
              <w:t>442</w:t>
            </w:r>
          </w:p>
        </w:tc>
        <w:tc>
          <w:tcPr>
            <w:tcW w:w="0" w:type="dxa"/>
            <w:vAlign w:val="bottom"/>
          </w:tcPr>
          <w:p>
            <w:pPr>
              <w:spacing w:after="0"/>
              <w:rPr>
                <w:sz w:val="1"/>
                <w:szCs w:val="1"/>
                <w:color w:val="auto"/>
              </w:rPr>
            </w:pPr>
          </w:p>
        </w:tc>
      </w:tr>
      <w:tr>
        <w:trPr>
          <w:trHeight w:val="160"/>
        </w:trPr>
        <w:tc>
          <w:tcPr>
            <w:tcW w:w="2480" w:type="dxa"/>
            <w:vAlign w:val="bottom"/>
            <w:vMerge w:val="continue"/>
          </w:tcPr>
          <w:p>
            <w:pPr>
              <w:spacing w:after="0"/>
              <w:rPr>
                <w:sz w:val="13"/>
                <w:szCs w:val="13"/>
                <w:color w:val="auto"/>
              </w:rPr>
            </w:pPr>
          </w:p>
        </w:tc>
        <w:tc>
          <w:tcPr>
            <w:tcW w:w="1200" w:type="dxa"/>
            <w:vAlign w:val="bottom"/>
            <w:vMerge w:val="restart"/>
          </w:tcPr>
          <w:p>
            <w:pPr>
              <w:ind w:left="6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48"/>
              <w:spacing w:after="0"/>
              <w:rPr>
                <w:sz w:val="20"/>
                <w:szCs w:val="20"/>
                <w:color w:val="auto"/>
              </w:rPr>
            </w:pPr>
            <w:r>
              <w:rPr>
                <w:rFonts w:ascii="Arial" w:cs="Arial" w:eastAsia="Arial" w:hAnsi="Arial"/>
                <w:sz w:val="14"/>
                <w:szCs w:val="14"/>
                <w:color w:val="auto"/>
                <w:w w:val="93"/>
              </w:rPr>
              <w:t>70,245</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3"/>
              </w:rPr>
              <w:t>16,900</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6"/>
              </w:rPr>
              <w:t>9,299</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8"/>
              </w:rPr>
              <w:t>49,399</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1"/>
              </w:rPr>
              <w:t>8,613</w:t>
            </w:r>
          </w:p>
        </w:tc>
        <w:tc>
          <w:tcPr>
            <w:tcW w:w="1040" w:type="dxa"/>
            <w:vAlign w:val="bottom"/>
            <w:vMerge w:val="restart"/>
          </w:tcPr>
          <w:p>
            <w:pPr>
              <w:jc w:val="center"/>
              <w:ind w:right="28"/>
              <w:spacing w:after="0"/>
              <w:rPr>
                <w:sz w:val="20"/>
                <w:szCs w:val="20"/>
                <w:color w:val="auto"/>
              </w:rPr>
            </w:pPr>
            <w:r>
              <w:rPr>
                <w:rFonts w:ascii="Arial" w:cs="Arial" w:eastAsia="Arial" w:hAnsi="Arial"/>
                <w:sz w:val="14"/>
                <w:szCs w:val="14"/>
                <w:color w:val="auto"/>
                <w:w w:val="90"/>
              </w:rPr>
              <w:t>154,456</w:t>
            </w:r>
          </w:p>
        </w:tc>
        <w:tc>
          <w:tcPr>
            <w:tcW w:w="0" w:type="dxa"/>
            <w:vAlign w:val="bottom"/>
          </w:tcPr>
          <w:p>
            <w:pPr>
              <w:spacing w:after="0"/>
              <w:rPr>
                <w:sz w:val="1"/>
                <w:szCs w:val="1"/>
                <w:color w:val="auto"/>
              </w:rPr>
            </w:pPr>
          </w:p>
        </w:tc>
      </w:tr>
      <w:tr>
        <w:trPr>
          <w:trHeight w:val="51"/>
        </w:trPr>
        <w:tc>
          <w:tcPr>
            <w:tcW w:w="24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480" w:type="dxa"/>
            <w:vAlign w:val="bottom"/>
            <w:vMerge w:val="restart"/>
          </w:tcPr>
          <w:p>
            <w:pPr>
              <w:ind w:left="20"/>
              <w:spacing w:after="0"/>
              <w:rPr>
                <w:sz w:val="20"/>
                <w:szCs w:val="20"/>
                <w:color w:val="auto"/>
              </w:rPr>
            </w:pPr>
            <w:r>
              <w:rPr>
                <w:rFonts w:ascii="Arial" w:cs="Arial" w:eastAsia="Arial" w:hAnsi="Arial"/>
                <w:sz w:val="14"/>
                <w:szCs w:val="14"/>
                <w:color w:val="auto"/>
              </w:rPr>
              <w:t>Westin</w:t>
            </w:r>
            <w:r>
              <w:rPr>
                <w:rFonts w:ascii="Arial" w:cs="Arial" w:eastAsia="Arial" w:hAnsi="Arial"/>
                <w:sz w:val="18"/>
                <w:szCs w:val="18"/>
                <w:color w:val="auto"/>
                <w:vertAlign w:val="superscript"/>
              </w:rPr>
              <w:t>®</w:t>
            </w:r>
          </w:p>
        </w:tc>
        <w:tc>
          <w:tcPr>
            <w:tcW w:w="1200" w:type="dxa"/>
            <w:vAlign w:val="bottom"/>
          </w:tcPr>
          <w:p>
            <w:pPr>
              <w:ind w:left="6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4"/>
              </w:rPr>
              <w:t>130</w:t>
            </w: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17</w:t>
            </w:r>
          </w:p>
        </w:tc>
        <w:tc>
          <w:tcPr>
            <w:tcW w:w="1280" w:type="dxa"/>
            <w:vAlign w:val="bottom"/>
          </w:tcPr>
          <w:p>
            <w:pPr>
              <w:jc w:val="center"/>
              <w:spacing w:after="0"/>
              <w:rPr>
                <w:sz w:val="20"/>
                <w:szCs w:val="20"/>
                <w:color w:val="auto"/>
              </w:rPr>
            </w:pPr>
            <w:r>
              <w:rPr>
                <w:rFonts w:ascii="Arial" w:cs="Arial" w:eastAsia="Arial" w:hAnsi="Arial"/>
                <w:sz w:val="14"/>
                <w:szCs w:val="14"/>
                <w:color w:val="auto"/>
                <w:w w:val="76"/>
              </w:rPr>
              <w:t>7</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58</w:t>
            </w:r>
          </w:p>
        </w:tc>
        <w:tc>
          <w:tcPr>
            <w:tcW w:w="1280" w:type="dxa"/>
            <w:vAlign w:val="bottom"/>
          </w:tcPr>
          <w:p>
            <w:pPr>
              <w:jc w:val="center"/>
              <w:spacing w:after="0"/>
              <w:rPr>
                <w:sz w:val="20"/>
                <w:szCs w:val="20"/>
                <w:color w:val="auto"/>
              </w:rPr>
            </w:pPr>
            <w:r>
              <w:rPr>
                <w:rFonts w:ascii="Arial" w:cs="Arial" w:eastAsia="Arial" w:hAnsi="Arial"/>
                <w:sz w:val="14"/>
                <w:szCs w:val="14"/>
                <w:color w:val="auto"/>
                <w:w w:val="89"/>
              </w:rPr>
              <w:t>13</w:t>
            </w:r>
          </w:p>
        </w:tc>
        <w:tc>
          <w:tcPr>
            <w:tcW w:w="1040" w:type="dxa"/>
            <w:vAlign w:val="bottom"/>
          </w:tcPr>
          <w:p>
            <w:pPr>
              <w:jc w:val="center"/>
              <w:ind w:right="28"/>
              <w:spacing w:after="0"/>
              <w:rPr>
                <w:sz w:val="20"/>
                <w:szCs w:val="20"/>
                <w:color w:val="auto"/>
              </w:rPr>
            </w:pPr>
            <w:r>
              <w:rPr>
                <w:rFonts w:ascii="Arial" w:cs="Arial" w:eastAsia="Arial" w:hAnsi="Arial"/>
                <w:sz w:val="14"/>
                <w:szCs w:val="14"/>
                <w:color w:val="auto"/>
                <w:w w:val="94"/>
              </w:rPr>
              <w:t>225</w:t>
            </w:r>
          </w:p>
        </w:tc>
        <w:tc>
          <w:tcPr>
            <w:tcW w:w="0" w:type="dxa"/>
            <w:vAlign w:val="bottom"/>
          </w:tcPr>
          <w:p>
            <w:pPr>
              <w:spacing w:after="0"/>
              <w:rPr>
                <w:sz w:val="1"/>
                <w:szCs w:val="1"/>
                <w:color w:val="auto"/>
              </w:rPr>
            </w:pPr>
          </w:p>
        </w:tc>
      </w:tr>
      <w:tr>
        <w:trPr>
          <w:trHeight w:val="160"/>
        </w:trPr>
        <w:tc>
          <w:tcPr>
            <w:tcW w:w="2480" w:type="dxa"/>
            <w:vAlign w:val="bottom"/>
            <w:vMerge w:val="continue"/>
          </w:tcPr>
          <w:p>
            <w:pPr>
              <w:spacing w:after="0"/>
              <w:rPr>
                <w:sz w:val="13"/>
                <w:szCs w:val="13"/>
                <w:color w:val="auto"/>
              </w:rPr>
            </w:pPr>
          </w:p>
        </w:tc>
        <w:tc>
          <w:tcPr>
            <w:tcW w:w="1200" w:type="dxa"/>
            <w:vAlign w:val="bottom"/>
            <w:vMerge w:val="restart"/>
          </w:tcPr>
          <w:p>
            <w:pPr>
              <w:ind w:left="6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48"/>
              <w:spacing w:after="0"/>
              <w:rPr>
                <w:sz w:val="20"/>
                <w:szCs w:val="20"/>
                <w:color w:val="auto"/>
              </w:rPr>
            </w:pPr>
            <w:r>
              <w:rPr>
                <w:rFonts w:ascii="Arial" w:cs="Arial" w:eastAsia="Arial" w:hAnsi="Arial"/>
                <w:sz w:val="14"/>
                <w:szCs w:val="14"/>
                <w:color w:val="auto"/>
                <w:w w:val="93"/>
              </w:rPr>
              <w:t>52,705</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1"/>
              </w:rPr>
              <w:t>5,686</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6"/>
              </w:rPr>
              <w:t>1,839</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8"/>
              </w:rPr>
              <w:t>17,751</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1"/>
              </w:rPr>
              <w:t>3,819</w:t>
            </w:r>
          </w:p>
        </w:tc>
        <w:tc>
          <w:tcPr>
            <w:tcW w:w="1040" w:type="dxa"/>
            <w:vAlign w:val="bottom"/>
            <w:vMerge w:val="restart"/>
          </w:tcPr>
          <w:p>
            <w:pPr>
              <w:jc w:val="center"/>
              <w:ind w:right="48"/>
              <w:spacing w:after="0"/>
              <w:rPr>
                <w:sz w:val="20"/>
                <w:szCs w:val="20"/>
                <w:color w:val="auto"/>
              </w:rPr>
            </w:pPr>
            <w:r>
              <w:rPr>
                <w:rFonts w:ascii="Arial" w:cs="Arial" w:eastAsia="Arial" w:hAnsi="Arial"/>
                <w:sz w:val="14"/>
                <w:szCs w:val="14"/>
                <w:color w:val="auto"/>
                <w:w w:val="93"/>
              </w:rPr>
              <w:t>81,800</w:t>
            </w:r>
          </w:p>
        </w:tc>
        <w:tc>
          <w:tcPr>
            <w:tcW w:w="0" w:type="dxa"/>
            <w:vAlign w:val="bottom"/>
          </w:tcPr>
          <w:p>
            <w:pPr>
              <w:spacing w:after="0"/>
              <w:rPr>
                <w:sz w:val="1"/>
                <w:szCs w:val="1"/>
                <w:color w:val="auto"/>
              </w:rPr>
            </w:pPr>
          </w:p>
        </w:tc>
      </w:tr>
      <w:tr>
        <w:trPr>
          <w:trHeight w:val="51"/>
        </w:trPr>
        <w:tc>
          <w:tcPr>
            <w:tcW w:w="24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480" w:type="dxa"/>
            <w:vAlign w:val="bottom"/>
            <w:vMerge w:val="restart"/>
          </w:tcPr>
          <w:p>
            <w:pPr>
              <w:ind w:left="20"/>
              <w:spacing w:after="0"/>
              <w:rPr>
                <w:sz w:val="20"/>
                <w:szCs w:val="20"/>
                <w:color w:val="auto"/>
              </w:rPr>
            </w:pPr>
            <w:r>
              <w:rPr>
                <w:rFonts w:ascii="Arial" w:cs="Arial" w:eastAsia="Arial" w:hAnsi="Arial"/>
                <w:sz w:val="14"/>
                <w:szCs w:val="14"/>
                <w:color w:val="auto"/>
              </w:rPr>
              <w:t>Renaissance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Hotels</w:t>
            </w:r>
          </w:p>
        </w:tc>
        <w:tc>
          <w:tcPr>
            <w:tcW w:w="1200" w:type="dxa"/>
            <w:vAlign w:val="bottom"/>
          </w:tcPr>
          <w:p>
            <w:pPr>
              <w:ind w:left="6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89"/>
              </w:rPr>
              <w:t>87</w:t>
            </w: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33</w:t>
            </w:r>
          </w:p>
        </w:tc>
        <w:tc>
          <w:tcPr>
            <w:tcW w:w="1280" w:type="dxa"/>
            <w:vAlign w:val="bottom"/>
          </w:tcPr>
          <w:p>
            <w:pPr>
              <w:jc w:val="center"/>
              <w:spacing w:after="0"/>
              <w:rPr>
                <w:sz w:val="20"/>
                <w:szCs w:val="20"/>
                <w:color w:val="auto"/>
              </w:rPr>
            </w:pPr>
            <w:r>
              <w:rPr>
                <w:rFonts w:ascii="Arial" w:cs="Arial" w:eastAsia="Arial" w:hAnsi="Arial"/>
                <w:sz w:val="14"/>
                <w:szCs w:val="14"/>
                <w:color w:val="auto"/>
                <w:w w:val="76"/>
              </w:rPr>
              <w:t>4</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43</w:t>
            </w:r>
          </w:p>
        </w:tc>
        <w:tc>
          <w:tcPr>
            <w:tcW w:w="1280" w:type="dxa"/>
            <w:vAlign w:val="bottom"/>
          </w:tcPr>
          <w:p>
            <w:pPr>
              <w:jc w:val="center"/>
              <w:spacing w:after="0"/>
              <w:rPr>
                <w:sz w:val="20"/>
                <w:szCs w:val="20"/>
                <w:color w:val="auto"/>
              </w:rPr>
            </w:pPr>
            <w:r>
              <w:rPr>
                <w:rFonts w:ascii="Arial" w:cs="Arial" w:eastAsia="Arial" w:hAnsi="Arial"/>
                <w:sz w:val="14"/>
                <w:szCs w:val="14"/>
                <w:color w:val="auto"/>
                <w:w w:val="76"/>
              </w:rPr>
              <w:t>9</w:t>
            </w:r>
          </w:p>
        </w:tc>
        <w:tc>
          <w:tcPr>
            <w:tcW w:w="1040" w:type="dxa"/>
            <w:vAlign w:val="bottom"/>
          </w:tcPr>
          <w:p>
            <w:pPr>
              <w:jc w:val="center"/>
              <w:ind w:right="28"/>
              <w:spacing w:after="0"/>
              <w:rPr>
                <w:sz w:val="20"/>
                <w:szCs w:val="20"/>
                <w:color w:val="auto"/>
              </w:rPr>
            </w:pPr>
            <w:r>
              <w:rPr>
                <w:rFonts w:ascii="Arial" w:cs="Arial" w:eastAsia="Arial" w:hAnsi="Arial"/>
                <w:sz w:val="14"/>
                <w:szCs w:val="14"/>
                <w:color w:val="auto"/>
                <w:w w:val="94"/>
              </w:rPr>
              <w:t>176</w:t>
            </w:r>
          </w:p>
        </w:tc>
        <w:tc>
          <w:tcPr>
            <w:tcW w:w="0" w:type="dxa"/>
            <w:vAlign w:val="bottom"/>
          </w:tcPr>
          <w:p>
            <w:pPr>
              <w:spacing w:after="0"/>
              <w:rPr>
                <w:sz w:val="1"/>
                <w:szCs w:val="1"/>
                <w:color w:val="auto"/>
              </w:rPr>
            </w:pPr>
          </w:p>
        </w:tc>
      </w:tr>
      <w:tr>
        <w:trPr>
          <w:trHeight w:val="160"/>
        </w:trPr>
        <w:tc>
          <w:tcPr>
            <w:tcW w:w="2480" w:type="dxa"/>
            <w:vAlign w:val="bottom"/>
            <w:vMerge w:val="continue"/>
          </w:tcPr>
          <w:p>
            <w:pPr>
              <w:spacing w:after="0"/>
              <w:rPr>
                <w:sz w:val="13"/>
                <w:szCs w:val="13"/>
                <w:color w:val="auto"/>
              </w:rPr>
            </w:pPr>
          </w:p>
        </w:tc>
        <w:tc>
          <w:tcPr>
            <w:tcW w:w="1200" w:type="dxa"/>
            <w:vAlign w:val="bottom"/>
            <w:vMerge w:val="restart"/>
          </w:tcPr>
          <w:p>
            <w:pPr>
              <w:ind w:left="6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48"/>
              <w:spacing w:after="0"/>
              <w:rPr>
                <w:sz w:val="20"/>
                <w:szCs w:val="20"/>
                <w:color w:val="auto"/>
              </w:rPr>
            </w:pPr>
            <w:r>
              <w:rPr>
                <w:rFonts w:ascii="Arial" w:cs="Arial" w:eastAsia="Arial" w:hAnsi="Arial"/>
                <w:sz w:val="14"/>
                <w:szCs w:val="14"/>
                <w:color w:val="auto"/>
                <w:w w:val="93"/>
              </w:rPr>
              <w:t>28,880</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1"/>
              </w:rPr>
              <w:t>7,846</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6"/>
              </w:rPr>
              <w:t>1,035</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8"/>
              </w:rPr>
              <w:t>14,972</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1"/>
              </w:rPr>
              <w:t>2,745</w:t>
            </w:r>
          </w:p>
        </w:tc>
        <w:tc>
          <w:tcPr>
            <w:tcW w:w="1040" w:type="dxa"/>
            <w:vAlign w:val="bottom"/>
            <w:vMerge w:val="restart"/>
          </w:tcPr>
          <w:p>
            <w:pPr>
              <w:jc w:val="center"/>
              <w:ind w:right="48"/>
              <w:spacing w:after="0"/>
              <w:rPr>
                <w:sz w:val="20"/>
                <w:szCs w:val="20"/>
                <w:color w:val="auto"/>
              </w:rPr>
            </w:pPr>
            <w:r>
              <w:rPr>
                <w:rFonts w:ascii="Arial" w:cs="Arial" w:eastAsia="Arial" w:hAnsi="Arial"/>
                <w:sz w:val="14"/>
                <w:szCs w:val="14"/>
                <w:color w:val="auto"/>
                <w:w w:val="93"/>
              </w:rPr>
              <w:t>55,478</w:t>
            </w:r>
          </w:p>
        </w:tc>
        <w:tc>
          <w:tcPr>
            <w:tcW w:w="0" w:type="dxa"/>
            <w:vAlign w:val="bottom"/>
          </w:tcPr>
          <w:p>
            <w:pPr>
              <w:spacing w:after="0"/>
              <w:rPr>
                <w:sz w:val="1"/>
                <w:szCs w:val="1"/>
                <w:color w:val="auto"/>
              </w:rPr>
            </w:pPr>
          </w:p>
        </w:tc>
      </w:tr>
      <w:tr>
        <w:trPr>
          <w:trHeight w:val="51"/>
        </w:trPr>
        <w:tc>
          <w:tcPr>
            <w:tcW w:w="24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480" w:type="dxa"/>
            <w:vAlign w:val="bottom"/>
            <w:vMerge w:val="restart"/>
          </w:tcPr>
          <w:p>
            <w:pPr>
              <w:ind w:left="20"/>
              <w:spacing w:after="0"/>
              <w:rPr>
                <w:sz w:val="20"/>
                <w:szCs w:val="20"/>
                <w:color w:val="auto"/>
              </w:rPr>
            </w:pPr>
            <w:r>
              <w:rPr>
                <w:rFonts w:ascii="Arial" w:cs="Arial" w:eastAsia="Arial" w:hAnsi="Arial"/>
                <w:sz w:val="14"/>
                <w:szCs w:val="14"/>
                <w:color w:val="auto"/>
              </w:rPr>
              <w:t>Le Méridien</w:t>
            </w:r>
            <w:r>
              <w:rPr>
                <w:rFonts w:ascii="Arial" w:cs="Arial" w:eastAsia="Arial" w:hAnsi="Arial"/>
                <w:sz w:val="18"/>
                <w:szCs w:val="18"/>
                <w:color w:val="auto"/>
                <w:vertAlign w:val="superscript"/>
              </w:rPr>
              <w:t>®</w:t>
            </w:r>
          </w:p>
        </w:tc>
        <w:tc>
          <w:tcPr>
            <w:tcW w:w="1200" w:type="dxa"/>
            <w:vAlign w:val="bottom"/>
          </w:tcPr>
          <w:p>
            <w:pPr>
              <w:ind w:left="6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89"/>
              </w:rPr>
              <w:t>22</w:t>
            </w: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16</w:t>
            </w:r>
          </w:p>
        </w:tc>
        <w:tc>
          <w:tcPr>
            <w:tcW w:w="1280" w:type="dxa"/>
            <w:vAlign w:val="bottom"/>
          </w:tcPr>
          <w:p>
            <w:pPr>
              <w:jc w:val="center"/>
              <w:spacing w:after="0"/>
              <w:rPr>
                <w:sz w:val="20"/>
                <w:szCs w:val="20"/>
                <w:color w:val="auto"/>
              </w:rPr>
            </w:pPr>
            <w:r>
              <w:rPr>
                <w:rFonts w:ascii="Arial" w:cs="Arial" w:eastAsia="Arial" w:hAnsi="Arial"/>
                <w:sz w:val="14"/>
                <w:szCs w:val="14"/>
                <w:color w:val="auto"/>
                <w:w w:val="89"/>
              </w:rPr>
              <w:t>22</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47</w:t>
            </w:r>
          </w:p>
        </w:tc>
        <w:tc>
          <w:tcPr>
            <w:tcW w:w="128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040" w:type="dxa"/>
            <w:vAlign w:val="bottom"/>
          </w:tcPr>
          <w:p>
            <w:pPr>
              <w:jc w:val="center"/>
              <w:ind w:right="28"/>
              <w:spacing w:after="0"/>
              <w:rPr>
                <w:sz w:val="20"/>
                <w:szCs w:val="20"/>
                <w:color w:val="auto"/>
              </w:rPr>
            </w:pPr>
            <w:r>
              <w:rPr>
                <w:rFonts w:ascii="Arial" w:cs="Arial" w:eastAsia="Arial" w:hAnsi="Arial"/>
                <w:sz w:val="14"/>
                <w:szCs w:val="14"/>
                <w:color w:val="auto"/>
                <w:w w:val="94"/>
              </w:rPr>
              <w:t>109</w:t>
            </w:r>
          </w:p>
        </w:tc>
        <w:tc>
          <w:tcPr>
            <w:tcW w:w="0" w:type="dxa"/>
            <w:vAlign w:val="bottom"/>
          </w:tcPr>
          <w:p>
            <w:pPr>
              <w:spacing w:after="0"/>
              <w:rPr>
                <w:sz w:val="1"/>
                <w:szCs w:val="1"/>
                <w:color w:val="auto"/>
              </w:rPr>
            </w:pPr>
          </w:p>
        </w:tc>
      </w:tr>
      <w:tr>
        <w:trPr>
          <w:trHeight w:val="160"/>
        </w:trPr>
        <w:tc>
          <w:tcPr>
            <w:tcW w:w="2480" w:type="dxa"/>
            <w:vAlign w:val="bottom"/>
            <w:vMerge w:val="continue"/>
          </w:tcPr>
          <w:p>
            <w:pPr>
              <w:spacing w:after="0"/>
              <w:rPr>
                <w:sz w:val="13"/>
                <w:szCs w:val="13"/>
                <w:color w:val="auto"/>
              </w:rPr>
            </w:pPr>
          </w:p>
        </w:tc>
        <w:tc>
          <w:tcPr>
            <w:tcW w:w="1200" w:type="dxa"/>
            <w:vAlign w:val="bottom"/>
            <w:vMerge w:val="restart"/>
          </w:tcPr>
          <w:p>
            <w:pPr>
              <w:ind w:left="6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48"/>
              <w:spacing w:after="0"/>
              <w:rPr>
                <w:sz w:val="20"/>
                <w:szCs w:val="20"/>
                <w:color w:val="auto"/>
              </w:rPr>
            </w:pPr>
            <w:r>
              <w:rPr>
                <w:rFonts w:ascii="Arial" w:cs="Arial" w:eastAsia="Arial" w:hAnsi="Arial"/>
                <w:sz w:val="14"/>
                <w:szCs w:val="14"/>
                <w:color w:val="auto"/>
                <w:w w:val="91"/>
              </w:rPr>
              <w:t>4,748</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1"/>
              </w:rPr>
              <w:t>4,997</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6"/>
              </w:rPr>
              <w:t>6,588</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8"/>
              </w:rPr>
              <w:t>12,683</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4"/>
              </w:rPr>
              <w:t>271</w:t>
            </w:r>
          </w:p>
        </w:tc>
        <w:tc>
          <w:tcPr>
            <w:tcW w:w="1040" w:type="dxa"/>
            <w:vAlign w:val="bottom"/>
            <w:vMerge w:val="restart"/>
          </w:tcPr>
          <w:p>
            <w:pPr>
              <w:jc w:val="center"/>
              <w:ind w:right="48"/>
              <w:spacing w:after="0"/>
              <w:rPr>
                <w:sz w:val="20"/>
                <w:szCs w:val="20"/>
                <w:color w:val="auto"/>
              </w:rPr>
            </w:pPr>
            <w:r>
              <w:rPr>
                <w:rFonts w:ascii="Arial" w:cs="Arial" w:eastAsia="Arial" w:hAnsi="Arial"/>
                <w:sz w:val="14"/>
                <w:szCs w:val="14"/>
                <w:color w:val="auto"/>
                <w:w w:val="93"/>
              </w:rPr>
              <w:t>29,287</w:t>
            </w:r>
          </w:p>
        </w:tc>
        <w:tc>
          <w:tcPr>
            <w:tcW w:w="0" w:type="dxa"/>
            <w:vAlign w:val="bottom"/>
          </w:tcPr>
          <w:p>
            <w:pPr>
              <w:spacing w:after="0"/>
              <w:rPr>
                <w:sz w:val="1"/>
                <w:szCs w:val="1"/>
                <w:color w:val="auto"/>
              </w:rPr>
            </w:pPr>
          </w:p>
        </w:tc>
      </w:tr>
      <w:tr>
        <w:trPr>
          <w:trHeight w:val="51"/>
        </w:trPr>
        <w:tc>
          <w:tcPr>
            <w:tcW w:w="24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480" w:type="dxa"/>
            <w:vAlign w:val="bottom"/>
            <w:vMerge w:val="restart"/>
          </w:tcPr>
          <w:p>
            <w:pPr>
              <w:ind w:left="20"/>
              <w:spacing w:after="0"/>
              <w:rPr>
                <w:sz w:val="20"/>
                <w:szCs w:val="20"/>
                <w:color w:val="auto"/>
              </w:rPr>
            </w:pPr>
            <w:r>
              <w:rPr>
                <w:rFonts w:ascii="Arial" w:cs="Arial" w:eastAsia="Arial" w:hAnsi="Arial"/>
                <w:sz w:val="14"/>
                <w:szCs w:val="14"/>
                <w:color w:val="auto"/>
              </w:rPr>
              <w:t>Autograph Collection</w:t>
            </w:r>
            <w:r>
              <w:rPr>
                <w:rFonts w:ascii="Arial" w:cs="Arial" w:eastAsia="Arial" w:hAnsi="Arial"/>
                <w:sz w:val="18"/>
                <w:szCs w:val="18"/>
                <w:color w:val="auto"/>
                <w:vertAlign w:val="superscript"/>
              </w:rPr>
              <w:t>®</w:t>
            </w:r>
            <w:r>
              <w:rPr>
                <w:rFonts w:ascii="Arial" w:cs="Arial" w:eastAsia="Arial" w:hAnsi="Arial"/>
                <w:sz w:val="14"/>
                <w:szCs w:val="14"/>
                <w:color w:val="auto"/>
              </w:rPr>
              <w:t xml:space="preserve"> Hotels </w:t>
            </w:r>
            <w:r>
              <w:rPr>
                <w:rFonts w:ascii="Arial" w:cs="Arial" w:eastAsia="Arial" w:hAnsi="Arial"/>
                <w:sz w:val="18"/>
                <w:szCs w:val="18"/>
                <w:color w:val="auto"/>
                <w:vertAlign w:val="superscript"/>
              </w:rPr>
              <w:t>(2)</w:t>
            </w:r>
          </w:p>
        </w:tc>
        <w:tc>
          <w:tcPr>
            <w:tcW w:w="1200" w:type="dxa"/>
            <w:vAlign w:val="bottom"/>
          </w:tcPr>
          <w:p>
            <w:pPr>
              <w:ind w:left="6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4"/>
              </w:rPr>
              <w:t>123</w:t>
            </w: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54</w:t>
            </w:r>
          </w:p>
        </w:tc>
        <w:tc>
          <w:tcPr>
            <w:tcW w:w="1280" w:type="dxa"/>
            <w:vAlign w:val="bottom"/>
          </w:tcPr>
          <w:p>
            <w:pPr>
              <w:jc w:val="center"/>
              <w:spacing w:after="0"/>
              <w:rPr>
                <w:sz w:val="20"/>
                <w:szCs w:val="20"/>
                <w:color w:val="auto"/>
              </w:rPr>
            </w:pPr>
            <w:r>
              <w:rPr>
                <w:rFonts w:ascii="Arial" w:cs="Arial" w:eastAsia="Arial" w:hAnsi="Arial"/>
                <w:sz w:val="14"/>
                <w:szCs w:val="14"/>
                <w:color w:val="auto"/>
                <w:w w:val="76"/>
              </w:rPr>
              <w:t>7</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12</w:t>
            </w:r>
          </w:p>
        </w:tc>
        <w:tc>
          <w:tcPr>
            <w:tcW w:w="1280" w:type="dxa"/>
            <w:vAlign w:val="bottom"/>
          </w:tcPr>
          <w:p>
            <w:pPr>
              <w:jc w:val="center"/>
              <w:spacing w:after="0"/>
              <w:rPr>
                <w:sz w:val="20"/>
                <w:szCs w:val="20"/>
                <w:color w:val="auto"/>
              </w:rPr>
            </w:pPr>
            <w:r>
              <w:rPr>
                <w:rFonts w:ascii="Arial" w:cs="Arial" w:eastAsia="Arial" w:hAnsi="Arial"/>
                <w:sz w:val="14"/>
                <w:szCs w:val="14"/>
                <w:color w:val="auto"/>
                <w:w w:val="89"/>
              </w:rPr>
              <w:t>13</w:t>
            </w:r>
          </w:p>
        </w:tc>
        <w:tc>
          <w:tcPr>
            <w:tcW w:w="1040" w:type="dxa"/>
            <w:vAlign w:val="bottom"/>
          </w:tcPr>
          <w:p>
            <w:pPr>
              <w:jc w:val="center"/>
              <w:ind w:right="28"/>
              <w:spacing w:after="0"/>
              <w:rPr>
                <w:sz w:val="20"/>
                <w:szCs w:val="20"/>
                <w:color w:val="auto"/>
              </w:rPr>
            </w:pPr>
            <w:r>
              <w:rPr>
                <w:rFonts w:ascii="Arial" w:cs="Arial" w:eastAsia="Arial" w:hAnsi="Arial"/>
                <w:sz w:val="14"/>
                <w:szCs w:val="14"/>
                <w:color w:val="auto"/>
                <w:w w:val="94"/>
              </w:rPr>
              <w:t>209</w:t>
            </w:r>
          </w:p>
        </w:tc>
        <w:tc>
          <w:tcPr>
            <w:tcW w:w="0" w:type="dxa"/>
            <w:vAlign w:val="bottom"/>
          </w:tcPr>
          <w:p>
            <w:pPr>
              <w:spacing w:after="0"/>
              <w:rPr>
                <w:sz w:val="1"/>
                <w:szCs w:val="1"/>
                <w:color w:val="auto"/>
              </w:rPr>
            </w:pPr>
          </w:p>
        </w:tc>
      </w:tr>
      <w:tr>
        <w:trPr>
          <w:trHeight w:val="160"/>
        </w:trPr>
        <w:tc>
          <w:tcPr>
            <w:tcW w:w="2480" w:type="dxa"/>
            <w:vAlign w:val="bottom"/>
            <w:vMerge w:val="continue"/>
          </w:tcPr>
          <w:p>
            <w:pPr>
              <w:spacing w:after="0"/>
              <w:rPr>
                <w:sz w:val="13"/>
                <w:szCs w:val="13"/>
                <w:color w:val="auto"/>
              </w:rPr>
            </w:pPr>
          </w:p>
        </w:tc>
        <w:tc>
          <w:tcPr>
            <w:tcW w:w="1200" w:type="dxa"/>
            <w:vAlign w:val="bottom"/>
            <w:vMerge w:val="restart"/>
          </w:tcPr>
          <w:p>
            <w:pPr>
              <w:ind w:left="6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48"/>
              <w:spacing w:after="0"/>
              <w:rPr>
                <w:sz w:val="20"/>
                <w:szCs w:val="20"/>
                <w:color w:val="auto"/>
              </w:rPr>
            </w:pPr>
            <w:r>
              <w:rPr>
                <w:rFonts w:ascii="Arial" w:cs="Arial" w:eastAsia="Arial" w:hAnsi="Arial"/>
                <w:sz w:val="14"/>
                <w:szCs w:val="14"/>
                <w:color w:val="auto"/>
                <w:w w:val="93"/>
              </w:rPr>
              <w:t>25,449</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1"/>
              </w:rPr>
              <w:t>6,468</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6"/>
              </w:rPr>
              <w:t>1,640</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6"/>
              </w:rPr>
              <w:t>3,245</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1"/>
              </w:rPr>
              <w:t>3,751</w:t>
            </w:r>
          </w:p>
        </w:tc>
        <w:tc>
          <w:tcPr>
            <w:tcW w:w="1040" w:type="dxa"/>
            <w:vAlign w:val="bottom"/>
            <w:vMerge w:val="restart"/>
          </w:tcPr>
          <w:p>
            <w:pPr>
              <w:jc w:val="center"/>
              <w:ind w:right="48"/>
              <w:spacing w:after="0"/>
              <w:rPr>
                <w:sz w:val="20"/>
                <w:szCs w:val="20"/>
                <w:color w:val="auto"/>
              </w:rPr>
            </w:pPr>
            <w:r>
              <w:rPr>
                <w:rFonts w:ascii="Arial" w:cs="Arial" w:eastAsia="Arial" w:hAnsi="Arial"/>
                <w:sz w:val="14"/>
                <w:szCs w:val="14"/>
                <w:color w:val="auto"/>
                <w:w w:val="93"/>
              </w:rPr>
              <w:t>40,553</w:t>
            </w:r>
          </w:p>
        </w:tc>
        <w:tc>
          <w:tcPr>
            <w:tcW w:w="0" w:type="dxa"/>
            <w:vAlign w:val="bottom"/>
          </w:tcPr>
          <w:p>
            <w:pPr>
              <w:spacing w:after="0"/>
              <w:rPr>
                <w:sz w:val="1"/>
                <w:szCs w:val="1"/>
                <w:color w:val="auto"/>
              </w:rPr>
            </w:pPr>
          </w:p>
        </w:tc>
      </w:tr>
      <w:tr>
        <w:trPr>
          <w:trHeight w:val="51"/>
        </w:trPr>
        <w:tc>
          <w:tcPr>
            <w:tcW w:w="24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480" w:type="dxa"/>
            <w:vAlign w:val="bottom"/>
            <w:vMerge w:val="restart"/>
          </w:tcPr>
          <w:p>
            <w:pPr>
              <w:ind w:left="20"/>
              <w:spacing w:after="0"/>
              <w:rPr>
                <w:sz w:val="20"/>
                <w:szCs w:val="20"/>
                <w:color w:val="auto"/>
              </w:rPr>
            </w:pPr>
            <w:r>
              <w:rPr>
                <w:rFonts w:ascii="Arial" w:cs="Arial" w:eastAsia="Arial" w:hAnsi="Arial"/>
                <w:sz w:val="14"/>
                <w:szCs w:val="14"/>
                <w:color w:val="auto"/>
                <w:w w:val="96"/>
              </w:rPr>
              <w:t>Delta Hotels by Marriott</w:t>
            </w:r>
            <w:r>
              <w:rPr>
                <w:rFonts w:ascii="Arial" w:cs="Arial" w:eastAsia="Arial" w:hAnsi="Arial"/>
                <w:sz w:val="18"/>
                <w:szCs w:val="18"/>
                <w:color w:val="auto"/>
                <w:w w:val="96"/>
                <w:vertAlign w:val="superscript"/>
              </w:rPr>
              <w:t>®</w:t>
            </w:r>
            <w:r>
              <w:rPr>
                <w:rFonts w:ascii="Arial" w:cs="Arial" w:eastAsia="Arial" w:hAnsi="Arial"/>
                <w:sz w:val="14"/>
                <w:szCs w:val="14"/>
                <w:color w:val="auto"/>
                <w:w w:val="96"/>
              </w:rPr>
              <w:t xml:space="preserve"> (Delta Hotels</w:t>
            </w:r>
            <w:r>
              <w:rPr>
                <w:rFonts w:ascii="Arial" w:cs="Arial" w:eastAsia="Arial" w:hAnsi="Arial"/>
                <w:sz w:val="18"/>
                <w:szCs w:val="18"/>
                <w:color w:val="auto"/>
                <w:w w:val="96"/>
                <w:vertAlign w:val="superscript"/>
              </w:rPr>
              <w:t>®</w:t>
            </w:r>
            <w:r>
              <w:rPr>
                <w:rFonts w:ascii="Arial" w:cs="Arial" w:eastAsia="Arial" w:hAnsi="Arial"/>
                <w:sz w:val="14"/>
                <w:szCs w:val="14"/>
                <w:color w:val="auto"/>
                <w:w w:val="96"/>
              </w:rPr>
              <w:t>)</w:t>
            </w:r>
          </w:p>
        </w:tc>
        <w:tc>
          <w:tcPr>
            <w:tcW w:w="1200" w:type="dxa"/>
            <w:vAlign w:val="bottom"/>
          </w:tcPr>
          <w:p>
            <w:pPr>
              <w:ind w:left="6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89"/>
              </w:rPr>
              <w:t>77</w:t>
            </w:r>
          </w:p>
        </w:tc>
        <w:tc>
          <w:tcPr>
            <w:tcW w:w="940" w:type="dxa"/>
            <w:vAlign w:val="bottom"/>
          </w:tcPr>
          <w:p>
            <w:pPr>
              <w:jc w:val="center"/>
              <w:spacing w:after="0"/>
              <w:rPr>
                <w:sz w:val="20"/>
                <w:szCs w:val="20"/>
                <w:color w:val="auto"/>
              </w:rPr>
            </w:pPr>
            <w:r>
              <w:rPr>
                <w:rFonts w:ascii="Arial" w:cs="Arial" w:eastAsia="Arial" w:hAnsi="Arial"/>
                <w:sz w:val="14"/>
                <w:szCs w:val="14"/>
                <w:color w:val="auto"/>
              </w:rPr>
              <w:t>5</w:t>
            </w:r>
          </w:p>
        </w:tc>
        <w:tc>
          <w:tcPr>
            <w:tcW w:w="1280" w:type="dxa"/>
            <w:vAlign w:val="bottom"/>
          </w:tcPr>
          <w:p>
            <w:pPr>
              <w:jc w:val="center"/>
              <w:spacing w:after="0"/>
              <w:rPr>
                <w:sz w:val="20"/>
                <w:szCs w:val="20"/>
                <w:color w:val="auto"/>
              </w:rPr>
            </w:pPr>
            <w:r>
              <w:rPr>
                <w:rFonts w:ascii="Arial" w:cs="Arial" w:eastAsia="Arial" w:hAnsi="Arial"/>
                <w:sz w:val="14"/>
                <w:szCs w:val="14"/>
                <w:color w:val="auto"/>
                <w:w w:val="76"/>
              </w:rPr>
              <w:t>1</w:t>
            </w:r>
          </w:p>
        </w:tc>
        <w:tc>
          <w:tcPr>
            <w:tcW w:w="102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28"/>
              <w:spacing w:after="0"/>
              <w:rPr>
                <w:sz w:val="20"/>
                <w:szCs w:val="20"/>
                <w:color w:val="auto"/>
              </w:rPr>
            </w:pPr>
            <w:r>
              <w:rPr>
                <w:rFonts w:ascii="Arial" w:cs="Arial" w:eastAsia="Arial" w:hAnsi="Arial"/>
                <w:sz w:val="14"/>
                <w:szCs w:val="14"/>
                <w:color w:val="auto"/>
                <w:w w:val="89"/>
              </w:rPr>
              <w:t>85</w:t>
            </w:r>
          </w:p>
        </w:tc>
        <w:tc>
          <w:tcPr>
            <w:tcW w:w="0" w:type="dxa"/>
            <w:vAlign w:val="bottom"/>
          </w:tcPr>
          <w:p>
            <w:pPr>
              <w:spacing w:after="0"/>
              <w:rPr>
                <w:sz w:val="1"/>
                <w:szCs w:val="1"/>
                <w:color w:val="auto"/>
              </w:rPr>
            </w:pPr>
          </w:p>
        </w:tc>
      </w:tr>
      <w:tr>
        <w:trPr>
          <w:trHeight w:val="211"/>
        </w:trPr>
        <w:tc>
          <w:tcPr>
            <w:tcW w:w="2480" w:type="dxa"/>
            <w:vAlign w:val="bottom"/>
            <w:vMerge w:val="continue"/>
          </w:tcPr>
          <w:p>
            <w:pPr>
              <w:spacing w:after="0"/>
              <w:rPr>
                <w:sz w:val="18"/>
                <w:szCs w:val="18"/>
                <w:color w:val="auto"/>
              </w:rPr>
            </w:pPr>
          </w:p>
        </w:tc>
        <w:tc>
          <w:tcPr>
            <w:tcW w:w="1200" w:type="dxa"/>
            <w:vAlign w:val="bottom"/>
          </w:tcPr>
          <w:p>
            <w:pPr>
              <w:ind w:left="60"/>
              <w:spacing w:after="0"/>
              <w:rPr>
                <w:sz w:val="20"/>
                <w:szCs w:val="20"/>
                <w:color w:val="auto"/>
              </w:rPr>
            </w:pPr>
            <w:r>
              <w:rPr>
                <w:rFonts w:ascii="Arial" w:cs="Arial" w:eastAsia="Arial" w:hAnsi="Arial"/>
                <w:sz w:val="14"/>
                <w:szCs w:val="14"/>
                <w:color w:val="auto"/>
              </w:rPr>
              <w:t>Rooms</w:t>
            </w:r>
          </w:p>
        </w:tc>
        <w:tc>
          <w:tcPr>
            <w:tcW w:w="1440" w:type="dxa"/>
            <w:vAlign w:val="bottom"/>
          </w:tcPr>
          <w:p>
            <w:pPr>
              <w:jc w:val="center"/>
              <w:ind w:left="48"/>
              <w:spacing w:after="0"/>
              <w:rPr>
                <w:sz w:val="20"/>
                <w:szCs w:val="20"/>
                <w:color w:val="auto"/>
              </w:rPr>
            </w:pPr>
            <w:r>
              <w:rPr>
                <w:rFonts w:ascii="Arial" w:cs="Arial" w:eastAsia="Arial" w:hAnsi="Arial"/>
                <w:sz w:val="14"/>
                <w:szCs w:val="14"/>
                <w:color w:val="auto"/>
                <w:w w:val="93"/>
              </w:rPr>
              <w:t>18,226</w:t>
            </w:r>
          </w:p>
        </w:tc>
        <w:tc>
          <w:tcPr>
            <w:tcW w:w="940" w:type="dxa"/>
            <w:vAlign w:val="bottom"/>
          </w:tcPr>
          <w:p>
            <w:pPr>
              <w:jc w:val="center"/>
              <w:spacing w:after="0"/>
              <w:rPr>
                <w:sz w:val="20"/>
                <w:szCs w:val="20"/>
                <w:color w:val="auto"/>
              </w:rPr>
            </w:pPr>
            <w:r>
              <w:rPr>
                <w:rFonts w:ascii="Arial" w:cs="Arial" w:eastAsia="Arial" w:hAnsi="Arial"/>
                <w:sz w:val="14"/>
                <w:szCs w:val="14"/>
                <w:color w:val="auto"/>
                <w:w w:val="94"/>
              </w:rPr>
              <w:t>728</w:t>
            </w:r>
          </w:p>
        </w:tc>
        <w:tc>
          <w:tcPr>
            <w:tcW w:w="1280" w:type="dxa"/>
            <w:vAlign w:val="bottom"/>
          </w:tcPr>
          <w:p>
            <w:pPr>
              <w:jc w:val="center"/>
              <w:spacing w:after="0"/>
              <w:rPr>
                <w:sz w:val="20"/>
                <w:szCs w:val="20"/>
                <w:color w:val="auto"/>
              </w:rPr>
            </w:pPr>
            <w:r>
              <w:rPr>
                <w:rFonts w:ascii="Arial" w:cs="Arial" w:eastAsia="Arial" w:hAnsi="Arial"/>
                <w:sz w:val="14"/>
                <w:szCs w:val="14"/>
                <w:color w:val="auto"/>
                <w:w w:val="94"/>
              </w:rPr>
              <w:t>360</w:t>
            </w: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978</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48"/>
              <w:spacing w:after="0"/>
              <w:rPr>
                <w:sz w:val="20"/>
                <w:szCs w:val="20"/>
                <w:color w:val="auto"/>
              </w:rPr>
            </w:pPr>
            <w:r>
              <w:rPr>
                <w:rFonts w:ascii="Arial" w:cs="Arial" w:eastAsia="Arial" w:hAnsi="Arial"/>
                <w:sz w:val="14"/>
                <w:szCs w:val="14"/>
                <w:color w:val="auto"/>
                <w:w w:val="93"/>
              </w:rPr>
              <w:t>20,292</w:t>
            </w:r>
          </w:p>
        </w:tc>
        <w:tc>
          <w:tcPr>
            <w:tcW w:w="0" w:type="dxa"/>
            <w:vAlign w:val="bottom"/>
          </w:tcPr>
          <w:p>
            <w:pPr>
              <w:spacing w:after="0"/>
              <w:rPr>
                <w:sz w:val="1"/>
                <w:szCs w:val="1"/>
                <w:color w:val="auto"/>
              </w:rPr>
            </w:pPr>
          </w:p>
        </w:tc>
      </w:tr>
      <w:tr>
        <w:trPr>
          <w:trHeight w:val="25"/>
        </w:trPr>
        <w:tc>
          <w:tcPr>
            <w:tcW w:w="2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480" w:type="dxa"/>
            <w:vAlign w:val="bottom"/>
            <w:vMerge w:val="restart"/>
          </w:tcPr>
          <w:p>
            <w:pPr>
              <w:ind w:left="20"/>
              <w:spacing w:after="0"/>
              <w:rPr>
                <w:sz w:val="20"/>
                <w:szCs w:val="20"/>
                <w:color w:val="auto"/>
              </w:rPr>
            </w:pPr>
            <w:r>
              <w:rPr>
                <w:rFonts w:ascii="Arial" w:cs="Arial" w:eastAsia="Arial" w:hAnsi="Arial"/>
                <w:sz w:val="14"/>
                <w:szCs w:val="14"/>
                <w:color w:val="auto"/>
              </w:rPr>
              <w:t>Gaylord Hotels</w:t>
            </w:r>
            <w:r>
              <w:rPr>
                <w:rFonts w:ascii="Arial" w:cs="Arial" w:eastAsia="Arial" w:hAnsi="Arial"/>
                <w:sz w:val="18"/>
                <w:szCs w:val="18"/>
                <w:color w:val="auto"/>
                <w:vertAlign w:val="superscript"/>
              </w:rPr>
              <w:t>®</w:t>
            </w:r>
          </w:p>
        </w:tc>
        <w:tc>
          <w:tcPr>
            <w:tcW w:w="1200" w:type="dxa"/>
            <w:vAlign w:val="bottom"/>
          </w:tcPr>
          <w:p>
            <w:pPr>
              <w:ind w:left="6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48"/>
              <w:spacing w:after="0"/>
              <w:rPr>
                <w:sz w:val="20"/>
                <w:szCs w:val="20"/>
                <w:color w:val="auto"/>
              </w:rPr>
            </w:pPr>
            <w:r>
              <w:rPr>
                <w:rFonts w:ascii="Arial" w:cs="Arial" w:eastAsia="Arial" w:hAnsi="Arial"/>
                <w:sz w:val="14"/>
                <w:szCs w:val="14"/>
                <w:color w:val="auto"/>
              </w:rPr>
              <w:t>6</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28"/>
              <w:spacing w:after="0"/>
              <w:rPr>
                <w:sz w:val="20"/>
                <w:szCs w:val="20"/>
                <w:color w:val="auto"/>
              </w:rPr>
            </w:pPr>
            <w:r>
              <w:rPr>
                <w:rFonts w:ascii="Arial" w:cs="Arial" w:eastAsia="Arial" w:hAnsi="Arial"/>
                <w:sz w:val="14"/>
                <w:szCs w:val="14"/>
                <w:color w:val="auto"/>
                <w:w w:val="76"/>
              </w:rPr>
              <w:t>6</w:t>
            </w:r>
          </w:p>
        </w:tc>
        <w:tc>
          <w:tcPr>
            <w:tcW w:w="0" w:type="dxa"/>
            <w:vAlign w:val="bottom"/>
          </w:tcPr>
          <w:p>
            <w:pPr>
              <w:spacing w:after="0"/>
              <w:rPr>
                <w:sz w:val="1"/>
                <w:szCs w:val="1"/>
                <w:color w:val="auto"/>
              </w:rPr>
            </w:pPr>
          </w:p>
        </w:tc>
      </w:tr>
      <w:tr>
        <w:trPr>
          <w:trHeight w:val="160"/>
        </w:trPr>
        <w:tc>
          <w:tcPr>
            <w:tcW w:w="2480" w:type="dxa"/>
            <w:vAlign w:val="bottom"/>
            <w:vMerge w:val="continue"/>
          </w:tcPr>
          <w:p>
            <w:pPr>
              <w:spacing w:after="0"/>
              <w:rPr>
                <w:sz w:val="13"/>
                <w:szCs w:val="13"/>
                <w:color w:val="auto"/>
              </w:rPr>
            </w:pPr>
          </w:p>
        </w:tc>
        <w:tc>
          <w:tcPr>
            <w:tcW w:w="1200" w:type="dxa"/>
            <w:vAlign w:val="bottom"/>
            <w:vMerge w:val="restart"/>
          </w:tcPr>
          <w:p>
            <w:pPr>
              <w:ind w:left="6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48"/>
              <w:spacing w:after="0"/>
              <w:rPr>
                <w:sz w:val="20"/>
                <w:szCs w:val="20"/>
                <w:color w:val="auto"/>
              </w:rPr>
            </w:pPr>
            <w:r>
              <w:rPr>
                <w:rFonts w:ascii="Arial" w:cs="Arial" w:eastAsia="Arial" w:hAnsi="Arial"/>
                <w:sz w:val="14"/>
                <w:szCs w:val="14"/>
                <w:color w:val="auto"/>
                <w:w w:val="91"/>
              </w:rPr>
              <w:t>9,918</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vMerge w:val="restart"/>
          </w:tcPr>
          <w:p>
            <w:pPr>
              <w:jc w:val="center"/>
              <w:ind w:right="48"/>
              <w:spacing w:after="0"/>
              <w:rPr>
                <w:sz w:val="20"/>
                <w:szCs w:val="20"/>
                <w:color w:val="auto"/>
              </w:rPr>
            </w:pPr>
            <w:r>
              <w:rPr>
                <w:rFonts w:ascii="Arial" w:cs="Arial" w:eastAsia="Arial" w:hAnsi="Arial"/>
                <w:sz w:val="14"/>
                <w:szCs w:val="14"/>
                <w:color w:val="auto"/>
                <w:w w:val="91"/>
              </w:rPr>
              <w:t>9,918</w:t>
            </w:r>
          </w:p>
        </w:tc>
        <w:tc>
          <w:tcPr>
            <w:tcW w:w="0" w:type="dxa"/>
            <w:vAlign w:val="bottom"/>
          </w:tcPr>
          <w:p>
            <w:pPr>
              <w:spacing w:after="0"/>
              <w:rPr>
                <w:sz w:val="1"/>
                <w:szCs w:val="1"/>
                <w:color w:val="auto"/>
              </w:rPr>
            </w:pPr>
          </w:p>
        </w:tc>
      </w:tr>
      <w:tr>
        <w:trPr>
          <w:trHeight w:val="51"/>
        </w:trPr>
        <w:tc>
          <w:tcPr>
            <w:tcW w:w="24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480" w:type="dxa"/>
            <w:vAlign w:val="bottom"/>
            <w:vMerge w:val="restart"/>
          </w:tcPr>
          <w:p>
            <w:pPr>
              <w:ind w:left="20"/>
              <w:spacing w:after="0"/>
              <w:rPr>
                <w:sz w:val="20"/>
                <w:szCs w:val="20"/>
                <w:color w:val="auto"/>
              </w:rPr>
            </w:pPr>
            <w:r>
              <w:rPr>
                <w:rFonts w:ascii="Arial" w:cs="Arial" w:eastAsia="Arial" w:hAnsi="Arial"/>
                <w:sz w:val="14"/>
                <w:szCs w:val="14"/>
                <w:color w:val="auto"/>
              </w:rPr>
              <w:t>Marriott Executive Apartments</w:t>
            </w:r>
            <w:r>
              <w:rPr>
                <w:rFonts w:ascii="Arial" w:cs="Arial" w:eastAsia="Arial" w:hAnsi="Arial"/>
                <w:sz w:val="18"/>
                <w:szCs w:val="18"/>
                <w:color w:val="auto"/>
                <w:vertAlign w:val="superscript"/>
              </w:rPr>
              <w:t>®</w:t>
            </w:r>
          </w:p>
        </w:tc>
        <w:tc>
          <w:tcPr>
            <w:tcW w:w="1200" w:type="dxa"/>
            <w:vAlign w:val="bottom"/>
          </w:tcPr>
          <w:p>
            <w:pPr>
              <w:ind w:left="6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940" w:type="dxa"/>
            <w:vAlign w:val="bottom"/>
          </w:tcPr>
          <w:p>
            <w:pPr>
              <w:jc w:val="center"/>
              <w:spacing w:after="0"/>
              <w:rPr>
                <w:sz w:val="20"/>
                <w:szCs w:val="20"/>
                <w:color w:val="auto"/>
              </w:rPr>
            </w:pPr>
            <w:r>
              <w:rPr>
                <w:rFonts w:ascii="Arial" w:cs="Arial" w:eastAsia="Arial" w:hAnsi="Arial"/>
                <w:sz w:val="14"/>
                <w:szCs w:val="14"/>
                <w:color w:val="auto"/>
              </w:rPr>
              <w:t>4</w:t>
            </w:r>
          </w:p>
        </w:tc>
        <w:tc>
          <w:tcPr>
            <w:tcW w:w="1280" w:type="dxa"/>
            <w:vAlign w:val="bottom"/>
          </w:tcPr>
          <w:p>
            <w:pPr>
              <w:jc w:val="center"/>
              <w:spacing w:after="0"/>
              <w:rPr>
                <w:sz w:val="20"/>
                <w:szCs w:val="20"/>
                <w:color w:val="auto"/>
              </w:rPr>
            </w:pPr>
            <w:r>
              <w:rPr>
                <w:rFonts w:ascii="Arial" w:cs="Arial" w:eastAsia="Arial" w:hAnsi="Arial"/>
                <w:sz w:val="14"/>
                <w:szCs w:val="14"/>
                <w:color w:val="auto"/>
                <w:w w:val="89"/>
              </w:rPr>
              <w:t>10</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18</w:t>
            </w:r>
          </w:p>
        </w:tc>
        <w:tc>
          <w:tcPr>
            <w:tcW w:w="128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040" w:type="dxa"/>
            <w:vAlign w:val="bottom"/>
          </w:tcPr>
          <w:p>
            <w:pPr>
              <w:jc w:val="center"/>
              <w:ind w:right="28"/>
              <w:spacing w:after="0"/>
              <w:rPr>
                <w:sz w:val="20"/>
                <w:szCs w:val="20"/>
                <w:color w:val="auto"/>
              </w:rPr>
            </w:pPr>
            <w:r>
              <w:rPr>
                <w:rFonts w:ascii="Arial" w:cs="Arial" w:eastAsia="Arial" w:hAnsi="Arial"/>
                <w:sz w:val="14"/>
                <w:szCs w:val="14"/>
                <w:color w:val="auto"/>
                <w:w w:val="89"/>
              </w:rPr>
              <w:t>34</w:t>
            </w:r>
          </w:p>
        </w:tc>
        <w:tc>
          <w:tcPr>
            <w:tcW w:w="0" w:type="dxa"/>
            <w:vAlign w:val="bottom"/>
          </w:tcPr>
          <w:p>
            <w:pPr>
              <w:spacing w:after="0"/>
              <w:rPr>
                <w:sz w:val="1"/>
                <w:szCs w:val="1"/>
                <w:color w:val="auto"/>
              </w:rPr>
            </w:pPr>
          </w:p>
        </w:tc>
      </w:tr>
      <w:tr>
        <w:trPr>
          <w:trHeight w:val="160"/>
        </w:trPr>
        <w:tc>
          <w:tcPr>
            <w:tcW w:w="2480" w:type="dxa"/>
            <w:vAlign w:val="bottom"/>
            <w:vMerge w:val="continue"/>
          </w:tcPr>
          <w:p>
            <w:pPr>
              <w:spacing w:after="0"/>
              <w:rPr>
                <w:sz w:val="13"/>
                <w:szCs w:val="13"/>
                <w:color w:val="auto"/>
              </w:rPr>
            </w:pPr>
          </w:p>
        </w:tc>
        <w:tc>
          <w:tcPr>
            <w:tcW w:w="1200" w:type="dxa"/>
            <w:vAlign w:val="bottom"/>
            <w:vMerge w:val="restart"/>
          </w:tcPr>
          <w:p>
            <w:pPr>
              <w:ind w:left="6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68"/>
              <w:spacing w:after="0"/>
              <w:rPr>
                <w:sz w:val="20"/>
                <w:szCs w:val="20"/>
                <w:color w:val="auto"/>
              </w:rPr>
            </w:pPr>
            <w:r>
              <w:rPr>
                <w:rFonts w:ascii="Arial" w:cs="Arial" w:eastAsia="Arial" w:hAnsi="Arial"/>
                <w:sz w:val="14"/>
                <w:szCs w:val="14"/>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4"/>
              </w:rPr>
              <w:t>361</w:t>
            </w:r>
          </w:p>
        </w:tc>
        <w:tc>
          <w:tcPr>
            <w:tcW w:w="1280" w:type="dxa"/>
            <w:vAlign w:val="bottom"/>
            <w:vMerge w:val="restart"/>
          </w:tcPr>
          <w:p>
            <w:pPr>
              <w:jc w:val="center"/>
              <w:ind w:left="8"/>
              <w:spacing w:after="0"/>
              <w:rPr>
                <w:sz w:val="20"/>
                <w:szCs w:val="20"/>
                <w:color w:val="auto"/>
              </w:rPr>
            </w:pPr>
            <w:r>
              <w:rPr>
                <w:rFonts w:ascii="Arial" w:cs="Arial" w:eastAsia="Arial" w:hAnsi="Arial"/>
                <w:sz w:val="14"/>
                <w:szCs w:val="14"/>
                <w:color w:val="auto"/>
                <w:w w:val="91"/>
              </w:rPr>
              <w:t>1,116</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6"/>
              </w:rPr>
              <w:t>3,161</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4"/>
              </w:rPr>
              <w:t>240</w:t>
            </w:r>
          </w:p>
        </w:tc>
        <w:tc>
          <w:tcPr>
            <w:tcW w:w="1040" w:type="dxa"/>
            <w:vAlign w:val="bottom"/>
            <w:vMerge w:val="restart"/>
          </w:tcPr>
          <w:p>
            <w:pPr>
              <w:jc w:val="center"/>
              <w:ind w:right="48"/>
              <w:spacing w:after="0"/>
              <w:rPr>
                <w:sz w:val="20"/>
                <w:szCs w:val="20"/>
                <w:color w:val="auto"/>
              </w:rPr>
            </w:pPr>
            <w:r>
              <w:rPr>
                <w:rFonts w:ascii="Arial" w:cs="Arial" w:eastAsia="Arial" w:hAnsi="Arial"/>
                <w:sz w:val="14"/>
                <w:szCs w:val="14"/>
                <w:color w:val="auto"/>
                <w:w w:val="91"/>
              </w:rPr>
              <w:t>4,878</w:t>
            </w:r>
          </w:p>
        </w:tc>
        <w:tc>
          <w:tcPr>
            <w:tcW w:w="0" w:type="dxa"/>
            <w:vAlign w:val="bottom"/>
          </w:tcPr>
          <w:p>
            <w:pPr>
              <w:spacing w:after="0"/>
              <w:rPr>
                <w:sz w:val="1"/>
                <w:szCs w:val="1"/>
                <w:color w:val="auto"/>
              </w:rPr>
            </w:pPr>
          </w:p>
        </w:tc>
      </w:tr>
      <w:tr>
        <w:trPr>
          <w:trHeight w:val="51"/>
        </w:trPr>
        <w:tc>
          <w:tcPr>
            <w:tcW w:w="24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480" w:type="dxa"/>
            <w:vAlign w:val="bottom"/>
            <w:vMerge w:val="restart"/>
          </w:tcPr>
          <w:p>
            <w:pPr>
              <w:ind w:left="20"/>
              <w:spacing w:after="0"/>
              <w:rPr>
                <w:sz w:val="20"/>
                <w:szCs w:val="20"/>
                <w:color w:val="auto"/>
              </w:rPr>
            </w:pPr>
            <w:r>
              <w:rPr>
                <w:rFonts w:ascii="Arial" w:cs="Arial" w:eastAsia="Arial" w:hAnsi="Arial"/>
                <w:sz w:val="14"/>
                <w:szCs w:val="14"/>
                <w:color w:val="auto"/>
              </w:rPr>
              <w:t>Tribute Portfolio</w:t>
            </w:r>
            <w:r>
              <w:rPr>
                <w:rFonts w:ascii="Arial" w:cs="Arial" w:eastAsia="Arial" w:hAnsi="Arial"/>
                <w:sz w:val="18"/>
                <w:szCs w:val="18"/>
                <w:color w:val="auto"/>
                <w:vertAlign w:val="superscript"/>
              </w:rPr>
              <w:t>®</w:t>
            </w:r>
          </w:p>
        </w:tc>
        <w:tc>
          <w:tcPr>
            <w:tcW w:w="1200" w:type="dxa"/>
            <w:vAlign w:val="bottom"/>
          </w:tcPr>
          <w:p>
            <w:pPr>
              <w:ind w:left="6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89"/>
              </w:rPr>
              <w:t>26</w:t>
            </w: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11</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76"/>
              </w:rPr>
              <w:t>8</w:t>
            </w:r>
          </w:p>
        </w:tc>
        <w:tc>
          <w:tcPr>
            <w:tcW w:w="128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1040" w:type="dxa"/>
            <w:vAlign w:val="bottom"/>
          </w:tcPr>
          <w:p>
            <w:pPr>
              <w:jc w:val="center"/>
              <w:ind w:right="28"/>
              <w:spacing w:after="0"/>
              <w:rPr>
                <w:sz w:val="20"/>
                <w:szCs w:val="20"/>
                <w:color w:val="auto"/>
              </w:rPr>
            </w:pPr>
            <w:r>
              <w:rPr>
                <w:rFonts w:ascii="Arial" w:cs="Arial" w:eastAsia="Arial" w:hAnsi="Arial"/>
                <w:sz w:val="14"/>
                <w:szCs w:val="14"/>
                <w:color w:val="auto"/>
                <w:w w:val="89"/>
              </w:rPr>
              <w:t>48</w:t>
            </w:r>
          </w:p>
        </w:tc>
        <w:tc>
          <w:tcPr>
            <w:tcW w:w="0" w:type="dxa"/>
            <w:vAlign w:val="bottom"/>
          </w:tcPr>
          <w:p>
            <w:pPr>
              <w:spacing w:after="0"/>
              <w:rPr>
                <w:sz w:val="1"/>
                <w:szCs w:val="1"/>
                <w:color w:val="auto"/>
              </w:rPr>
            </w:pPr>
          </w:p>
        </w:tc>
      </w:tr>
      <w:tr>
        <w:trPr>
          <w:trHeight w:val="160"/>
        </w:trPr>
        <w:tc>
          <w:tcPr>
            <w:tcW w:w="2480" w:type="dxa"/>
            <w:vAlign w:val="bottom"/>
            <w:vMerge w:val="continue"/>
          </w:tcPr>
          <w:p>
            <w:pPr>
              <w:spacing w:after="0"/>
              <w:rPr>
                <w:sz w:val="13"/>
                <w:szCs w:val="13"/>
                <w:color w:val="auto"/>
              </w:rPr>
            </w:pPr>
          </w:p>
        </w:tc>
        <w:tc>
          <w:tcPr>
            <w:tcW w:w="1200" w:type="dxa"/>
            <w:vAlign w:val="bottom"/>
            <w:vMerge w:val="restart"/>
          </w:tcPr>
          <w:p>
            <w:pPr>
              <w:ind w:left="6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48"/>
              <w:spacing w:after="0"/>
              <w:rPr>
                <w:sz w:val="20"/>
                <w:szCs w:val="20"/>
                <w:color w:val="auto"/>
              </w:rPr>
            </w:pPr>
            <w:r>
              <w:rPr>
                <w:rFonts w:ascii="Arial" w:cs="Arial" w:eastAsia="Arial" w:hAnsi="Arial"/>
                <w:sz w:val="14"/>
                <w:szCs w:val="14"/>
                <w:color w:val="auto"/>
                <w:w w:val="91"/>
              </w:rPr>
              <w:t>4,571</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1"/>
              </w:rPr>
              <w:t>1,139</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6"/>
              </w:rPr>
              <w:t>1,106</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4"/>
              </w:rPr>
              <w:t>155</w:t>
            </w:r>
          </w:p>
        </w:tc>
        <w:tc>
          <w:tcPr>
            <w:tcW w:w="1040" w:type="dxa"/>
            <w:vAlign w:val="bottom"/>
            <w:vMerge w:val="restart"/>
          </w:tcPr>
          <w:p>
            <w:pPr>
              <w:jc w:val="center"/>
              <w:ind w:right="48"/>
              <w:spacing w:after="0"/>
              <w:rPr>
                <w:sz w:val="20"/>
                <w:szCs w:val="20"/>
                <w:color w:val="auto"/>
              </w:rPr>
            </w:pPr>
            <w:r>
              <w:rPr>
                <w:rFonts w:ascii="Arial" w:cs="Arial" w:eastAsia="Arial" w:hAnsi="Arial"/>
                <w:sz w:val="14"/>
                <w:szCs w:val="14"/>
                <w:color w:val="auto"/>
                <w:w w:val="91"/>
              </w:rPr>
              <w:t>6,971</w:t>
            </w:r>
          </w:p>
        </w:tc>
        <w:tc>
          <w:tcPr>
            <w:tcW w:w="0" w:type="dxa"/>
            <w:vAlign w:val="bottom"/>
          </w:tcPr>
          <w:p>
            <w:pPr>
              <w:spacing w:after="0"/>
              <w:rPr>
                <w:sz w:val="1"/>
                <w:szCs w:val="1"/>
                <w:color w:val="auto"/>
              </w:rPr>
            </w:pPr>
          </w:p>
        </w:tc>
      </w:tr>
      <w:tr>
        <w:trPr>
          <w:trHeight w:val="51"/>
        </w:trPr>
        <w:tc>
          <w:tcPr>
            <w:tcW w:w="24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480" w:type="dxa"/>
            <w:vAlign w:val="bottom"/>
            <w:vMerge w:val="restart"/>
          </w:tcPr>
          <w:p>
            <w:pPr>
              <w:ind w:left="20"/>
              <w:spacing w:after="0"/>
              <w:rPr>
                <w:sz w:val="20"/>
                <w:szCs w:val="20"/>
                <w:color w:val="auto"/>
              </w:rPr>
            </w:pPr>
            <w:r>
              <w:rPr>
                <w:rFonts w:ascii="Arial" w:cs="Arial" w:eastAsia="Arial" w:hAnsi="Arial"/>
                <w:sz w:val="14"/>
                <w:szCs w:val="14"/>
                <w:color w:val="auto"/>
              </w:rPr>
              <w:t>Design Hotels</w:t>
            </w:r>
            <w:r>
              <w:rPr>
                <w:rFonts w:ascii="Arial" w:cs="Arial" w:eastAsia="Arial" w:hAnsi="Arial"/>
                <w:sz w:val="18"/>
                <w:szCs w:val="18"/>
                <w:color w:val="auto"/>
                <w:vertAlign w:val="superscript"/>
              </w:rPr>
              <w:t>TM</w:t>
            </w:r>
          </w:p>
        </w:tc>
        <w:tc>
          <w:tcPr>
            <w:tcW w:w="1200" w:type="dxa"/>
            <w:vAlign w:val="bottom"/>
          </w:tcPr>
          <w:p>
            <w:pPr>
              <w:ind w:left="6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48"/>
              <w:spacing w:after="0"/>
              <w:rPr>
                <w:sz w:val="20"/>
                <w:szCs w:val="20"/>
                <w:color w:val="auto"/>
              </w:rPr>
            </w:pPr>
            <w:r>
              <w:rPr>
                <w:rFonts w:ascii="Arial" w:cs="Arial" w:eastAsia="Arial" w:hAnsi="Arial"/>
                <w:sz w:val="14"/>
                <w:szCs w:val="14"/>
                <w:color w:val="auto"/>
              </w:rPr>
              <w:t>5</w:t>
            </w:r>
          </w:p>
        </w:tc>
        <w:tc>
          <w:tcPr>
            <w:tcW w:w="940" w:type="dxa"/>
            <w:vAlign w:val="bottom"/>
          </w:tcPr>
          <w:p>
            <w:pPr>
              <w:jc w:val="center"/>
              <w:spacing w:after="0"/>
              <w:rPr>
                <w:sz w:val="20"/>
                <w:szCs w:val="20"/>
                <w:color w:val="auto"/>
              </w:rPr>
            </w:pPr>
            <w:r>
              <w:rPr>
                <w:rFonts w:ascii="Arial" w:cs="Arial" w:eastAsia="Arial" w:hAnsi="Arial"/>
                <w:sz w:val="14"/>
                <w:szCs w:val="14"/>
                <w:color w:val="auto"/>
              </w:rPr>
              <w:t>7</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28"/>
              <w:spacing w:after="0"/>
              <w:rPr>
                <w:sz w:val="20"/>
                <w:szCs w:val="20"/>
                <w:color w:val="auto"/>
              </w:rPr>
            </w:pPr>
            <w:r>
              <w:rPr>
                <w:rFonts w:ascii="Arial" w:cs="Arial" w:eastAsia="Arial" w:hAnsi="Arial"/>
                <w:sz w:val="14"/>
                <w:szCs w:val="14"/>
                <w:color w:val="auto"/>
                <w:w w:val="89"/>
              </w:rPr>
              <w:t>12</w:t>
            </w:r>
          </w:p>
        </w:tc>
        <w:tc>
          <w:tcPr>
            <w:tcW w:w="0" w:type="dxa"/>
            <w:vAlign w:val="bottom"/>
          </w:tcPr>
          <w:p>
            <w:pPr>
              <w:spacing w:after="0"/>
              <w:rPr>
                <w:sz w:val="1"/>
                <w:szCs w:val="1"/>
                <w:color w:val="auto"/>
              </w:rPr>
            </w:pPr>
          </w:p>
        </w:tc>
      </w:tr>
      <w:tr>
        <w:trPr>
          <w:trHeight w:val="160"/>
        </w:trPr>
        <w:tc>
          <w:tcPr>
            <w:tcW w:w="2480" w:type="dxa"/>
            <w:vAlign w:val="bottom"/>
            <w:vMerge w:val="continue"/>
          </w:tcPr>
          <w:p>
            <w:pPr>
              <w:spacing w:after="0"/>
              <w:rPr>
                <w:sz w:val="13"/>
                <w:szCs w:val="13"/>
                <w:color w:val="auto"/>
              </w:rPr>
            </w:pPr>
          </w:p>
        </w:tc>
        <w:tc>
          <w:tcPr>
            <w:tcW w:w="1200" w:type="dxa"/>
            <w:vAlign w:val="bottom"/>
            <w:vMerge w:val="restart"/>
          </w:tcPr>
          <w:p>
            <w:pPr>
              <w:ind w:left="6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68"/>
              <w:spacing w:after="0"/>
              <w:rPr>
                <w:sz w:val="20"/>
                <w:szCs w:val="20"/>
                <w:color w:val="auto"/>
              </w:rPr>
            </w:pPr>
            <w:r>
              <w:rPr>
                <w:rFonts w:ascii="Arial" w:cs="Arial" w:eastAsia="Arial" w:hAnsi="Arial"/>
                <w:sz w:val="14"/>
                <w:szCs w:val="14"/>
                <w:color w:val="auto"/>
                <w:w w:val="94"/>
              </w:rPr>
              <w:t>853</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4"/>
              </w:rPr>
              <w:t>799</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vMerge w:val="restart"/>
          </w:tcPr>
          <w:p>
            <w:pPr>
              <w:jc w:val="center"/>
              <w:ind w:right="48"/>
              <w:spacing w:after="0"/>
              <w:rPr>
                <w:sz w:val="20"/>
                <w:szCs w:val="20"/>
                <w:color w:val="auto"/>
              </w:rPr>
            </w:pPr>
            <w:r>
              <w:rPr>
                <w:rFonts w:ascii="Arial" w:cs="Arial" w:eastAsia="Arial" w:hAnsi="Arial"/>
                <w:sz w:val="14"/>
                <w:szCs w:val="14"/>
                <w:color w:val="auto"/>
                <w:w w:val="91"/>
              </w:rPr>
              <w:t>1,652</w:t>
            </w:r>
          </w:p>
        </w:tc>
        <w:tc>
          <w:tcPr>
            <w:tcW w:w="0" w:type="dxa"/>
            <w:vAlign w:val="bottom"/>
          </w:tcPr>
          <w:p>
            <w:pPr>
              <w:spacing w:after="0"/>
              <w:rPr>
                <w:sz w:val="1"/>
                <w:szCs w:val="1"/>
                <w:color w:val="auto"/>
              </w:rPr>
            </w:pPr>
          </w:p>
        </w:tc>
      </w:tr>
      <w:tr>
        <w:trPr>
          <w:trHeight w:val="51"/>
        </w:trPr>
        <w:tc>
          <w:tcPr>
            <w:tcW w:w="24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Select</w:t>
            </w:r>
          </w:p>
        </w:tc>
        <w:tc>
          <w:tcPr>
            <w:tcW w:w="1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80" w:type="dxa"/>
            <w:vAlign w:val="bottom"/>
            <w:vMerge w:val="restart"/>
          </w:tcPr>
          <w:p>
            <w:pPr>
              <w:ind w:left="20"/>
              <w:spacing w:after="0"/>
              <w:rPr>
                <w:sz w:val="20"/>
                <w:szCs w:val="20"/>
                <w:color w:val="auto"/>
              </w:rPr>
            </w:pPr>
            <w:r>
              <w:rPr>
                <w:rFonts w:ascii="Arial" w:cs="Arial" w:eastAsia="Arial" w:hAnsi="Arial"/>
                <w:sz w:val="14"/>
                <w:szCs w:val="14"/>
                <w:color w:val="auto"/>
              </w:rPr>
              <w:t>Courtyard by Marriott</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(Courtyard</w:t>
            </w:r>
            <w:r>
              <w:rPr>
                <w:rFonts w:ascii="Arial" w:cs="Arial" w:eastAsia="Arial" w:hAnsi="Arial"/>
                <w:sz w:val="18"/>
                <w:szCs w:val="18"/>
                <w:color w:val="auto"/>
                <w:vertAlign w:val="superscript"/>
              </w:rPr>
              <w:t>®</w:t>
            </w:r>
            <w:r>
              <w:rPr>
                <w:rFonts w:ascii="Arial" w:cs="Arial" w:eastAsia="Arial" w:hAnsi="Arial"/>
                <w:sz w:val="14"/>
                <w:szCs w:val="14"/>
                <w:color w:val="auto"/>
              </w:rPr>
              <w:t>)</w:t>
            </w:r>
          </w:p>
        </w:tc>
        <w:tc>
          <w:tcPr>
            <w:tcW w:w="1200" w:type="dxa"/>
            <w:vAlign w:val="bottom"/>
          </w:tcPr>
          <w:p>
            <w:pPr>
              <w:ind w:left="6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48"/>
              <w:spacing w:after="0"/>
              <w:rPr>
                <w:sz w:val="20"/>
                <w:szCs w:val="20"/>
                <w:color w:val="auto"/>
              </w:rPr>
            </w:pPr>
            <w:r>
              <w:rPr>
                <w:rFonts w:ascii="Arial" w:cs="Arial" w:eastAsia="Arial" w:hAnsi="Arial"/>
                <w:sz w:val="14"/>
                <w:szCs w:val="14"/>
                <w:color w:val="auto"/>
                <w:w w:val="91"/>
              </w:rPr>
              <w:t>1,058</w:t>
            </w: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72</w:t>
            </w:r>
          </w:p>
        </w:tc>
        <w:tc>
          <w:tcPr>
            <w:tcW w:w="1280" w:type="dxa"/>
            <w:vAlign w:val="bottom"/>
          </w:tcPr>
          <w:p>
            <w:pPr>
              <w:jc w:val="center"/>
              <w:spacing w:after="0"/>
              <w:rPr>
                <w:sz w:val="20"/>
                <w:szCs w:val="20"/>
                <w:color w:val="auto"/>
              </w:rPr>
            </w:pPr>
            <w:r>
              <w:rPr>
                <w:rFonts w:ascii="Arial" w:cs="Arial" w:eastAsia="Arial" w:hAnsi="Arial"/>
                <w:sz w:val="14"/>
                <w:szCs w:val="14"/>
                <w:color w:val="auto"/>
                <w:w w:val="76"/>
              </w:rPr>
              <w:t>8</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79</w:t>
            </w:r>
          </w:p>
        </w:tc>
        <w:tc>
          <w:tcPr>
            <w:tcW w:w="1280" w:type="dxa"/>
            <w:vAlign w:val="bottom"/>
          </w:tcPr>
          <w:p>
            <w:pPr>
              <w:jc w:val="center"/>
              <w:spacing w:after="0"/>
              <w:rPr>
                <w:sz w:val="20"/>
                <w:szCs w:val="20"/>
                <w:color w:val="auto"/>
              </w:rPr>
            </w:pPr>
            <w:r>
              <w:rPr>
                <w:rFonts w:ascii="Arial" w:cs="Arial" w:eastAsia="Arial" w:hAnsi="Arial"/>
                <w:sz w:val="14"/>
                <w:szCs w:val="14"/>
                <w:color w:val="auto"/>
                <w:w w:val="89"/>
              </w:rPr>
              <w:t>41</w:t>
            </w:r>
          </w:p>
        </w:tc>
        <w:tc>
          <w:tcPr>
            <w:tcW w:w="1040" w:type="dxa"/>
            <w:vAlign w:val="bottom"/>
          </w:tcPr>
          <w:p>
            <w:pPr>
              <w:jc w:val="center"/>
              <w:ind w:right="48"/>
              <w:spacing w:after="0"/>
              <w:rPr>
                <w:sz w:val="20"/>
                <w:szCs w:val="20"/>
                <w:color w:val="auto"/>
              </w:rPr>
            </w:pPr>
            <w:r>
              <w:rPr>
                <w:rFonts w:ascii="Arial" w:cs="Arial" w:eastAsia="Arial" w:hAnsi="Arial"/>
                <w:sz w:val="14"/>
                <w:szCs w:val="14"/>
                <w:color w:val="auto"/>
                <w:w w:val="91"/>
              </w:rPr>
              <w:t>1,258</w:t>
            </w:r>
          </w:p>
        </w:tc>
        <w:tc>
          <w:tcPr>
            <w:tcW w:w="0" w:type="dxa"/>
            <w:vAlign w:val="bottom"/>
          </w:tcPr>
          <w:p>
            <w:pPr>
              <w:spacing w:after="0"/>
              <w:rPr>
                <w:sz w:val="1"/>
                <w:szCs w:val="1"/>
                <w:color w:val="auto"/>
              </w:rPr>
            </w:pPr>
          </w:p>
        </w:tc>
      </w:tr>
      <w:tr>
        <w:trPr>
          <w:trHeight w:val="160"/>
        </w:trPr>
        <w:tc>
          <w:tcPr>
            <w:tcW w:w="2480" w:type="dxa"/>
            <w:vAlign w:val="bottom"/>
            <w:vMerge w:val="continue"/>
          </w:tcPr>
          <w:p>
            <w:pPr>
              <w:spacing w:after="0"/>
              <w:rPr>
                <w:sz w:val="13"/>
                <w:szCs w:val="13"/>
                <w:color w:val="auto"/>
              </w:rPr>
            </w:pPr>
          </w:p>
        </w:tc>
        <w:tc>
          <w:tcPr>
            <w:tcW w:w="1200" w:type="dxa"/>
            <w:vAlign w:val="bottom"/>
            <w:vMerge w:val="restart"/>
          </w:tcPr>
          <w:p>
            <w:pPr>
              <w:ind w:left="6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48"/>
              <w:spacing w:after="0"/>
              <w:rPr>
                <w:sz w:val="20"/>
                <w:szCs w:val="20"/>
                <w:color w:val="auto"/>
              </w:rPr>
            </w:pPr>
            <w:r>
              <w:rPr>
                <w:rFonts w:ascii="Arial" w:cs="Arial" w:eastAsia="Arial" w:hAnsi="Arial"/>
                <w:sz w:val="14"/>
                <w:szCs w:val="14"/>
                <w:color w:val="auto"/>
                <w:w w:val="94"/>
              </w:rPr>
              <w:t>146,913</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3"/>
              </w:rPr>
              <w:t>13,551</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6"/>
              </w:rPr>
              <w:t>1,684</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8"/>
              </w:rPr>
              <w:t>18,454</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1"/>
              </w:rPr>
              <w:t>6,717</w:t>
            </w:r>
          </w:p>
        </w:tc>
        <w:tc>
          <w:tcPr>
            <w:tcW w:w="1040" w:type="dxa"/>
            <w:vAlign w:val="bottom"/>
            <w:vMerge w:val="restart"/>
          </w:tcPr>
          <w:p>
            <w:pPr>
              <w:jc w:val="center"/>
              <w:ind w:right="28"/>
              <w:spacing w:after="0"/>
              <w:rPr>
                <w:sz w:val="20"/>
                <w:szCs w:val="20"/>
                <w:color w:val="auto"/>
              </w:rPr>
            </w:pPr>
            <w:r>
              <w:rPr>
                <w:rFonts w:ascii="Arial" w:cs="Arial" w:eastAsia="Arial" w:hAnsi="Arial"/>
                <w:sz w:val="14"/>
                <w:szCs w:val="14"/>
                <w:color w:val="auto"/>
                <w:w w:val="90"/>
              </w:rPr>
              <w:t>187,319</w:t>
            </w:r>
          </w:p>
        </w:tc>
        <w:tc>
          <w:tcPr>
            <w:tcW w:w="0" w:type="dxa"/>
            <w:vAlign w:val="bottom"/>
          </w:tcPr>
          <w:p>
            <w:pPr>
              <w:spacing w:after="0"/>
              <w:rPr>
                <w:sz w:val="1"/>
                <w:szCs w:val="1"/>
                <w:color w:val="auto"/>
              </w:rPr>
            </w:pPr>
          </w:p>
        </w:tc>
      </w:tr>
      <w:tr>
        <w:trPr>
          <w:trHeight w:val="51"/>
        </w:trPr>
        <w:tc>
          <w:tcPr>
            <w:tcW w:w="24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480" w:type="dxa"/>
            <w:vAlign w:val="bottom"/>
          </w:tcPr>
          <w:p>
            <w:pPr>
              <w:ind w:left="20"/>
              <w:spacing w:after="0" w:line="169" w:lineRule="exact"/>
              <w:rPr>
                <w:sz w:val="20"/>
                <w:szCs w:val="20"/>
                <w:color w:val="auto"/>
              </w:rPr>
            </w:pPr>
            <w:r>
              <w:rPr>
                <w:rFonts w:ascii="Arial" w:cs="Arial" w:eastAsia="Arial" w:hAnsi="Arial"/>
                <w:sz w:val="14"/>
                <w:szCs w:val="14"/>
                <w:color w:val="auto"/>
              </w:rPr>
              <w:t>Residence Inn by Marriott</w:t>
            </w:r>
            <w:r>
              <w:rPr>
                <w:rFonts w:ascii="Arial" w:cs="Arial" w:eastAsia="Arial" w:hAnsi="Arial"/>
                <w:sz w:val="18"/>
                <w:szCs w:val="18"/>
                <w:color w:val="auto"/>
                <w:vertAlign w:val="superscript"/>
              </w:rPr>
              <w:t>®</w:t>
            </w:r>
            <w:r>
              <w:rPr>
                <w:rFonts w:ascii="Arial" w:cs="Arial" w:eastAsia="Arial" w:hAnsi="Arial"/>
                <w:sz w:val="14"/>
                <w:szCs w:val="14"/>
                <w:color w:val="auto"/>
              </w:rPr>
              <w:t xml:space="preserve"> (Residence</w:t>
            </w:r>
          </w:p>
        </w:tc>
        <w:tc>
          <w:tcPr>
            <w:tcW w:w="1200" w:type="dxa"/>
            <w:vAlign w:val="bottom"/>
          </w:tcPr>
          <w:p>
            <w:pPr>
              <w:ind w:left="6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4"/>
              </w:rPr>
              <w:t>854</w:t>
            </w: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13</w:t>
            </w:r>
          </w:p>
        </w:tc>
        <w:tc>
          <w:tcPr>
            <w:tcW w:w="128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76"/>
              </w:rPr>
              <w:t>4</w:t>
            </w:r>
          </w:p>
        </w:tc>
        <w:tc>
          <w:tcPr>
            <w:tcW w:w="1040" w:type="dxa"/>
            <w:vAlign w:val="bottom"/>
          </w:tcPr>
          <w:p>
            <w:pPr>
              <w:jc w:val="center"/>
              <w:ind w:right="28"/>
              <w:spacing w:after="0"/>
              <w:rPr>
                <w:sz w:val="20"/>
                <w:szCs w:val="20"/>
                <w:color w:val="auto"/>
              </w:rPr>
            </w:pPr>
            <w:r>
              <w:rPr>
                <w:rFonts w:ascii="Arial" w:cs="Arial" w:eastAsia="Arial" w:hAnsi="Arial"/>
                <w:sz w:val="14"/>
                <w:szCs w:val="14"/>
                <w:color w:val="auto"/>
                <w:w w:val="94"/>
              </w:rPr>
              <w:t>874</w:t>
            </w:r>
          </w:p>
        </w:tc>
        <w:tc>
          <w:tcPr>
            <w:tcW w:w="0" w:type="dxa"/>
            <w:vAlign w:val="bottom"/>
          </w:tcPr>
          <w:p>
            <w:pPr>
              <w:spacing w:after="0"/>
              <w:rPr>
                <w:sz w:val="1"/>
                <w:szCs w:val="1"/>
                <w:color w:val="auto"/>
              </w:rPr>
            </w:pPr>
          </w:p>
        </w:tc>
      </w:tr>
      <w:tr>
        <w:trPr>
          <w:trHeight w:val="243"/>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Inn</w:t>
            </w:r>
            <w:r>
              <w:rPr>
                <w:rFonts w:ascii="Arial" w:cs="Arial" w:eastAsia="Arial" w:hAnsi="Arial"/>
                <w:sz w:val="18"/>
                <w:szCs w:val="18"/>
                <w:color w:val="auto"/>
                <w:vertAlign w:val="superscript"/>
              </w:rPr>
              <w:t>®</w:t>
            </w:r>
            <w:r>
              <w:rPr>
                <w:rFonts w:ascii="Arial" w:cs="Arial" w:eastAsia="Arial" w:hAnsi="Arial"/>
                <w:sz w:val="14"/>
                <w:szCs w:val="14"/>
                <w:color w:val="auto"/>
              </w:rPr>
              <w:t>)</w:t>
            </w:r>
          </w:p>
        </w:tc>
        <w:tc>
          <w:tcPr>
            <w:tcW w:w="12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Rooms</w:t>
            </w:r>
          </w:p>
        </w:tc>
        <w:tc>
          <w:tcPr>
            <w:tcW w:w="144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4"/>
              </w:rPr>
              <w:t>105,273</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1,569</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294</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544</w:t>
            </w:r>
          </w:p>
        </w:tc>
        <w:tc>
          <w:tcPr>
            <w:tcW w:w="10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0"/>
              </w:rPr>
              <w:t>107,680</w:t>
            </w:r>
          </w:p>
        </w:tc>
        <w:tc>
          <w:tcPr>
            <w:tcW w:w="0" w:type="dxa"/>
            <w:vAlign w:val="bottom"/>
          </w:tcPr>
          <w:p>
            <w:pPr>
              <w:spacing w:after="0"/>
              <w:rPr>
                <w:sz w:val="1"/>
                <w:szCs w:val="1"/>
                <w:color w:val="auto"/>
              </w:rPr>
            </w:pPr>
          </w:p>
        </w:tc>
      </w:tr>
      <w:tr>
        <w:trPr>
          <w:trHeight w:val="176"/>
        </w:trPr>
        <w:tc>
          <w:tcPr>
            <w:tcW w:w="2480" w:type="dxa"/>
            <w:vAlign w:val="bottom"/>
            <w:vMerge w:val="restart"/>
          </w:tcPr>
          <w:p>
            <w:pPr>
              <w:ind w:left="20"/>
              <w:spacing w:after="0"/>
              <w:rPr>
                <w:sz w:val="20"/>
                <w:szCs w:val="20"/>
                <w:color w:val="auto"/>
              </w:rPr>
            </w:pPr>
            <w:r>
              <w:rPr>
                <w:rFonts w:ascii="Arial" w:cs="Arial" w:eastAsia="Arial" w:hAnsi="Arial"/>
                <w:sz w:val="14"/>
                <w:szCs w:val="14"/>
                <w:color w:val="auto"/>
              </w:rPr>
              <w:t>Fairfield by Marriott</w:t>
            </w:r>
            <w:r>
              <w:rPr>
                <w:rFonts w:ascii="Arial" w:cs="Arial" w:eastAsia="Arial" w:hAnsi="Arial"/>
                <w:sz w:val="18"/>
                <w:szCs w:val="18"/>
                <w:color w:val="auto"/>
                <w:vertAlign w:val="superscript"/>
              </w:rPr>
              <w:t>®</w:t>
            </w:r>
          </w:p>
        </w:tc>
        <w:tc>
          <w:tcPr>
            <w:tcW w:w="1200" w:type="dxa"/>
            <w:vAlign w:val="bottom"/>
          </w:tcPr>
          <w:p>
            <w:pPr>
              <w:ind w:left="6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48"/>
              <w:spacing w:after="0"/>
              <w:rPr>
                <w:sz w:val="20"/>
                <w:szCs w:val="20"/>
                <w:color w:val="auto"/>
              </w:rPr>
            </w:pPr>
            <w:r>
              <w:rPr>
                <w:rFonts w:ascii="Arial" w:cs="Arial" w:eastAsia="Arial" w:hAnsi="Arial"/>
                <w:sz w:val="14"/>
                <w:szCs w:val="14"/>
                <w:color w:val="auto"/>
                <w:w w:val="91"/>
              </w:rPr>
              <w:t>1,061</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58</w:t>
            </w:r>
          </w:p>
        </w:tc>
        <w:tc>
          <w:tcPr>
            <w:tcW w:w="1280" w:type="dxa"/>
            <w:vAlign w:val="bottom"/>
          </w:tcPr>
          <w:p>
            <w:pPr>
              <w:jc w:val="center"/>
              <w:spacing w:after="0"/>
              <w:rPr>
                <w:sz w:val="20"/>
                <w:szCs w:val="20"/>
                <w:color w:val="auto"/>
              </w:rPr>
            </w:pPr>
            <w:r>
              <w:rPr>
                <w:rFonts w:ascii="Arial" w:cs="Arial" w:eastAsia="Arial" w:hAnsi="Arial"/>
                <w:sz w:val="14"/>
                <w:szCs w:val="14"/>
                <w:color w:val="auto"/>
                <w:w w:val="89"/>
              </w:rPr>
              <w:t>13</w:t>
            </w:r>
          </w:p>
        </w:tc>
        <w:tc>
          <w:tcPr>
            <w:tcW w:w="1040" w:type="dxa"/>
            <w:vAlign w:val="bottom"/>
          </w:tcPr>
          <w:p>
            <w:pPr>
              <w:jc w:val="center"/>
              <w:ind w:right="48"/>
              <w:spacing w:after="0"/>
              <w:rPr>
                <w:sz w:val="20"/>
                <w:szCs w:val="20"/>
                <w:color w:val="auto"/>
              </w:rPr>
            </w:pPr>
            <w:r>
              <w:rPr>
                <w:rFonts w:ascii="Arial" w:cs="Arial" w:eastAsia="Arial" w:hAnsi="Arial"/>
                <w:sz w:val="14"/>
                <w:szCs w:val="14"/>
                <w:color w:val="auto"/>
                <w:w w:val="91"/>
              </w:rPr>
              <w:t>1,132</w:t>
            </w:r>
          </w:p>
        </w:tc>
        <w:tc>
          <w:tcPr>
            <w:tcW w:w="0" w:type="dxa"/>
            <w:vAlign w:val="bottom"/>
          </w:tcPr>
          <w:p>
            <w:pPr>
              <w:spacing w:after="0"/>
              <w:rPr>
                <w:sz w:val="1"/>
                <w:szCs w:val="1"/>
                <w:color w:val="auto"/>
              </w:rPr>
            </w:pPr>
          </w:p>
        </w:tc>
      </w:tr>
      <w:tr>
        <w:trPr>
          <w:trHeight w:val="160"/>
        </w:trPr>
        <w:tc>
          <w:tcPr>
            <w:tcW w:w="2480" w:type="dxa"/>
            <w:vAlign w:val="bottom"/>
            <w:vMerge w:val="continue"/>
          </w:tcPr>
          <w:p>
            <w:pPr>
              <w:spacing w:after="0"/>
              <w:rPr>
                <w:sz w:val="13"/>
                <w:szCs w:val="13"/>
                <w:color w:val="auto"/>
              </w:rPr>
            </w:pPr>
          </w:p>
        </w:tc>
        <w:tc>
          <w:tcPr>
            <w:tcW w:w="1200" w:type="dxa"/>
            <w:vAlign w:val="bottom"/>
            <w:vMerge w:val="restart"/>
          </w:tcPr>
          <w:p>
            <w:pPr>
              <w:ind w:left="6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48"/>
              <w:spacing w:after="0"/>
              <w:rPr>
                <w:sz w:val="20"/>
                <w:szCs w:val="20"/>
                <w:color w:val="auto"/>
              </w:rPr>
            </w:pPr>
            <w:r>
              <w:rPr>
                <w:rFonts w:ascii="Arial" w:cs="Arial" w:eastAsia="Arial" w:hAnsi="Arial"/>
                <w:sz w:val="14"/>
                <w:szCs w:val="14"/>
                <w:color w:val="auto"/>
                <w:w w:val="93"/>
              </w:rPr>
              <w:t>99,901</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6"/>
              </w:rPr>
              <w:t>9,300</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1"/>
              </w:rPr>
              <w:t>1,863</w:t>
            </w:r>
          </w:p>
        </w:tc>
        <w:tc>
          <w:tcPr>
            <w:tcW w:w="1040" w:type="dxa"/>
            <w:vAlign w:val="bottom"/>
            <w:vMerge w:val="restart"/>
          </w:tcPr>
          <w:p>
            <w:pPr>
              <w:jc w:val="center"/>
              <w:ind w:right="28"/>
              <w:spacing w:after="0"/>
              <w:rPr>
                <w:sz w:val="20"/>
                <w:szCs w:val="20"/>
                <w:color w:val="auto"/>
              </w:rPr>
            </w:pPr>
            <w:r>
              <w:rPr>
                <w:rFonts w:ascii="Arial" w:cs="Arial" w:eastAsia="Arial" w:hAnsi="Arial"/>
                <w:sz w:val="14"/>
                <w:szCs w:val="14"/>
                <w:color w:val="auto"/>
                <w:w w:val="90"/>
              </w:rPr>
              <w:t>111,064</w:t>
            </w:r>
          </w:p>
        </w:tc>
        <w:tc>
          <w:tcPr>
            <w:tcW w:w="0" w:type="dxa"/>
            <w:vAlign w:val="bottom"/>
          </w:tcPr>
          <w:p>
            <w:pPr>
              <w:spacing w:after="0"/>
              <w:rPr>
                <w:sz w:val="1"/>
                <w:szCs w:val="1"/>
                <w:color w:val="auto"/>
              </w:rPr>
            </w:pPr>
          </w:p>
        </w:tc>
      </w:tr>
      <w:tr>
        <w:trPr>
          <w:trHeight w:val="51"/>
        </w:trPr>
        <w:tc>
          <w:tcPr>
            <w:tcW w:w="24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368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680" w:type="dxa"/>
            <w:vAlign w:val="bottom"/>
            <w:gridSpan w:val="2"/>
          </w:tcPr>
          <w:p>
            <w:pPr>
              <w:ind w:left="20"/>
              <w:spacing w:after="0" w:line="169" w:lineRule="exact"/>
              <w:rPr>
                <w:sz w:val="20"/>
                <w:szCs w:val="20"/>
                <w:color w:val="auto"/>
              </w:rPr>
            </w:pPr>
            <w:r>
              <w:rPr>
                <w:rFonts w:ascii="Arial" w:cs="Arial" w:eastAsia="Arial" w:hAnsi="Arial"/>
                <w:sz w:val="11"/>
                <w:szCs w:val="11"/>
                <w:color w:val="auto"/>
              </w:rPr>
              <w:t>SpringHill Suites by Marriott</w:t>
            </w:r>
            <w:r>
              <w:rPr>
                <w:rFonts w:ascii="Arial" w:cs="Arial" w:eastAsia="Arial" w:hAnsi="Arial"/>
                <w:sz w:val="13"/>
                <w:szCs w:val="13"/>
                <w:color w:val="auto"/>
                <w:vertAlign w:val="superscript"/>
              </w:rPr>
              <w:t>®</w:t>
            </w:r>
            <w:r>
              <w:rPr>
                <w:rFonts w:ascii="Arial" w:cs="Arial" w:eastAsia="Arial" w:hAnsi="Arial"/>
                <w:sz w:val="11"/>
                <w:szCs w:val="11"/>
                <w:color w:val="auto"/>
              </w:rPr>
              <w:t xml:space="preserve"> (SpringHill </w:t>
            </w:r>
            <w:r>
              <w:rPr>
                <w:rFonts w:ascii="Arial" w:cs="Arial" w:eastAsia="Arial" w:hAnsi="Arial"/>
                <w:sz w:val="19"/>
                <w:szCs w:val="19"/>
                <w:color w:val="auto"/>
                <w:vertAlign w:val="superscript"/>
              </w:rPr>
              <w:t>Properties</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4"/>
              </w:rPr>
              <w:t>488</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28"/>
              <w:spacing w:after="0"/>
              <w:rPr>
                <w:sz w:val="20"/>
                <w:szCs w:val="20"/>
                <w:color w:val="auto"/>
              </w:rPr>
            </w:pPr>
            <w:r>
              <w:rPr>
                <w:rFonts w:ascii="Arial" w:cs="Arial" w:eastAsia="Arial" w:hAnsi="Arial"/>
                <w:sz w:val="14"/>
                <w:szCs w:val="14"/>
                <w:color w:val="auto"/>
                <w:w w:val="94"/>
              </w:rPr>
              <w:t>488</w:t>
            </w:r>
          </w:p>
        </w:tc>
        <w:tc>
          <w:tcPr>
            <w:tcW w:w="0" w:type="dxa"/>
            <w:vAlign w:val="bottom"/>
          </w:tcPr>
          <w:p>
            <w:pPr>
              <w:spacing w:after="0"/>
              <w:rPr>
                <w:sz w:val="1"/>
                <w:szCs w:val="1"/>
                <w:color w:val="auto"/>
              </w:rPr>
            </w:pPr>
          </w:p>
        </w:tc>
      </w:tr>
      <w:tr>
        <w:trPr>
          <w:trHeight w:val="243"/>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Suites</w:t>
            </w:r>
            <w:r>
              <w:rPr>
                <w:rFonts w:ascii="Arial" w:cs="Arial" w:eastAsia="Arial" w:hAnsi="Arial"/>
                <w:sz w:val="18"/>
                <w:szCs w:val="18"/>
                <w:color w:val="auto"/>
                <w:vertAlign w:val="superscript"/>
              </w:rPr>
              <w:t>®</w:t>
            </w:r>
            <w:r>
              <w:rPr>
                <w:rFonts w:ascii="Arial" w:cs="Arial" w:eastAsia="Arial" w:hAnsi="Arial"/>
                <w:sz w:val="14"/>
                <w:szCs w:val="14"/>
                <w:color w:val="auto"/>
              </w:rPr>
              <w:t>)</w:t>
            </w:r>
          </w:p>
        </w:tc>
        <w:tc>
          <w:tcPr>
            <w:tcW w:w="12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Rooms</w:t>
            </w:r>
          </w:p>
        </w:tc>
        <w:tc>
          <w:tcPr>
            <w:tcW w:w="144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3"/>
              </w:rPr>
              <w:t>57,590</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3"/>
              </w:rPr>
              <w:t>57,590</w:t>
            </w:r>
          </w:p>
        </w:tc>
        <w:tc>
          <w:tcPr>
            <w:tcW w:w="0" w:type="dxa"/>
            <w:vAlign w:val="bottom"/>
          </w:tcPr>
          <w:p>
            <w:pPr>
              <w:spacing w:after="0"/>
              <w:rPr>
                <w:sz w:val="1"/>
                <w:szCs w:val="1"/>
                <w:color w:val="auto"/>
              </w:rPr>
            </w:pPr>
          </w:p>
        </w:tc>
      </w:tr>
      <w:tr>
        <w:trPr>
          <w:trHeight w:val="176"/>
        </w:trPr>
        <w:tc>
          <w:tcPr>
            <w:tcW w:w="2480" w:type="dxa"/>
            <w:vAlign w:val="bottom"/>
            <w:vMerge w:val="restart"/>
          </w:tcPr>
          <w:p>
            <w:pPr>
              <w:ind w:left="20"/>
              <w:spacing w:after="0"/>
              <w:rPr>
                <w:sz w:val="20"/>
                <w:szCs w:val="20"/>
                <w:color w:val="auto"/>
              </w:rPr>
            </w:pPr>
            <w:r>
              <w:rPr>
                <w:rFonts w:ascii="Arial" w:cs="Arial" w:eastAsia="Arial" w:hAnsi="Arial"/>
                <w:sz w:val="14"/>
                <w:szCs w:val="14"/>
                <w:color w:val="auto"/>
                <w:w w:val="96"/>
              </w:rPr>
              <w:t>Four Points</w:t>
            </w:r>
            <w:r>
              <w:rPr>
                <w:rFonts w:ascii="Arial" w:cs="Arial" w:eastAsia="Arial" w:hAnsi="Arial"/>
                <w:sz w:val="18"/>
                <w:szCs w:val="18"/>
                <w:color w:val="auto"/>
                <w:w w:val="96"/>
                <w:vertAlign w:val="superscript"/>
              </w:rPr>
              <w:t>®</w:t>
            </w:r>
            <w:r>
              <w:rPr>
                <w:rFonts w:ascii="Arial" w:cs="Arial" w:eastAsia="Arial" w:hAnsi="Arial"/>
                <w:sz w:val="14"/>
                <w:szCs w:val="14"/>
                <w:color w:val="auto"/>
                <w:w w:val="96"/>
              </w:rPr>
              <w:t xml:space="preserve"> by Sheraton (Four Points</w:t>
            </w:r>
            <w:r>
              <w:rPr>
                <w:rFonts w:ascii="Arial" w:cs="Arial" w:eastAsia="Arial" w:hAnsi="Arial"/>
                <w:sz w:val="18"/>
                <w:szCs w:val="18"/>
                <w:color w:val="auto"/>
                <w:w w:val="96"/>
                <w:vertAlign w:val="superscript"/>
              </w:rPr>
              <w:t>®</w:t>
            </w:r>
            <w:r>
              <w:rPr>
                <w:rFonts w:ascii="Arial" w:cs="Arial" w:eastAsia="Arial" w:hAnsi="Arial"/>
                <w:sz w:val="14"/>
                <w:szCs w:val="14"/>
                <w:color w:val="auto"/>
                <w:w w:val="96"/>
              </w:rPr>
              <w:t>)</w:t>
            </w:r>
          </w:p>
        </w:tc>
        <w:tc>
          <w:tcPr>
            <w:tcW w:w="1200" w:type="dxa"/>
            <w:vAlign w:val="bottom"/>
          </w:tcPr>
          <w:p>
            <w:pPr>
              <w:ind w:left="6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4"/>
              </w:rPr>
              <w:t>158</w:t>
            </w: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19</w:t>
            </w:r>
          </w:p>
        </w:tc>
        <w:tc>
          <w:tcPr>
            <w:tcW w:w="1280" w:type="dxa"/>
            <w:vAlign w:val="bottom"/>
          </w:tcPr>
          <w:p>
            <w:pPr>
              <w:jc w:val="center"/>
              <w:spacing w:after="0"/>
              <w:rPr>
                <w:sz w:val="20"/>
                <w:szCs w:val="20"/>
                <w:color w:val="auto"/>
              </w:rPr>
            </w:pPr>
            <w:r>
              <w:rPr>
                <w:rFonts w:ascii="Arial" w:cs="Arial" w:eastAsia="Arial" w:hAnsi="Arial"/>
                <w:sz w:val="14"/>
                <w:szCs w:val="14"/>
                <w:color w:val="auto"/>
                <w:w w:val="89"/>
              </w:rPr>
              <w:t>16</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83</w:t>
            </w:r>
          </w:p>
        </w:tc>
        <w:tc>
          <w:tcPr>
            <w:tcW w:w="1280" w:type="dxa"/>
            <w:vAlign w:val="bottom"/>
          </w:tcPr>
          <w:p>
            <w:pPr>
              <w:jc w:val="center"/>
              <w:spacing w:after="0"/>
              <w:rPr>
                <w:sz w:val="20"/>
                <w:szCs w:val="20"/>
                <w:color w:val="auto"/>
              </w:rPr>
            </w:pPr>
            <w:r>
              <w:rPr>
                <w:rFonts w:ascii="Arial" w:cs="Arial" w:eastAsia="Arial" w:hAnsi="Arial"/>
                <w:sz w:val="14"/>
                <w:szCs w:val="14"/>
                <w:color w:val="auto"/>
                <w:w w:val="89"/>
              </w:rPr>
              <w:t>19</w:t>
            </w:r>
          </w:p>
        </w:tc>
        <w:tc>
          <w:tcPr>
            <w:tcW w:w="1040" w:type="dxa"/>
            <w:vAlign w:val="bottom"/>
          </w:tcPr>
          <w:p>
            <w:pPr>
              <w:jc w:val="center"/>
              <w:ind w:right="28"/>
              <w:spacing w:after="0"/>
              <w:rPr>
                <w:sz w:val="20"/>
                <w:szCs w:val="20"/>
                <w:color w:val="auto"/>
              </w:rPr>
            </w:pPr>
            <w:r>
              <w:rPr>
                <w:rFonts w:ascii="Arial" w:cs="Arial" w:eastAsia="Arial" w:hAnsi="Arial"/>
                <w:sz w:val="14"/>
                <w:szCs w:val="14"/>
                <w:color w:val="auto"/>
                <w:w w:val="94"/>
              </w:rPr>
              <w:t>295</w:t>
            </w:r>
          </w:p>
        </w:tc>
        <w:tc>
          <w:tcPr>
            <w:tcW w:w="0" w:type="dxa"/>
            <w:vAlign w:val="bottom"/>
          </w:tcPr>
          <w:p>
            <w:pPr>
              <w:spacing w:after="0"/>
              <w:rPr>
                <w:sz w:val="1"/>
                <w:szCs w:val="1"/>
                <w:color w:val="auto"/>
              </w:rPr>
            </w:pPr>
          </w:p>
        </w:tc>
      </w:tr>
      <w:tr>
        <w:trPr>
          <w:trHeight w:val="160"/>
        </w:trPr>
        <w:tc>
          <w:tcPr>
            <w:tcW w:w="2480" w:type="dxa"/>
            <w:vAlign w:val="bottom"/>
            <w:vMerge w:val="continue"/>
          </w:tcPr>
          <w:p>
            <w:pPr>
              <w:spacing w:after="0"/>
              <w:rPr>
                <w:sz w:val="13"/>
                <w:szCs w:val="13"/>
                <w:color w:val="auto"/>
              </w:rPr>
            </w:pPr>
          </w:p>
        </w:tc>
        <w:tc>
          <w:tcPr>
            <w:tcW w:w="1200" w:type="dxa"/>
            <w:vAlign w:val="bottom"/>
            <w:vMerge w:val="restart"/>
          </w:tcPr>
          <w:p>
            <w:pPr>
              <w:ind w:left="6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48"/>
              <w:spacing w:after="0"/>
              <w:rPr>
                <w:sz w:val="20"/>
                <w:szCs w:val="20"/>
                <w:color w:val="auto"/>
              </w:rPr>
            </w:pPr>
            <w:r>
              <w:rPr>
                <w:rFonts w:ascii="Arial" w:cs="Arial" w:eastAsia="Arial" w:hAnsi="Arial"/>
                <w:sz w:val="14"/>
                <w:szCs w:val="14"/>
                <w:color w:val="auto"/>
                <w:w w:val="93"/>
              </w:rPr>
              <w:t>23,836</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1"/>
              </w:rPr>
              <w:t>2,913</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6"/>
              </w:rPr>
              <w:t>4,058</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8"/>
              </w:rPr>
              <w:t>21,636</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1"/>
              </w:rPr>
              <w:t>2,500</w:t>
            </w:r>
          </w:p>
        </w:tc>
        <w:tc>
          <w:tcPr>
            <w:tcW w:w="1040" w:type="dxa"/>
            <w:vAlign w:val="bottom"/>
            <w:vMerge w:val="restart"/>
          </w:tcPr>
          <w:p>
            <w:pPr>
              <w:jc w:val="center"/>
              <w:ind w:right="48"/>
              <w:spacing w:after="0"/>
              <w:rPr>
                <w:sz w:val="20"/>
                <w:szCs w:val="20"/>
                <w:color w:val="auto"/>
              </w:rPr>
            </w:pPr>
            <w:r>
              <w:rPr>
                <w:rFonts w:ascii="Arial" w:cs="Arial" w:eastAsia="Arial" w:hAnsi="Arial"/>
                <w:sz w:val="14"/>
                <w:szCs w:val="14"/>
                <w:color w:val="auto"/>
                <w:w w:val="93"/>
              </w:rPr>
              <w:t>54,943</w:t>
            </w:r>
          </w:p>
        </w:tc>
        <w:tc>
          <w:tcPr>
            <w:tcW w:w="0" w:type="dxa"/>
            <w:vAlign w:val="bottom"/>
          </w:tcPr>
          <w:p>
            <w:pPr>
              <w:spacing w:after="0"/>
              <w:rPr>
                <w:sz w:val="1"/>
                <w:szCs w:val="1"/>
                <w:color w:val="auto"/>
              </w:rPr>
            </w:pPr>
          </w:p>
        </w:tc>
      </w:tr>
      <w:tr>
        <w:trPr>
          <w:trHeight w:val="51"/>
        </w:trPr>
        <w:tc>
          <w:tcPr>
            <w:tcW w:w="24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480" w:type="dxa"/>
            <w:vAlign w:val="bottom"/>
          </w:tcPr>
          <w:p>
            <w:pPr>
              <w:ind w:left="20"/>
              <w:spacing w:after="0" w:line="169" w:lineRule="exact"/>
              <w:rPr>
                <w:sz w:val="20"/>
                <w:szCs w:val="20"/>
                <w:color w:val="auto"/>
              </w:rPr>
            </w:pPr>
            <w:r>
              <w:rPr>
                <w:rFonts w:ascii="Arial" w:cs="Arial" w:eastAsia="Arial" w:hAnsi="Arial"/>
                <w:sz w:val="14"/>
                <w:szCs w:val="14"/>
                <w:color w:val="auto"/>
              </w:rPr>
              <w:t>TownePlace Suites by Marriott</w:t>
            </w:r>
            <w:r>
              <w:rPr>
                <w:rFonts w:ascii="Arial" w:cs="Arial" w:eastAsia="Arial" w:hAnsi="Arial"/>
                <w:sz w:val="18"/>
                <w:szCs w:val="18"/>
                <w:color w:val="auto"/>
                <w:vertAlign w:val="superscript"/>
              </w:rPr>
              <w:t>®</w:t>
            </w:r>
          </w:p>
        </w:tc>
        <w:tc>
          <w:tcPr>
            <w:tcW w:w="1200" w:type="dxa"/>
            <w:vAlign w:val="bottom"/>
          </w:tcPr>
          <w:p>
            <w:pPr>
              <w:ind w:left="6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4"/>
              </w:rPr>
              <w:t>446</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28"/>
              <w:spacing w:after="0"/>
              <w:rPr>
                <w:sz w:val="20"/>
                <w:szCs w:val="20"/>
                <w:color w:val="auto"/>
              </w:rPr>
            </w:pPr>
            <w:r>
              <w:rPr>
                <w:rFonts w:ascii="Arial" w:cs="Arial" w:eastAsia="Arial" w:hAnsi="Arial"/>
                <w:sz w:val="14"/>
                <w:szCs w:val="14"/>
                <w:color w:val="auto"/>
                <w:w w:val="94"/>
              </w:rPr>
              <w:t>446</w:t>
            </w:r>
          </w:p>
        </w:tc>
        <w:tc>
          <w:tcPr>
            <w:tcW w:w="0" w:type="dxa"/>
            <w:vAlign w:val="bottom"/>
          </w:tcPr>
          <w:p>
            <w:pPr>
              <w:spacing w:after="0"/>
              <w:rPr>
                <w:sz w:val="1"/>
                <w:szCs w:val="1"/>
                <w:color w:val="auto"/>
              </w:rPr>
            </w:pPr>
          </w:p>
        </w:tc>
      </w:tr>
      <w:tr>
        <w:trPr>
          <w:trHeight w:val="243"/>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(TownePlace Suites</w:t>
            </w:r>
            <w:r>
              <w:rPr>
                <w:rFonts w:ascii="Arial" w:cs="Arial" w:eastAsia="Arial" w:hAnsi="Arial"/>
                <w:sz w:val="18"/>
                <w:szCs w:val="18"/>
                <w:color w:val="auto"/>
                <w:vertAlign w:val="superscript"/>
              </w:rPr>
              <w:t>®</w:t>
            </w:r>
            <w:r>
              <w:rPr>
                <w:rFonts w:ascii="Arial" w:cs="Arial" w:eastAsia="Arial" w:hAnsi="Arial"/>
                <w:sz w:val="14"/>
                <w:szCs w:val="14"/>
                <w:color w:val="auto"/>
              </w:rPr>
              <w:t>)</w:t>
            </w:r>
          </w:p>
        </w:tc>
        <w:tc>
          <w:tcPr>
            <w:tcW w:w="12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Rooms</w:t>
            </w:r>
          </w:p>
        </w:tc>
        <w:tc>
          <w:tcPr>
            <w:tcW w:w="144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3"/>
              </w:rPr>
              <w:t>45,320</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3"/>
              </w:rPr>
              <w:t>45,320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680"/>
          </w:cols>
          <w:pgMar w:left="320" w:top="125" w:right="89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125" w:right="89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80" w:type="dxa"/>
            <w:vAlign w:val="bottom"/>
          </w:tcPr>
          <w:p>
            <w:pPr>
              <w:ind w:left="560"/>
              <w:spacing w:after="0"/>
              <w:rPr>
                <w:sz w:val="20"/>
                <w:szCs w:val="20"/>
                <w:color w:val="auto"/>
              </w:rPr>
            </w:pPr>
            <w:r>
              <w:rPr>
                <w:rFonts w:ascii="Arial" w:cs="Arial" w:eastAsia="Arial" w:hAnsi="Arial"/>
                <w:sz w:val="14"/>
                <w:szCs w:val="14"/>
                <w:b w:val="1"/>
                <w:bCs w:val="1"/>
                <w:color w:val="auto"/>
              </w:rPr>
              <w:t>U.S. &amp;</w:t>
            </w:r>
          </w:p>
        </w:tc>
        <w:tc>
          <w:tcPr>
            <w:tcW w:w="9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Europe</w:t>
            </w:r>
          </w:p>
        </w:tc>
        <w:tc>
          <w:tcPr>
            <w:tcW w:w="1260" w:type="dxa"/>
            <w:vAlign w:val="bottom"/>
          </w:tcPr>
          <w:p>
            <w:pPr>
              <w:jc w:val="center"/>
              <w:ind w:left="8"/>
              <w:spacing w:after="0"/>
              <w:rPr>
                <w:sz w:val="20"/>
                <w:szCs w:val="20"/>
                <w:color w:val="auto"/>
              </w:rPr>
            </w:pPr>
            <w:r>
              <w:rPr>
                <w:rFonts w:ascii="Arial" w:cs="Arial" w:eastAsia="Arial" w:hAnsi="Arial"/>
                <w:sz w:val="14"/>
                <w:szCs w:val="14"/>
                <w:b w:val="1"/>
                <w:bCs w:val="1"/>
                <w:color w:val="auto"/>
                <w:w w:val="97"/>
              </w:rPr>
              <w:t>Middle East &amp;</w:t>
            </w:r>
          </w:p>
        </w:tc>
        <w:tc>
          <w:tcPr>
            <w:tcW w:w="9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Asia Pacific</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9"/>
              </w:rPr>
              <w:t>Caribbean &amp;</w:t>
            </w:r>
          </w:p>
        </w:tc>
        <w:tc>
          <w:tcPr>
            <w:tcW w:w="10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Canada</w:t>
            </w:r>
          </w:p>
        </w:tc>
        <w:tc>
          <w:tcPr>
            <w:tcW w:w="90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Africa</w:t>
            </w:r>
          </w:p>
        </w:tc>
        <w:tc>
          <w:tcPr>
            <w:tcW w:w="98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Latin America</w:t>
            </w: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Aloft</w:t>
            </w:r>
            <w:r>
              <w:rPr>
                <w:rFonts w:ascii="Arial" w:cs="Arial" w:eastAsia="Arial" w:hAnsi="Arial"/>
                <w:sz w:val="18"/>
                <w:szCs w:val="18"/>
                <w:color w:val="auto"/>
                <w:vertAlign w:val="superscript"/>
              </w:rPr>
              <w:t>®</w:t>
            </w:r>
            <w:r>
              <w:rPr>
                <w:rFonts w:ascii="Arial" w:cs="Arial" w:eastAsia="Arial" w:hAnsi="Arial"/>
                <w:sz w:val="14"/>
                <w:szCs w:val="14"/>
                <w:color w:val="auto"/>
              </w:rPr>
              <w:t xml:space="preserve"> Hotels</w:t>
            </w:r>
          </w:p>
        </w:tc>
        <w:tc>
          <w:tcPr>
            <w:tcW w:w="1540" w:type="dxa"/>
            <w:vAlign w:val="bottom"/>
          </w:tcPr>
          <w:p>
            <w:pPr>
              <w:ind w:left="220"/>
              <w:spacing w:after="0"/>
              <w:rPr>
                <w:sz w:val="20"/>
                <w:szCs w:val="20"/>
                <w:color w:val="auto"/>
              </w:rPr>
            </w:pPr>
            <w:r>
              <w:rPr>
                <w:rFonts w:ascii="Arial" w:cs="Arial" w:eastAsia="Arial" w:hAnsi="Arial"/>
                <w:sz w:val="14"/>
                <w:szCs w:val="14"/>
                <w:color w:val="auto"/>
              </w:rPr>
              <w:t>Properties</w:t>
            </w:r>
          </w:p>
        </w:tc>
        <w:tc>
          <w:tcPr>
            <w:tcW w:w="1180" w:type="dxa"/>
            <w:vAlign w:val="bottom"/>
          </w:tcPr>
          <w:p>
            <w:pPr>
              <w:jc w:val="center"/>
              <w:ind w:right="8"/>
              <w:spacing w:after="0"/>
              <w:rPr>
                <w:sz w:val="20"/>
                <w:szCs w:val="20"/>
                <w:color w:val="auto"/>
              </w:rPr>
            </w:pPr>
            <w:r>
              <w:rPr>
                <w:rFonts w:ascii="Arial" w:cs="Arial" w:eastAsia="Arial" w:hAnsi="Arial"/>
                <w:sz w:val="14"/>
                <w:szCs w:val="14"/>
                <w:color w:val="auto"/>
                <w:w w:val="94"/>
              </w:rPr>
              <w:t>134</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10</w:t>
            </w:r>
          </w:p>
        </w:tc>
        <w:tc>
          <w:tcPr>
            <w:tcW w:w="1260" w:type="dxa"/>
            <w:vAlign w:val="bottom"/>
          </w:tcPr>
          <w:p>
            <w:pPr>
              <w:jc w:val="center"/>
              <w:spacing w:after="0"/>
              <w:rPr>
                <w:sz w:val="20"/>
                <w:szCs w:val="20"/>
                <w:color w:val="auto"/>
              </w:rPr>
            </w:pPr>
            <w:r>
              <w:rPr>
                <w:rFonts w:ascii="Arial" w:cs="Arial" w:eastAsia="Arial" w:hAnsi="Arial"/>
                <w:sz w:val="14"/>
                <w:szCs w:val="14"/>
                <w:color w:val="auto"/>
              </w:rPr>
              <w:t>8</w:t>
            </w:r>
          </w:p>
        </w:tc>
        <w:tc>
          <w:tcPr>
            <w:tcW w:w="980" w:type="dxa"/>
            <w:vAlign w:val="bottom"/>
          </w:tcPr>
          <w:p>
            <w:pPr>
              <w:jc w:val="center"/>
              <w:spacing w:after="0"/>
              <w:rPr>
                <w:sz w:val="20"/>
                <w:szCs w:val="20"/>
                <w:color w:val="auto"/>
              </w:rPr>
            </w:pPr>
            <w:r>
              <w:rPr>
                <w:rFonts w:ascii="Arial" w:cs="Arial" w:eastAsia="Arial" w:hAnsi="Arial"/>
                <w:sz w:val="14"/>
                <w:szCs w:val="14"/>
                <w:color w:val="auto"/>
                <w:w w:val="89"/>
              </w:rPr>
              <w:t>30</w:t>
            </w:r>
          </w:p>
        </w:tc>
        <w:tc>
          <w:tcPr>
            <w:tcW w:w="1220" w:type="dxa"/>
            <w:vAlign w:val="bottom"/>
          </w:tcPr>
          <w:p>
            <w:pPr>
              <w:jc w:val="center"/>
              <w:spacing w:after="0"/>
              <w:rPr>
                <w:sz w:val="20"/>
                <w:szCs w:val="20"/>
                <w:color w:val="auto"/>
              </w:rPr>
            </w:pPr>
            <w:r>
              <w:rPr>
                <w:rFonts w:ascii="Arial" w:cs="Arial" w:eastAsia="Arial" w:hAnsi="Arial"/>
                <w:sz w:val="14"/>
                <w:szCs w:val="14"/>
                <w:color w:val="auto"/>
                <w:w w:val="89"/>
              </w:rPr>
              <w:t>10</w:t>
            </w:r>
          </w:p>
        </w:tc>
        <w:tc>
          <w:tcPr>
            <w:tcW w:w="1040" w:type="dxa"/>
            <w:vAlign w:val="bottom"/>
          </w:tcPr>
          <w:p>
            <w:pPr>
              <w:jc w:val="center"/>
              <w:spacing w:after="0"/>
              <w:rPr>
                <w:sz w:val="20"/>
                <w:szCs w:val="20"/>
                <w:color w:val="auto"/>
              </w:rPr>
            </w:pPr>
            <w:r>
              <w:rPr>
                <w:rFonts w:ascii="Arial" w:cs="Arial" w:eastAsia="Arial" w:hAnsi="Arial"/>
                <w:sz w:val="14"/>
                <w:szCs w:val="14"/>
                <w:color w:val="auto"/>
                <w:w w:val="94"/>
              </w:rPr>
              <w:t>192</w:t>
            </w:r>
          </w:p>
        </w:tc>
        <w:tc>
          <w:tcPr>
            <w:tcW w:w="0" w:type="dxa"/>
            <w:vAlign w:val="bottom"/>
          </w:tcPr>
          <w:p>
            <w:pPr>
              <w:spacing w:after="0"/>
              <w:rPr>
                <w:sz w:val="1"/>
                <w:szCs w:val="1"/>
                <w:color w:val="auto"/>
              </w:rPr>
            </w:pPr>
          </w:p>
        </w:tc>
      </w:tr>
      <w:tr>
        <w:trPr>
          <w:trHeight w:val="192"/>
        </w:trPr>
        <w:tc>
          <w:tcPr>
            <w:tcW w:w="2240" w:type="dxa"/>
            <w:vAlign w:val="bottom"/>
            <w:vMerge w:val="continue"/>
          </w:tcPr>
          <w:p>
            <w:pPr>
              <w:spacing w:after="0"/>
              <w:rPr>
                <w:sz w:val="16"/>
                <w:szCs w:val="16"/>
                <w:color w:val="auto"/>
              </w:rPr>
            </w:pPr>
          </w:p>
        </w:tc>
        <w:tc>
          <w:tcPr>
            <w:tcW w:w="1540" w:type="dxa"/>
            <w:vAlign w:val="bottom"/>
            <w:vMerge w:val="restart"/>
          </w:tcPr>
          <w:p>
            <w:pPr>
              <w:ind w:left="220"/>
              <w:spacing w:after="0"/>
              <w:rPr>
                <w:sz w:val="20"/>
                <w:szCs w:val="20"/>
                <w:color w:val="auto"/>
              </w:rPr>
            </w:pPr>
            <w:r>
              <w:rPr>
                <w:rFonts w:ascii="Arial" w:cs="Arial" w:eastAsia="Arial" w:hAnsi="Arial"/>
                <w:sz w:val="14"/>
                <w:szCs w:val="14"/>
                <w:color w:val="auto"/>
              </w:rPr>
              <w:t>Rooms</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3"/>
              </w:rPr>
              <w:t>19,619</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6"/>
              </w:rPr>
              <w:t>1,614</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w w:val="91"/>
              </w:rPr>
              <w:t>2,006</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6"/>
              </w:rPr>
              <w:t>6,732</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1"/>
              </w:rPr>
              <w:t>1,679</w:t>
            </w:r>
          </w:p>
        </w:tc>
        <w:tc>
          <w:tcPr>
            <w:tcW w:w="1040" w:type="dxa"/>
            <w:vAlign w:val="bottom"/>
            <w:vMerge w:val="restart"/>
          </w:tcPr>
          <w:p>
            <w:pPr>
              <w:jc w:val="center"/>
              <w:ind w:right="8"/>
              <w:spacing w:after="0"/>
              <w:rPr>
                <w:sz w:val="20"/>
                <w:szCs w:val="20"/>
                <w:color w:val="auto"/>
              </w:rPr>
            </w:pPr>
            <w:r>
              <w:rPr>
                <w:rFonts w:ascii="Arial" w:cs="Arial" w:eastAsia="Arial" w:hAnsi="Arial"/>
                <w:sz w:val="14"/>
                <w:szCs w:val="14"/>
                <w:color w:val="auto"/>
                <w:w w:val="93"/>
              </w:rPr>
              <w:t>31,650</w:t>
            </w:r>
          </w:p>
        </w:tc>
        <w:tc>
          <w:tcPr>
            <w:tcW w:w="0" w:type="dxa"/>
            <w:vAlign w:val="bottom"/>
          </w:tcPr>
          <w:p>
            <w:pPr>
              <w:spacing w:after="0"/>
              <w:rPr>
                <w:sz w:val="1"/>
                <w:szCs w:val="1"/>
                <w:color w:val="auto"/>
              </w:rPr>
            </w:pPr>
          </w:p>
        </w:tc>
      </w:tr>
      <w:tr>
        <w:trPr>
          <w:trHeight w:val="78"/>
        </w:trPr>
        <w:tc>
          <w:tcPr>
            <w:tcW w:w="224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24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AC Hotels by Marriott</w:t>
            </w:r>
            <w:r>
              <w:rPr>
                <w:rFonts w:ascii="Arial" w:cs="Arial" w:eastAsia="Arial" w:hAnsi="Arial"/>
                <w:sz w:val="18"/>
                <w:szCs w:val="18"/>
                <w:color w:val="auto"/>
                <w:vertAlign w:val="superscript"/>
              </w:rPr>
              <w:t>®</w:t>
            </w:r>
          </w:p>
        </w:tc>
        <w:tc>
          <w:tcPr>
            <w:tcW w:w="1540" w:type="dxa"/>
            <w:vAlign w:val="bottom"/>
          </w:tcPr>
          <w:p>
            <w:pPr>
              <w:ind w:left="220"/>
              <w:spacing w:after="0"/>
              <w:rPr>
                <w:sz w:val="20"/>
                <w:szCs w:val="20"/>
                <w:color w:val="auto"/>
              </w:rPr>
            </w:pPr>
            <w:r>
              <w:rPr>
                <w:rFonts w:ascii="Arial" w:cs="Arial" w:eastAsia="Arial" w:hAnsi="Arial"/>
                <w:sz w:val="14"/>
                <w:szCs w:val="14"/>
                <w:color w:val="auto"/>
              </w:rPr>
              <w:t>Properties</w:t>
            </w:r>
          </w:p>
        </w:tc>
        <w:tc>
          <w:tcPr>
            <w:tcW w:w="1180" w:type="dxa"/>
            <w:vAlign w:val="bottom"/>
          </w:tcPr>
          <w:p>
            <w:pPr>
              <w:jc w:val="center"/>
              <w:ind w:right="8"/>
              <w:spacing w:after="0"/>
              <w:rPr>
                <w:sz w:val="20"/>
                <w:szCs w:val="20"/>
                <w:color w:val="auto"/>
              </w:rPr>
            </w:pPr>
            <w:r>
              <w:rPr>
                <w:rFonts w:ascii="Arial" w:cs="Arial" w:eastAsia="Arial" w:hAnsi="Arial"/>
                <w:sz w:val="14"/>
                <w:szCs w:val="14"/>
                <w:color w:val="auto"/>
                <w:w w:val="89"/>
              </w:rPr>
              <w:t>73</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84</w:t>
            </w:r>
          </w:p>
        </w:tc>
        <w:tc>
          <w:tcPr>
            <w:tcW w:w="1260" w:type="dxa"/>
            <w:vAlign w:val="bottom"/>
          </w:tcPr>
          <w:p>
            <w:pPr>
              <w:jc w:val="center"/>
              <w:spacing w:after="0"/>
              <w:rPr>
                <w:sz w:val="20"/>
                <w:szCs w:val="20"/>
                <w:color w:val="auto"/>
              </w:rPr>
            </w:pPr>
            <w:r>
              <w:rPr>
                <w:rFonts w:ascii="Arial" w:cs="Arial" w:eastAsia="Arial" w:hAnsi="Arial"/>
                <w:sz w:val="14"/>
                <w:szCs w:val="14"/>
                <w:color w:val="auto"/>
              </w:rPr>
              <w:t>1</w:t>
            </w:r>
          </w:p>
        </w:tc>
        <w:tc>
          <w:tcPr>
            <w:tcW w:w="980" w:type="dxa"/>
            <w:vAlign w:val="bottom"/>
          </w:tcPr>
          <w:p>
            <w:pPr>
              <w:jc w:val="center"/>
              <w:spacing w:after="0"/>
              <w:rPr>
                <w:sz w:val="20"/>
                <w:szCs w:val="20"/>
                <w:color w:val="auto"/>
              </w:rPr>
            </w:pPr>
            <w:r>
              <w:rPr>
                <w:rFonts w:ascii="Arial" w:cs="Arial" w:eastAsia="Arial" w:hAnsi="Arial"/>
                <w:sz w:val="14"/>
                <w:szCs w:val="14"/>
                <w:color w:val="auto"/>
                <w:w w:val="76"/>
              </w:rPr>
              <w:t>4</w:t>
            </w:r>
          </w:p>
        </w:tc>
        <w:tc>
          <w:tcPr>
            <w:tcW w:w="1220" w:type="dxa"/>
            <w:vAlign w:val="bottom"/>
          </w:tcPr>
          <w:p>
            <w:pPr>
              <w:jc w:val="center"/>
              <w:spacing w:after="0"/>
              <w:rPr>
                <w:sz w:val="20"/>
                <w:szCs w:val="20"/>
                <w:color w:val="auto"/>
              </w:rPr>
            </w:pPr>
            <w:r>
              <w:rPr>
                <w:rFonts w:ascii="Arial" w:cs="Arial" w:eastAsia="Arial" w:hAnsi="Arial"/>
                <w:sz w:val="14"/>
                <w:szCs w:val="14"/>
                <w:color w:val="auto"/>
                <w:w w:val="89"/>
              </w:rPr>
              <w:t>14</w:t>
            </w:r>
          </w:p>
        </w:tc>
        <w:tc>
          <w:tcPr>
            <w:tcW w:w="1040" w:type="dxa"/>
            <w:vAlign w:val="bottom"/>
          </w:tcPr>
          <w:p>
            <w:pPr>
              <w:jc w:val="center"/>
              <w:spacing w:after="0"/>
              <w:rPr>
                <w:sz w:val="20"/>
                <w:szCs w:val="20"/>
                <w:color w:val="auto"/>
              </w:rPr>
            </w:pPr>
            <w:r>
              <w:rPr>
                <w:rFonts w:ascii="Arial" w:cs="Arial" w:eastAsia="Arial" w:hAnsi="Arial"/>
                <w:sz w:val="14"/>
                <w:szCs w:val="14"/>
                <w:color w:val="auto"/>
                <w:w w:val="94"/>
              </w:rPr>
              <w:t>176</w:t>
            </w:r>
          </w:p>
        </w:tc>
        <w:tc>
          <w:tcPr>
            <w:tcW w:w="0" w:type="dxa"/>
            <w:vAlign w:val="bottom"/>
          </w:tcPr>
          <w:p>
            <w:pPr>
              <w:spacing w:after="0"/>
              <w:rPr>
                <w:sz w:val="1"/>
                <w:szCs w:val="1"/>
                <w:color w:val="auto"/>
              </w:rPr>
            </w:pPr>
          </w:p>
        </w:tc>
      </w:tr>
      <w:tr>
        <w:trPr>
          <w:trHeight w:val="192"/>
        </w:trPr>
        <w:tc>
          <w:tcPr>
            <w:tcW w:w="2240" w:type="dxa"/>
            <w:vAlign w:val="bottom"/>
            <w:vMerge w:val="continue"/>
          </w:tcPr>
          <w:p>
            <w:pPr>
              <w:spacing w:after="0"/>
              <w:rPr>
                <w:sz w:val="16"/>
                <w:szCs w:val="16"/>
                <w:color w:val="auto"/>
              </w:rPr>
            </w:pPr>
          </w:p>
        </w:tc>
        <w:tc>
          <w:tcPr>
            <w:tcW w:w="1540" w:type="dxa"/>
            <w:vAlign w:val="bottom"/>
            <w:vMerge w:val="restart"/>
          </w:tcPr>
          <w:p>
            <w:pPr>
              <w:ind w:left="220"/>
              <w:spacing w:after="0"/>
              <w:rPr>
                <w:sz w:val="20"/>
                <w:szCs w:val="20"/>
                <w:color w:val="auto"/>
              </w:rPr>
            </w:pPr>
            <w:r>
              <w:rPr>
                <w:rFonts w:ascii="Arial" w:cs="Arial" w:eastAsia="Arial" w:hAnsi="Arial"/>
                <w:sz w:val="14"/>
                <w:szCs w:val="14"/>
                <w:color w:val="auto"/>
              </w:rPr>
              <w:t>Rooms</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3"/>
              </w:rPr>
              <w:t>12,337</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88"/>
              </w:rPr>
              <w:t>10,854</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w w:val="85"/>
              </w:rPr>
              <w:t>188</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6"/>
              </w:rPr>
              <w:t>1,296</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1"/>
              </w:rPr>
              <w:t>2,254</w:t>
            </w:r>
          </w:p>
        </w:tc>
        <w:tc>
          <w:tcPr>
            <w:tcW w:w="1040" w:type="dxa"/>
            <w:vAlign w:val="bottom"/>
            <w:vMerge w:val="restart"/>
          </w:tcPr>
          <w:p>
            <w:pPr>
              <w:jc w:val="center"/>
              <w:ind w:right="8"/>
              <w:spacing w:after="0"/>
              <w:rPr>
                <w:sz w:val="20"/>
                <w:szCs w:val="20"/>
                <w:color w:val="auto"/>
              </w:rPr>
            </w:pPr>
            <w:r>
              <w:rPr>
                <w:rFonts w:ascii="Arial" w:cs="Arial" w:eastAsia="Arial" w:hAnsi="Arial"/>
                <w:sz w:val="14"/>
                <w:szCs w:val="14"/>
                <w:color w:val="auto"/>
                <w:w w:val="93"/>
              </w:rPr>
              <w:t>26,929</w:t>
            </w:r>
          </w:p>
        </w:tc>
        <w:tc>
          <w:tcPr>
            <w:tcW w:w="0" w:type="dxa"/>
            <w:vAlign w:val="bottom"/>
          </w:tcPr>
          <w:p>
            <w:pPr>
              <w:spacing w:after="0"/>
              <w:rPr>
                <w:sz w:val="1"/>
                <w:szCs w:val="1"/>
                <w:color w:val="auto"/>
              </w:rPr>
            </w:pPr>
          </w:p>
        </w:tc>
      </w:tr>
      <w:tr>
        <w:trPr>
          <w:trHeight w:val="78"/>
        </w:trPr>
        <w:tc>
          <w:tcPr>
            <w:tcW w:w="224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24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240" w:type="dxa"/>
            <w:vAlign w:val="bottom"/>
          </w:tcPr>
          <w:p>
            <w:pPr>
              <w:ind w:left="20"/>
              <w:spacing w:after="0"/>
              <w:rPr>
                <w:sz w:val="20"/>
                <w:szCs w:val="20"/>
                <w:color w:val="auto"/>
              </w:rPr>
            </w:pPr>
            <w:r>
              <w:rPr>
                <w:rFonts w:ascii="Arial" w:cs="Arial" w:eastAsia="Arial" w:hAnsi="Arial"/>
                <w:sz w:val="14"/>
                <w:szCs w:val="14"/>
                <w:color w:val="auto"/>
              </w:rPr>
              <w:t>Protea Hotels by Marriott</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(Protea</w:t>
            </w:r>
          </w:p>
        </w:tc>
        <w:tc>
          <w:tcPr>
            <w:tcW w:w="1540" w:type="dxa"/>
            <w:vAlign w:val="bottom"/>
          </w:tcPr>
          <w:p>
            <w:pPr>
              <w:ind w:left="220"/>
              <w:spacing w:after="0"/>
              <w:rPr>
                <w:sz w:val="20"/>
                <w:szCs w:val="20"/>
                <w:color w:val="auto"/>
              </w:rPr>
            </w:pPr>
            <w:r>
              <w:rPr>
                <w:rFonts w:ascii="Arial" w:cs="Arial" w:eastAsia="Arial" w:hAnsi="Arial"/>
                <w:sz w:val="14"/>
                <w:szCs w:val="14"/>
                <w:color w:val="auto"/>
              </w:rPr>
              <w:t>Properties</w:t>
            </w:r>
          </w:p>
        </w:tc>
        <w:tc>
          <w:tcPr>
            <w:tcW w:w="118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Pr>
          <w:p>
            <w:pPr>
              <w:jc w:val="center"/>
              <w:spacing w:after="0"/>
              <w:rPr>
                <w:sz w:val="20"/>
                <w:szCs w:val="20"/>
                <w:color w:val="auto"/>
              </w:rPr>
            </w:pPr>
            <w:r>
              <w:rPr>
                <w:rFonts w:ascii="Arial" w:cs="Arial" w:eastAsia="Arial" w:hAnsi="Arial"/>
                <w:sz w:val="14"/>
                <w:szCs w:val="14"/>
                <w:color w:val="auto"/>
              </w:rPr>
              <w:t>74</w:t>
            </w:r>
          </w:p>
        </w:tc>
        <w:tc>
          <w:tcPr>
            <w:tcW w:w="9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74</w:t>
            </w:r>
          </w:p>
        </w:tc>
        <w:tc>
          <w:tcPr>
            <w:tcW w:w="0" w:type="dxa"/>
            <w:vAlign w:val="bottom"/>
          </w:tcPr>
          <w:p>
            <w:pPr>
              <w:spacing w:after="0"/>
              <w:rPr>
                <w:sz w:val="1"/>
                <w:szCs w:val="1"/>
                <w:color w:val="auto"/>
              </w:rPr>
            </w:pPr>
          </w:p>
        </w:tc>
      </w:tr>
      <w:tr>
        <w:trPr>
          <w:trHeight w:val="203"/>
        </w:trPr>
        <w:tc>
          <w:tcPr>
            <w:tcW w:w="2240" w:type="dxa"/>
            <w:vAlign w:val="bottom"/>
          </w:tcPr>
          <w:p>
            <w:pPr>
              <w:ind w:left="20"/>
              <w:spacing w:after="0" w:line="202" w:lineRule="exact"/>
              <w:rPr>
                <w:sz w:val="20"/>
                <w:szCs w:val="20"/>
                <w:color w:val="auto"/>
              </w:rPr>
            </w:pPr>
            <w:r>
              <w:rPr>
                <w:rFonts w:ascii="Arial" w:cs="Arial" w:eastAsia="Arial" w:hAnsi="Arial"/>
                <w:sz w:val="14"/>
                <w:szCs w:val="14"/>
                <w:color w:val="auto"/>
              </w:rPr>
              <w:t>Hotels</w:t>
            </w:r>
            <w:r>
              <w:rPr>
                <w:rFonts w:ascii="Arial" w:cs="Arial" w:eastAsia="Arial" w:hAnsi="Arial"/>
                <w:sz w:val="18"/>
                <w:szCs w:val="18"/>
                <w:color w:val="auto"/>
                <w:vertAlign w:val="superscript"/>
              </w:rPr>
              <w:t>®</w:t>
            </w:r>
            <w:r>
              <w:rPr>
                <w:rFonts w:ascii="Arial" w:cs="Arial" w:eastAsia="Arial" w:hAnsi="Arial"/>
                <w:sz w:val="14"/>
                <w:szCs w:val="14"/>
                <w:color w:val="auto"/>
              </w:rPr>
              <w:t>)</w:t>
            </w:r>
          </w:p>
        </w:tc>
        <w:tc>
          <w:tcPr>
            <w:tcW w:w="1540" w:type="dxa"/>
            <w:vAlign w:val="bottom"/>
            <w:vMerge w:val="restart"/>
          </w:tcPr>
          <w:p>
            <w:pPr>
              <w:ind w:left="220"/>
              <w:spacing w:after="0"/>
              <w:rPr>
                <w:sz w:val="20"/>
                <w:szCs w:val="20"/>
                <w:color w:val="auto"/>
              </w:rPr>
            </w:pPr>
            <w:r>
              <w:rPr>
                <w:rFonts w:ascii="Arial" w:cs="Arial" w:eastAsia="Arial" w:hAnsi="Arial"/>
                <w:sz w:val="14"/>
                <w:szCs w:val="14"/>
                <w:color w:val="auto"/>
              </w:rPr>
              <w:t>Rooms</w:t>
            </w:r>
          </w:p>
        </w:tc>
        <w:tc>
          <w:tcPr>
            <w:tcW w:w="1180" w:type="dxa"/>
            <w:vAlign w:val="bottom"/>
            <w:vMerge w:val="restart"/>
          </w:tcPr>
          <w:p>
            <w:pPr>
              <w:jc w:val="center"/>
              <w:ind w:right="8"/>
              <w:spacing w:after="0"/>
              <w:rPr>
                <w:sz w:val="20"/>
                <w:szCs w:val="20"/>
                <w:color w:val="auto"/>
              </w:rPr>
            </w:pPr>
            <w:r>
              <w:rPr>
                <w:rFonts w:ascii="Arial" w:cs="Arial" w:eastAsia="Arial" w:hAnsi="Arial"/>
                <w:sz w:val="14"/>
                <w:szCs w:val="14"/>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w w:val="91"/>
              </w:rPr>
              <w:t>7,851</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vMerge w:val="restart"/>
          </w:tcPr>
          <w:p>
            <w:pPr>
              <w:jc w:val="center"/>
              <w:ind w:right="8"/>
              <w:spacing w:after="0"/>
              <w:rPr>
                <w:sz w:val="20"/>
                <w:szCs w:val="20"/>
                <w:color w:val="auto"/>
              </w:rPr>
            </w:pPr>
            <w:r>
              <w:rPr>
                <w:rFonts w:ascii="Arial" w:cs="Arial" w:eastAsia="Arial" w:hAnsi="Arial"/>
                <w:sz w:val="14"/>
                <w:szCs w:val="14"/>
                <w:color w:val="auto"/>
                <w:w w:val="91"/>
              </w:rPr>
              <w:t>7,851</w:t>
            </w:r>
          </w:p>
        </w:tc>
        <w:tc>
          <w:tcPr>
            <w:tcW w:w="0" w:type="dxa"/>
            <w:vAlign w:val="bottom"/>
          </w:tcPr>
          <w:p>
            <w:pPr>
              <w:spacing w:after="0"/>
              <w:rPr>
                <w:sz w:val="1"/>
                <w:szCs w:val="1"/>
                <w:color w:val="auto"/>
              </w:rPr>
            </w:pPr>
          </w:p>
        </w:tc>
      </w:tr>
      <w:tr>
        <w:trPr>
          <w:trHeight w:val="42"/>
        </w:trPr>
        <w:tc>
          <w:tcPr>
            <w:tcW w:w="2240" w:type="dxa"/>
            <w:vAlign w:val="bottom"/>
          </w:tcPr>
          <w:p>
            <w:pPr>
              <w:spacing w:after="0"/>
              <w:rPr>
                <w:sz w:val="3"/>
                <w:szCs w:val="3"/>
                <w:color w:val="auto"/>
              </w:rPr>
            </w:pPr>
          </w:p>
        </w:tc>
        <w:tc>
          <w:tcPr>
            <w:tcW w:w="1540" w:type="dxa"/>
            <w:vAlign w:val="bottom"/>
            <w:vMerge w:val="continue"/>
          </w:tcPr>
          <w:p>
            <w:pPr>
              <w:spacing w:after="0"/>
              <w:rPr>
                <w:sz w:val="3"/>
                <w:szCs w:val="3"/>
                <w:color w:val="auto"/>
              </w:rPr>
            </w:pPr>
          </w:p>
        </w:tc>
        <w:tc>
          <w:tcPr>
            <w:tcW w:w="118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224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Element</w:t>
            </w:r>
            <w:r>
              <w:rPr>
                <w:rFonts w:ascii="Arial" w:cs="Arial" w:eastAsia="Arial" w:hAnsi="Arial"/>
                <w:sz w:val="18"/>
                <w:szCs w:val="18"/>
                <w:color w:val="auto"/>
                <w:vertAlign w:val="superscript"/>
              </w:rPr>
              <w:t>®</w:t>
            </w:r>
            <w:r>
              <w:rPr>
                <w:rFonts w:ascii="Arial" w:cs="Arial" w:eastAsia="Arial" w:hAnsi="Arial"/>
                <w:sz w:val="14"/>
                <w:szCs w:val="14"/>
                <w:color w:val="auto"/>
              </w:rPr>
              <w:t xml:space="preserve"> Hotels</w:t>
            </w:r>
          </w:p>
        </w:tc>
        <w:tc>
          <w:tcPr>
            <w:tcW w:w="1540" w:type="dxa"/>
            <w:vAlign w:val="bottom"/>
          </w:tcPr>
          <w:p>
            <w:pPr>
              <w:ind w:left="220"/>
              <w:spacing w:after="0"/>
              <w:rPr>
                <w:sz w:val="20"/>
                <w:szCs w:val="20"/>
                <w:color w:val="auto"/>
              </w:rPr>
            </w:pPr>
            <w:r>
              <w:rPr>
                <w:rFonts w:ascii="Arial" w:cs="Arial" w:eastAsia="Arial" w:hAnsi="Arial"/>
                <w:sz w:val="14"/>
                <w:szCs w:val="14"/>
                <w:color w:val="auto"/>
              </w:rPr>
              <w:t>Properties</w:t>
            </w:r>
          </w:p>
        </w:tc>
        <w:tc>
          <w:tcPr>
            <w:tcW w:w="1180" w:type="dxa"/>
            <w:vAlign w:val="bottom"/>
          </w:tcPr>
          <w:p>
            <w:pPr>
              <w:jc w:val="center"/>
              <w:ind w:right="8"/>
              <w:spacing w:after="0"/>
              <w:rPr>
                <w:sz w:val="20"/>
                <w:szCs w:val="20"/>
                <w:color w:val="auto"/>
              </w:rPr>
            </w:pPr>
            <w:r>
              <w:rPr>
                <w:rFonts w:ascii="Arial" w:cs="Arial" w:eastAsia="Arial" w:hAnsi="Arial"/>
                <w:sz w:val="14"/>
                <w:szCs w:val="14"/>
                <w:color w:val="auto"/>
                <w:w w:val="89"/>
              </w:rPr>
              <w:t>55</w:t>
            </w:r>
          </w:p>
        </w:tc>
        <w:tc>
          <w:tcPr>
            <w:tcW w:w="90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260" w:type="dxa"/>
            <w:vAlign w:val="bottom"/>
          </w:tcPr>
          <w:p>
            <w:pPr>
              <w:jc w:val="center"/>
              <w:spacing w:after="0"/>
              <w:rPr>
                <w:sz w:val="20"/>
                <w:szCs w:val="20"/>
                <w:color w:val="auto"/>
              </w:rPr>
            </w:pPr>
            <w:r>
              <w:rPr>
                <w:rFonts w:ascii="Arial" w:cs="Arial" w:eastAsia="Arial" w:hAnsi="Arial"/>
                <w:sz w:val="14"/>
                <w:szCs w:val="14"/>
                <w:color w:val="auto"/>
              </w:rPr>
              <w:t>2</w:t>
            </w:r>
          </w:p>
        </w:tc>
        <w:tc>
          <w:tcPr>
            <w:tcW w:w="980" w:type="dxa"/>
            <w:vAlign w:val="bottom"/>
          </w:tcPr>
          <w:p>
            <w:pPr>
              <w:jc w:val="center"/>
              <w:spacing w:after="0"/>
              <w:rPr>
                <w:sz w:val="20"/>
                <w:szCs w:val="20"/>
                <w:color w:val="auto"/>
              </w:rPr>
            </w:pPr>
            <w:r>
              <w:rPr>
                <w:rFonts w:ascii="Arial" w:cs="Arial" w:eastAsia="Arial" w:hAnsi="Arial"/>
                <w:sz w:val="14"/>
                <w:szCs w:val="14"/>
                <w:color w:val="auto"/>
                <w:w w:val="76"/>
              </w:rPr>
              <w:t>6</w:t>
            </w: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65</w:t>
            </w:r>
          </w:p>
        </w:tc>
        <w:tc>
          <w:tcPr>
            <w:tcW w:w="0" w:type="dxa"/>
            <w:vAlign w:val="bottom"/>
          </w:tcPr>
          <w:p>
            <w:pPr>
              <w:spacing w:after="0"/>
              <w:rPr>
                <w:sz w:val="1"/>
                <w:szCs w:val="1"/>
                <w:color w:val="auto"/>
              </w:rPr>
            </w:pPr>
          </w:p>
        </w:tc>
      </w:tr>
      <w:tr>
        <w:trPr>
          <w:trHeight w:val="192"/>
        </w:trPr>
        <w:tc>
          <w:tcPr>
            <w:tcW w:w="2240" w:type="dxa"/>
            <w:vAlign w:val="bottom"/>
            <w:vMerge w:val="continue"/>
          </w:tcPr>
          <w:p>
            <w:pPr>
              <w:spacing w:after="0"/>
              <w:rPr>
                <w:sz w:val="16"/>
                <w:szCs w:val="16"/>
                <w:color w:val="auto"/>
              </w:rPr>
            </w:pPr>
          </w:p>
        </w:tc>
        <w:tc>
          <w:tcPr>
            <w:tcW w:w="1540" w:type="dxa"/>
            <w:vAlign w:val="bottom"/>
            <w:vMerge w:val="restart"/>
          </w:tcPr>
          <w:p>
            <w:pPr>
              <w:ind w:left="220"/>
              <w:spacing w:after="0"/>
              <w:rPr>
                <w:sz w:val="20"/>
                <w:szCs w:val="20"/>
                <w:color w:val="auto"/>
              </w:rPr>
            </w:pPr>
            <w:r>
              <w:rPr>
                <w:rFonts w:ascii="Arial" w:cs="Arial" w:eastAsia="Arial" w:hAnsi="Arial"/>
                <w:sz w:val="14"/>
                <w:szCs w:val="14"/>
                <w:color w:val="auto"/>
              </w:rPr>
              <w:t>Rooms</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1"/>
              </w:rPr>
              <w:t>7,387</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4"/>
              </w:rPr>
              <w:t>293</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w w:val="85"/>
              </w:rPr>
              <w:t>437</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6"/>
              </w:rPr>
              <w:t>1,253</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vMerge w:val="restart"/>
          </w:tcPr>
          <w:p>
            <w:pPr>
              <w:jc w:val="center"/>
              <w:ind w:right="8"/>
              <w:spacing w:after="0"/>
              <w:rPr>
                <w:sz w:val="20"/>
                <w:szCs w:val="20"/>
                <w:color w:val="auto"/>
              </w:rPr>
            </w:pPr>
            <w:r>
              <w:rPr>
                <w:rFonts w:ascii="Arial" w:cs="Arial" w:eastAsia="Arial" w:hAnsi="Arial"/>
                <w:sz w:val="14"/>
                <w:szCs w:val="14"/>
                <w:color w:val="auto"/>
                <w:w w:val="91"/>
              </w:rPr>
              <w:t>9,370</w:t>
            </w:r>
          </w:p>
        </w:tc>
        <w:tc>
          <w:tcPr>
            <w:tcW w:w="0" w:type="dxa"/>
            <w:vAlign w:val="bottom"/>
          </w:tcPr>
          <w:p>
            <w:pPr>
              <w:spacing w:after="0"/>
              <w:rPr>
                <w:sz w:val="1"/>
                <w:szCs w:val="1"/>
                <w:color w:val="auto"/>
              </w:rPr>
            </w:pPr>
          </w:p>
        </w:tc>
      </w:tr>
      <w:tr>
        <w:trPr>
          <w:trHeight w:val="78"/>
        </w:trPr>
        <w:tc>
          <w:tcPr>
            <w:tcW w:w="224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24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Moxy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Hotels</w:t>
            </w:r>
          </w:p>
        </w:tc>
        <w:tc>
          <w:tcPr>
            <w:tcW w:w="1540" w:type="dxa"/>
            <w:vAlign w:val="bottom"/>
          </w:tcPr>
          <w:p>
            <w:pPr>
              <w:ind w:left="220"/>
              <w:spacing w:after="0"/>
              <w:rPr>
                <w:sz w:val="20"/>
                <w:szCs w:val="20"/>
                <w:color w:val="auto"/>
              </w:rPr>
            </w:pPr>
            <w:r>
              <w:rPr>
                <w:rFonts w:ascii="Arial" w:cs="Arial" w:eastAsia="Arial" w:hAnsi="Arial"/>
                <w:sz w:val="14"/>
                <w:szCs w:val="14"/>
                <w:color w:val="auto"/>
              </w:rPr>
              <w:t>Properties</w:t>
            </w:r>
          </w:p>
        </w:tc>
        <w:tc>
          <w:tcPr>
            <w:tcW w:w="1180" w:type="dxa"/>
            <w:vAlign w:val="bottom"/>
          </w:tcPr>
          <w:p>
            <w:pPr>
              <w:jc w:val="center"/>
              <w:ind w:right="8"/>
              <w:spacing w:after="0"/>
              <w:rPr>
                <w:sz w:val="20"/>
                <w:szCs w:val="20"/>
                <w:color w:val="auto"/>
              </w:rPr>
            </w:pPr>
            <w:r>
              <w:rPr>
                <w:rFonts w:ascii="Arial" w:cs="Arial" w:eastAsia="Arial" w:hAnsi="Arial"/>
                <w:sz w:val="14"/>
                <w:szCs w:val="14"/>
                <w:color w:val="auto"/>
                <w:w w:val="89"/>
              </w:rPr>
              <w:t>21</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47</w:t>
            </w:r>
          </w:p>
        </w:tc>
        <w:tc>
          <w:tcPr>
            <w:tcW w:w="1260" w:type="dxa"/>
            <w:vAlign w:val="bottom"/>
          </w:tcPr>
          <w:p>
            <w:pPr>
              <w:jc w:val="center"/>
              <w:spacing w:after="0"/>
              <w:rPr>
                <w:sz w:val="20"/>
                <w:szCs w:val="20"/>
                <w:color w:val="auto"/>
              </w:rPr>
            </w:pPr>
            <w:r>
              <w:rPr>
                <w:rFonts w:ascii="Arial" w:cs="Arial" w:eastAsia="Arial" w:hAnsi="Arial"/>
                <w:sz w:val="14"/>
                <w:szCs w:val="14"/>
                <w:color w:val="auto"/>
              </w:rPr>
              <w:t>—</w:t>
            </w:r>
          </w:p>
        </w:tc>
        <w:tc>
          <w:tcPr>
            <w:tcW w:w="980" w:type="dxa"/>
            <w:vAlign w:val="bottom"/>
          </w:tcPr>
          <w:p>
            <w:pPr>
              <w:jc w:val="center"/>
              <w:spacing w:after="0"/>
              <w:rPr>
                <w:sz w:val="20"/>
                <w:szCs w:val="20"/>
                <w:color w:val="auto"/>
              </w:rPr>
            </w:pPr>
            <w:r>
              <w:rPr>
                <w:rFonts w:ascii="Arial" w:cs="Arial" w:eastAsia="Arial" w:hAnsi="Arial"/>
                <w:sz w:val="14"/>
                <w:szCs w:val="14"/>
                <w:color w:val="auto"/>
                <w:w w:val="76"/>
              </w:rPr>
              <w:t>6</w:t>
            </w: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74</w:t>
            </w:r>
          </w:p>
        </w:tc>
        <w:tc>
          <w:tcPr>
            <w:tcW w:w="0" w:type="dxa"/>
            <w:vAlign w:val="bottom"/>
          </w:tcPr>
          <w:p>
            <w:pPr>
              <w:spacing w:after="0"/>
              <w:rPr>
                <w:sz w:val="1"/>
                <w:szCs w:val="1"/>
                <w:color w:val="auto"/>
              </w:rPr>
            </w:pPr>
          </w:p>
        </w:tc>
      </w:tr>
      <w:tr>
        <w:trPr>
          <w:trHeight w:val="192"/>
        </w:trPr>
        <w:tc>
          <w:tcPr>
            <w:tcW w:w="2240" w:type="dxa"/>
            <w:vAlign w:val="bottom"/>
            <w:vMerge w:val="continue"/>
          </w:tcPr>
          <w:p>
            <w:pPr>
              <w:spacing w:after="0"/>
              <w:rPr>
                <w:sz w:val="16"/>
                <w:szCs w:val="16"/>
                <w:color w:val="auto"/>
              </w:rPr>
            </w:pPr>
          </w:p>
        </w:tc>
        <w:tc>
          <w:tcPr>
            <w:tcW w:w="1540" w:type="dxa"/>
            <w:vAlign w:val="bottom"/>
            <w:vMerge w:val="restart"/>
          </w:tcPr>
          <w:p>
            <w:pPr>
              <w:ind w:left="220"/>
              <w:spacing w:after="0"/>
              <w:rPr>
                <w:sz w:val="20"/>
                <w:szCs w:val="20"/>
                <w:color w:val="auto"/>
              </w:rPr>
            </w:pPr>
            <w:r>
              <w:rPr>
                <w:rFonts w:ascii="Arial" w:cs="Arial" w:eastAsia="Arial" w:hAnsi="Arial"/>
                <w:sz w:val="14"/>
                <w:szCs w:val="14"/>
                <w:color w:val="auto"/>
              </w:rPr>
              <w:t>Rooms</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1"/>
              </w:rPr>
              <w:t>4,149</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6"/>
              </w:rPr>
              <w:t>9,227</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6"/>
              </w:rPr>
              <w:t>1,159</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vMerge w:val="restart"/>
          </w:tcPr>
          <w:p>
            <w:pPr>
              <w:jc w:val="center"/>
              <w:ind w:right="8"/>
              <w:spacing w:after="0"/>
              <w:rPr>
                <w:sz w:val="20"/>
                <w:szCs w:val="20"/>
                <w:color w:val="auto"/>
              </w:rPr>
            </w:pPr>
            <w:r>
              <w:rPr>
                <w:rFonts w:ascii="Arial" w:cs="Arial" w:eastAsia="Arial" w:hAnsi="Arial"/>
                <w:sz w:val="14"/>
                <w:szCs w:val="14"/>
                <w:color w:val="auto"/>
                <w:w w:val="93"/>
              </w:rPr>
              <w:t>14,535</w:t>
            </w:r>
          </w:p>
        </w:tc>
        <w:tc>
          <w:tcPr>
            <w:tcW w:w="0" w:type="dxa"/>
            <w:vAlign w:val="bottom"/>
          </w:tcPr>
          <w:p>
            <w:pPr>
              <w:spacing w:after="0"/>
              <w:rPr>
                <w:sz w:val="1"/>
                <w:szCs w:val="1"/>
                <w:color w:val="auto"/>
              </w:rPr>
            </w:pPr>
          </w:p>
        </w:tc>
      </w:tr>
      <w:tr>
        <w:trPr>
          <w:trHeight w:val="78"/>
        </w:trPr>
        <w:tc>
          <w:tcPr>
            <w:tcW w:w="224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24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Residences and Timeshare</w:t>
            </w:r>
          </w:p>
        </w:tc>
        <w:tc>
          <w:tcPr>
            <w:tcW w:w="15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Residences</w:t>
            </w:r>
          </w:p>
        </w:tc>
        <w:tc>
          <w:tcPr>
            <w:tcW w:w="1540" w:type="dxa"/>
            <w:vAlign w:val="bottom"/>
          </w:tcPr>
          <w:p>
            <w:pPr>
              <w:ind w:left="220"/>
              <w:spacing w:after="0"/>
              <w:rPr>
                <w:sz w:val="20"/>
                <w:szCs w:val="20"/>
                <w:color w:val="auto"/>
              </w:rPr>
            </w:pPr>
            <w:r>
              <w:rPr>
                <w:rFonts w:ascii="Arial" w:cs="Arial" w:eastAsia="Arial" w:hAnsi="Arial"/>
                <w:sz w:val="14"/>
                <w:szCs w:val="14"/>
                <w:color w:val="auto"/>
              </w:rPr>
              <w:t>Properties</w:t>
            </w:r>
          </w:p>
        </w:tc>
        <w:tc>
          <w:tcPr>
            <w:tcW w:w="1180" w:type="dxa"/>
            <w:vAlign w:val="bottom"/>
          </w:tcPr>
          <w:p>
            <w:pPr>
              <w:jc w:val="center"/>
              <w:ind w:right="8"/>
              <w:spacing w:after="0"/>
              <w:rPr>
                <w:sz w:val="20"/>
                <w:szCs w:val="20"/>
                <w:color w:val="auto"/>
              </w:rPr>
            </w:pPr>
            <w:r>
              <w:rPr>
                <w:rFonts w:ascii="Arial" w:cs="Arial" w:eastAsia="Arial" w:hAnsi="Arial"/>
                <w:sz w:val="14"/>
                <w:szCs w:val="14"/>
                <w:color w:val="auto"/>
                <w:w w:val="89"/>
              </w:rPr>
              <w:t>59</w:t>
            </w:r>
          </w:p>
        </w:tc>
        <w:tc>
          <w:tcPr>
            <w:tcW w:w="900" w:type="dxa"/>
            <w:vAlign w:val="bottom"/>
          </w:tcPr>
          <w:p>
            <w:pPr>
              <w:jc w:val="center"/>
              <w:spacing w:after="0"/>
              <w:rPr>
                <w:sz w:val="20"/>
                <w:szCs w:val="20"/>
                <w:color w:val="auto"/>
              </w:rPr>
            </w:pPr>
            <w:r>
              <w:rPr>
                <w:rFonts w:ascii="Arial" w:cs="Arial" w:eastAsia="Arial" w:hAnsi="Arial"/>
                <w:sz w:val="14"/>
                <w:szCs w:val="14"/>
                <w:color w:val="auto"/>
                <w:w w:val="76"/>
              </w:rPr>
              <w:t>9</w:t>
            </w:r>
          </w:p>
        </w:tc>
        <w:tc>
          <w:tcPr>
            <w:tcW w:w="1260" w:type="dxa"/>
            <w:vAlign w:val="bottom"/>
          </w:tcPr>
          <w:p>
            <w:pPr>
              <w:jc w:val="center"/>
              <w:spacing w:after="0"/>
              <w:rPr>
                <w:sz w:val="20"/>
                <w:szCs w:val="20"/>
                <w:color w:val="auto"/>
              </w:rPr>
            </w:pPr>
            <w:r>
              <w:rPr>
                <w:rFonts w:ascii="Arial" w:cs="Arial" w:eastAsia="Arial" w:hAnsi="Arial"/>
                <w:sz w:val="14"/>
                <w:szCs w:val="14"/>
                <w:color w:val="auto"/>
              </w:rPr>
              <w:t>3</w:t>
            </w:r>
          </w:p>
        </w:tc>
        <w:tc>
          <w:tcPr>
            <w:tcW w:w="980" w:type="dxa"/>
            <w:vAlign w:val="bottom"/>
          </w:tcPr>
          <w:p>
            <w:pPr>
              <w:jc w:val="center"/>
              <w:spacing w:after="0"/>
              <w:rPr>
                <w:sz w:val="20"/>
                <w:szCs w:val="20"/>
                <w:color w:val="auto"/>
              </w:rPr>
            </w:pPr>
            <w:r>
              <w:rPr>
                <w:rFonts w:ascii="Arial" w:cs="Arial" w:eastAsia="Arial" w:hAnsi="Arial"/>
                <w:sz w:val="14"/>
                <w:szCs w:val="14"/>
                <w:color w:val="auto"/>
                <w:w w:val="89"/>
              </w:rPr>
              <w:t>13</w:t>
            </w:r>
          </w:p>
        </w:tc>
        <w:tc>
          <w:tcPr>
            <w:tcW w:w="1220" w:type="dxa"/>
            <w:vAlign w:val="bottom"/>
          </w:tcPr>
          <w:p>
            <w:pPr>
              <w:jc w:val="center"/>
              <w:spacing w:after="0"/>
              <w:rPr>
                <w:sz w:val="20"/>
                <w:szCs w:val="20"/>
                <w:color w:val="auto"/>
              </w:rPr>
            </w:pPr>
            <w:r>
              <w:rPr>
                <w:rFonts w:ascii="Arial" w:cs="Arial" w:eastAsia="Arial" w:hAnsi="Arial"/>
                <w:sz w:val="14"/>
                <w:szCs w:val="14"/>
                <w:color w:val="auto"/>
                <w:w w:val="89"/>
              </w:rPr>
              <w:t>10</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94</w:t>
            </w:r>
          </w:p>
        </w:tc>
        <w:tc>
          <w:tcPr>
            <w:tcW w:w="0" w:type="dxa"/>
            <w:vAlign w:val="bottom"/>
          </w:tcPr>
          <w:p>
            <w:pPr>
              <w:spacing w:after="0"/>
              <w:rPr>
                <w:sz w:val="1"/>
                <w:szCs w:val="1"/>
                <w:color w:val="auto"/>
              </w:rPr>
            </w:pPr>
          </w:p>
        </w:tc>
      </w:tr>
      <w:tr>
        <w:trPr>
          <w:trHeight w:val="135"/>
        </w:trPr>
        <w:tc>
          <w:tcPr>
            <w:tcW w:w="2240" w:type="dxa"/>
            <w:vAlign w:val="bottom"/>
            <w:vMerge w:val="continue"/>
          </w:tcPr>
          <w:p>
            <w:pPr>
              <w:spacing w:after="0"/>
              <w:rPr>
                <w:sz w:val="11"/>
                <w:szCs w:val="11"/>
                <w:color w:val="auto"/>
              </w:rPr>
            </w:pPr>
          </w:p>
        </w:tc>
        <w:tc>
          <w:tcPr>
            <w:tcW w:w="1540" w:type="dxa"/>
            <w:vAlign w:val="bottom"/>
            <w:vMerge w:val="restart"/>
          </w:tcPr>
          <w:p>
            <w:pPr>
              <w:ind w:left="220"/>
              <w:spacing w:after="0"/>
              <w:rPr>
                <w:sz w:val="20"/>
                <w:szCs w:val="20"/>
                <w:color w:val="auto"/>
              </w:rPr>
            </w:pPr>
            <w:r>
              <w:rPr>
                <w:rFonts w:ascii="Arial" w:cs="Arial" w:eastAsia="Arial" w:hAnsi="Arial"/>
                <w:sz w:val="14"/>
                <w:szCs w:val="14"/>
                <w:color w:val="auto"/>
              </w:rPr>
              <w:t>Rooms</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1"/>
              </w:rPr>
              <w:t>6,258</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4"/>
              </w:rPr>
              <w:t>313</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w w:val="85"/>
              </w:rPr>
              <w:t>308</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6"/>
              </w:rPr>
              <w:t>1,700</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4"/>
              </w:rPr>
              <w:t>576</w:t>
            </w:r>
          </w:p>
        </w:tc>
        <w:tc>
          <w:tcPr>
            <w:tcW w:w="1040" w:type="dxa"/>
            <w:vAlign w:val="bottom"/>
            <w:vMerge w:val="restart"/>
          </w:tcPr>
          <w:p>
            <w:pPr>
              <w:jc w:val="center"/>
              <w:ind w:right="8"/>
              <w:spacing w:after="0"/>
              <w:rPr>
                <w:sz w:val="20"/>
                <w:szCs w:val="20"/>
                <w:color w:val="auto"/>
              </w:rPr>
            </w:pPr>
            <w:r>
              <w:rPr>
                <w:rFonts w:ascii="Arial" w:cs="Arial" w:eastAsia="Arial" w:hAnsi="Arial"/>
                <w:sz w:val="14"/>
                <w:szCs w:val="14"/>
                <w:color w:val="auto"/>
                <w:w w:val="91"/>
              </w:rPr>
              <w:t>9,155</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224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Timeshare</w:t>
            </w:r>
          </w:p>
        </w:tc>
        <w:tc>
          <w:tcPr>
            <w:tcW w:w="1540" w:type="dxa"/>
            <w:vAlign w:val="bottom"/>
          </w:tcPr>
          <w:p>
            <w:pPr>
              <w:ind w:left="220"/>
              <w:spacing w:after="0"/>
              <w:rPr>
                <w:sz w:val="20"/>
                <w:szCs w:val="20"/>
                <w:color w:val="auto"/>
              </w:rPr>
            </w:pPr>
            <w:r>
              <w:rPr>
                <w:rFonts w:ascii="Arial" w:cs="Arial" w:eastAsia="Arial" w:hAnsi="Arial"/>
                <w:sz w:val="14"/>
                <w:szCs w:val="14"/>
                <w:color w:val="auto"/>
              </w:rPr>
              <w:t>Properties</w:t>
            </w:r>
          </w:p>
        </w:tc>
        <w:tc>
          <w:tcPr>
            <w:tcW w:w="1180" w:type="dxa"/>
            <w:vAlign w:val="bottom"/>
          </w:tcPr>
          <w:p>
            <w:pPr>
              <w:jc w:val="center"/>
              <w:ind w:right="8"/>
              <w:spacing w:after="0"/>
              <w:rPr>
                <w:sz w:val="20"/>
                <w:szCs w:val="20"/>
                <w:color w:val="auto"/>
              </w:rPr>
            </w:pPr>
            <w:r>
              <w:rPr>
                <w:rFonts w:ascii="Arial" w:cs="Arial" w:eastAsia="Arial" w:hAnsi="Arial"/>
                <w:sz w:val="14"/>
                <w:szCs w:val="14"/>
                <w:color w:val="auto"/>
                <w:w w:val="89"/>
              </w:rPr>
              <w:t>72</w:t>
            </w:r>
          </w:p>
        </w:tc>
        <w:tc>
          <w:tcPr>
            <w:tcW w:w="90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1260" w:type="dxa"/>
            <w:vAlign w:val="bottom"/>
          </w:tcPr>
          <w:p>
            <w:pPr>
              <w:jc w:val="center"/>
              <w:spacing w:after="0"/>
              <w:rPr>
                <w:sz w:val="20"/>
                <w:szCs w:val="20"/>
                <w:color w:val="auto"/>
              </w:rPr>
            </w:pPr>
            <w:r>
              <w:rPr>
                <w:rFonts w:ascii="Arial" w:cs="Arial" w:eastAsia="Arial" w:hAnsi="Arial"/>
                <w:sz w:val="14"/>
                <w:szCs w:val="14"/>
                <w:color w:val="auto"/>
              </w:rPr>
              <w:t>—</w:t>
            </w:r>
          </w:p>
        </w:tc>
        <w:tc>
          <w:tcPr>
            <w:tcW w:w="98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1220" w:type="dxa"/>
            <w:vAlign w:val="bottom"/>
          </w:tcPr>
          <w:p>
            <w:pPr>
              <w:jc w:val="center"/>
              <w:spacing w:after="0"/>
              <w:rPr>
                <w:sz w:val="20"/>
                <w:szCs w:val="20"/>
                <w:color w:val="auto"/>
              </w:rPr>
            </w:pPr>
            <w:r>
              <w:rPr>
                <w:rFonts w:ascii="Arial" w:cs="Arial" w:eastAsia="Arial" w:hAnsi="Arial"/>
                <w:sz w:val="14"/>
                <w:szCs w:val="14"/>
                <w:color w:val="auto"/>
              </w:rPr>
              <w:t>9</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91</w:t>
            </w:r>
          </w:p>
        </w:tc>
        <w:tc>
          <w:tcPr>
            <w:tcW w:w="0" w:type="dxa"/>
            <w:vAlign w:val="bottom"/>
          </w:tcPr>
          <w:p>
            <w:pPr>
              <w:spacing w:after="0"/>
              <w:rPr>
                <w:sz w:val="1"/>
                <w:szCs w:val="1"/>
                <w:color w:val="auto"/>
              </w:rPr>
            </w:pPr>
          </w:p>
        </w:tc>
      </w:tr>
      <w:tr>
        <w:trPr>
          <w:trHeight w:val="135"/>
        </w:trPr>
        <w:tc>
          <w:tcPr>
            <w:tcW w:w="2240" w:type="dxa"/>
            <w:vAlign w:val="bottom"/>
            <w:vMerge w:val="continue"/>
          </w:tcPr>
          <w:p>
            <w:pPr>
              <w:spacing w:after="0"/>
              <w:rPr>
                <w:sz w:val="11"/>
                <w:szCs w:val="11"/>
                <w:color w:val="auto"/>
              </w:rPr>
            </w:pPr>
          </w:p>
        </w:tc>
        <w:tc>
          <w:tcPr>
            <w:tcW w:w="1540" w:type="dxa"/>
            <w:vAlign w:val="bottom"/>
            <w:vMerge w:val="restart"/>
          </w:tcPr>
          <w:p>
            <w:pPr>
              <w:ind w:left="220"/>
              <w:spacing w:after="0"/>
              <w:rPr>
                <w:sz w:val="20"/>
                <w:szCs w:val="20"/>
                <w:color w:val="auto"/>
              </w:rPr>
            </w:pPr>
            <w:r>
              <w:rPr>
                <w:rFonts w:ascii="Arial" w:cs="Arial" w:eastAsia="Arial" w:hAnsi="Arial"/>
                <w:sz w:val="14"/>
                <w:szCs w:val="14"/>
                <w:color w:val="auto"/>
              </w:rPr>
              <w:t>Rooms</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3"/>
              </w:rPr>
              <w:t>18,905</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4"/>
              </w:rPr>
              <w:t>919</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4"/>
              </w:rPr>
              <w:t>455</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1"/>
              </w:rPr>
              <w:t>2,476</w:t>
            </w:r>
          </w:p>
        </w:tc>
        <w:tc>
          <w:tcPr>
            <w:tcW w:w="1040" w:type="dxa"/>
            <w:vAlign w:val="bottom"/>
            <w:vMerge w:val="restart"/>
          </w:tcPr>
          <w:p>
            <w:pPr>
              <w:jc w:val="center"/>
              <w:ind w:right="8"/>
              <w:spacing w:after="0"/>
              <w:rPr>
                <w:sz w:val="20"/>
                <w:szCs w:val="20"/>
                <w:color w:val="auto"/>
              </w:rPr>
            </w:pPr>
            <w:r>
              <w:rPr>
                <w:rFonts w:ascii="Arial" w:cs="Arial" w:eastAsia="Arial" w:hAnsi="Arial"/>
                <w:sz w:val="14"/>
                <w:szCs w:val="14"/>
                <w:color w:val="auto"/>
                <w:w w:val="93"/>
              </w:rPr>
              <w:t>22,755</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224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240" w:type="dxa"/>
            <w:vAlign w:val="bottom"/>
          </w:tcPr>
          <w:p>
            <w:pPr>
              <w:spacing w:after="0"/>
              <w:rPr>
                <w:sz w:val="17"/>
                <w:szCs w:val="17"/>
                <w:color w:val="auto"/>
              </w:rPr>
            </w:pPr>
          </w:p>
        </w:tc>
        <w:tc>
          <w:tcPr>
            <w:tcW w:w="1540" w:type="dxa"/>
            <w:vAlign w:val="bottom"/>
          </w:tcPr>
          <w:p>
            <w:pPr>
              <w:ind w:left="220"/>
              <w:spacing w:after="0"/>
              <w:rPr>
                <w:sz w:val="20"/>
                <w:szCs w:val="20"/>
                <w:color w:val="auto"/>
              </w:rPr>
            </w:pPr>
            <w:r>
              <w:rPr>
                <w:rFonts w:ascii="Arial" w:cs="Arial" w:eastAsia="Arial" w:hAnsi="Arial"/>
                <w:sz w:val="14"/>
                <w:szCs w:val="14"/>
                <w:b w:val="1"/>
                <w:bCs w:val="1"/>
                <w:color w:val="auto"/>
              </w:rPr>
              <w:t>Total Properties</w:t>
            </w:r>
          </w:p>
        </w:tc>
        <w:tc>
          <w:tcPr>
            <w:tcW w:w="1180" w:type="dxa"/>
            <w:vAlign w:val="bottom"/>
          </w:tcPr>
          <w:p>
            <w:pPr>
              <w:jc w:val="center"/>
              <w:spacing w:after="0"/>
              <w:rPr>
                <w:sz w:val="20"/>
                <w:szCs w:val="20"/>
                <w:color w:val="auto"/>
              </w:rPr>
            </w:pPr>
            <w:r>
              <w:rPr>
                <w:rFonts w:ascii="Arial" w:cs="Arial" w:eastAsia="Arial" w:hAnsi="Arial"/>
                <w:sz w:val="14"/>
                <w:szCs w:val="14"/>
                <w:color w:val="auto"/>
                <w:w w:val="91"/>
              </w:rPr>
              <w:t>5,606</w:t>
            </w:r>
          </w:p>
        </w:tc>
        <w:tc>
          <w:tcPr>
            <w:tcW w:w="900" w:type="dxa"/>
            <w:vAlign w:val="bottom"/>
          </w:tcPr>
          <w:p>
            <w:pPr>
              <w:jc w:val="center"/>
              <w:spacing w:after="0"/>
              <w:rPr>
                <w:sz w:val="20"/>
                <w:szCs w:val="20"/>
                <w:color w:val="auto"/>
              </w:rPr>
            </w:pPr>
            <w:r>
              <w:rPr>
                <w:rFonts w:ascii="Arial" w:cs="Arial" w:eastAsia="Arial" w:hAnsi="Arial"/>
                <w:sz w:val="14"/>
                <w:szCs w:val="14"/>
                <w:color w:val="auto"/>
                <w:w w:val="94"/>
              </w:rPr>
              <w:t>657</w:t>
            </w:r>
          </w:p>
        </w:tc>
        <w:tc>
          <w:tcPr>
            <w:tcW w:w="1260" w:type="dxa"/>
            <w:vAlign w:val="bottom"/>
          </w:tcPr>
          <w:p>
            <w:pPr>
              <w:jc w:val="center"/>
              <w:spacing w:after="0"/>
              <w:rPr>
                <w:sz w:val="20"/>
                <w:szCs w:val="20"/>
                <w:color w:val="auto"/>
              </w:rPr>
            </w:pPr>
            <w:r>
              <w:rPr>
                <w:rFonts w:ascii="Arial" w:cs="Arial" w:eastAsia="Arial" w:hAnsi="Arial"/>
                <w:sz w:val="14"/>
                <w:szCs w:val="14"/>
                <w:color w:val="auto"/>
                <w:w w:val="85"/>
              </w:rPr>
              <w:t>264</w:t>
            </w:r>
          </w:p>
        </w:tc>
        <w:tc>
          <w:tcPr>
            <w:tcW w:w="980" w:type="dxa"/>
            <w:vAlign w:val="bottom"/>
          </w:tcPr>
          <w:p>
            <w:pPr>
              <w:jc w:val="center"/>
              <w:spacing w:after="0"/>
              <w:rPr>
                <w:sz w:val="20"/>
                <w:szCs w:val="20"/>
                <w:color w:val="auto"/>
              </w:rPr>
            </w:pPr>
            <w:r>
              <w:rPr>
                <w:rFonts w:ascii="Arial" w:cs="Arial" w:eastAsia="Arial" w:hAnsi="Arial"/>
                <w:sz w:val="14"/>
                <w:szCs w:val="14"/>
                <w:color w:val="auto"/>
                <w:w w:val="94"/>
              </w:rPr>
              <w:t>848</w:t>
            </w:r>
          </w:p>
        </w:tc>
        <w:tc>
          <w:tcPr>
            <w:tcW w:w="1220" w:type="dxa"/>
            <w:vAlign w:val="bottom"/>
          </w:tcPr>
          <w:p>
            <w:pPr>
              <w:jc w:val="center"/>
              <w:spacing w:after="0"/>
              <w:rPr>
                <w:sz w:val="20"/>
                <w:szCs w:val="20"/>
                <w:color w:val="auto"/>
              </w:rPr>
            </w:pPr>
            <w:r>
              <w:rPr>
                <w:rFonts w:ascii="Arial" w:cs="Arial" w:eastAsia="Arial" w:hAnsi="Arial"/>
                <w:sz w:val="14"/>
                <w:szCs w:val="14"/>
                <w:color w:val="auto"/>
                <w:w w:val="94"/>
              </w:rPr>
              <w:t>267</w:t>
            </w:r>
          </w:p>
        </w:tc>
        <w:tc>
          <w:tcPr>
            <w:tcW w:w="1040" w:type="dxa"/>
            <w:vAlign w:val="bottom"/>
          </w:tcPr>
          <w:p>
            <w:pPr>
              <w:jc w:val="center"/>
              <w:ind w:right="8"/>
              <w:spacing w:after="0"/>
              <w:rPr>
                <w:sz w:val="20"/>
                <w:szCs w:val="20"/>
                <w:color w:val="auto"/>
              </w:rPr>
            </w:pPr>
            <w:r>
              <w:rPr>
                <w:rFonts w:ascii="Arial" w:cs="Arial" w:eastAsia="Arial" w:hAnsi="Arial"/>
                <w:sz w:val="14"/>
                <w:szCs w:val="14"/>
                <w:color w:val="auto"/>
                <w:w w:val="91"/>
              </w:rPr>
              <w:t>7,642</w:t>
            </w:r>
          </w:p>
        </w:tc>
        <w:tc>
          <w:tcPr>
            <w:tcW w:w="0" w:type="dxa"/>
            <w:vAlign w:val="bottom"/>
          </w:tcPr>
          <w:p>
            <w:pPr>
              <w:spacing w:after="0"/>
              <w:rPr>
                <w:sz w:val="1"/>
                <w:szCs w:val="1"/>
                <w:color w:val="auto"/>
              </w:rPr>
            </w:pPr>
          </w:p>
        </w:tc>
      </w:tr>
      <w:tr>
        <w:trPr>
          <w:trHeight w:val="26"/>
        </w:trPr>
        <w:tc>
          <w:tcPr>
            <w:tcW w:w="2240" w:type="dxa"/>
            <w:vAlign w:val="bottom"/>
          </w:tcPr>
          <w:p>
            <w:pPr>
              <w:spacing w:after="0"/>
              <w:rPr>
                <w:sz w:val="2"/>
                <w:szCs w:val="2"/>
                <w:color w:val="auto"/>
              </w:rPr>
            </w:pPr>
          </w:p>
        </w:tc>
        <w:tc>
          <w:tcPr>
            <w:tcW w:w="15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Total Rooms</w:t>
            </w: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24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180" w:type="dxa"/>
            <w:vAlign w:val="bottom"/>
          </w:tcPr>
          <w:p>
            <w:pPr>
              <w:jc w:val="center"/>
              <w:ind w:right="8"/>
              <w:spacing w:after="0"/>
              <w:rPr>
                <w:sz w:val="20"/>
                <w:szCs w:val="20"/>
                <w:color w:val="auto"/>
              </w:rPr>
            </w:pPr>
            <w:r>
              <w:rPr>
                <w:rFonts w:ascii="Arial" w:cs="Arial" w:eastAsia="Arial" w:hAnsi="Arial"/>
                <w:sz w:val="14"/>
                <w:szCs w:val="14"/>
                <w:color w:val="auto"/>
                <w:w w:val="90"/>
              </w:rPr>
              <w:t>942,995</w:t>
            </w:r>
          </w:p>
        </w:tc>
        <w:tc>
          <w:tcPr>
            <w:tcW w:w="900" w:type="dxa"/>
            <w:vAlign w:val="bottom"/>
          </w:tcPr>
          <w:p>
            <w:pPr>
              <w:jc w:val="center"/>
              <w:spacing w:after="0"/>
              <w:rPr>
                <w:sz w:val="20"/>
                <w:szCs w:val="20"/>
                <w:color w:val="auto"/>
              </w:rPr>
            </w:pPr>
            <w:r>
              <w:rPr>
                <w:rFonts w:ascii="Arial" w:cs="Arial" w:eastAsia="Arial" w:hAnsi="Arial"/>
                <w:sz w:val="14"/>
                <w:szCs w:val="14"/>
                <w:color w:val="auto"/>
                <w:w w:val="90"/>
              </w:rPr>
              <w:t>127,449</w:t>
            </w:r>
          </w:p>
        </w:tc>
        <w:tc>
          <w:tcPr>
            <w:tcW w:w="1260" w:type="dxa"/>
            <w:vAlign w:val="bottom"/>
          </w:tcPr>
          <w:p>
            <w:pPr>
              <w:jc w:val="center"/>
              <w:spacing w:after="0"/>
              <w:rPr>
                <w:sz w:val="20"/>
                <w:szCs w:val="20"/>
                <w:color w:val="auto"/>
              </w:rPr>
            </w:pPr>
            <w:r>
              <w:rPr>
                <w:rFonts w:ascii="Arial" w:cs="Arial" w:eastAsia="Arial" w:hAnsi="Arial"/>
                <w:sz w:val="14"/>
                <w:szCs w:val="14"/>
                <w:color w:val="auto"/>
                <w:w w:val="93"/>
              </w:rPr>
              <w:t>60,043</w:t>
            </w:r>
          </w:p>
        </w:tc>
        <w:tc>
          <w:tcPr>
            <w:tcW w:w="980" w:type="dxa"/>
            <w:vAlign w:val="bottom"/>
          </w:tcPr>
          <w:p>
            <w:pPr>
              <w:jc w:val="center"/>
              <w:spacing w:after="0"/>
              <w:rPr>
                <w:sz w:val="20"/>
                <w:szCs w:val="20"/>
                <w:color w:val="auto"/>
              </w:rPr>
            </w:pPr>
            <w:r>
              <w:rPr>
                <w:rFonts w:ascii="Arial" w:cs="Arial" w:eastAsia="Arial" w:hAnsi="Arial"/>
                <w:sz w:val="14"/>
                <w:szCs w:val="14"/>
                <w:color w:val="auto"/>
                <w:w w:val="90"/>
              </w:rPr>
              <w:t>237,499</w:t>
            </w:r>
          </w:p>
        </w:tc>
        <w:tc>
          <w:tcPr>
            <w:tcW w:w="1220" w:type="dxa"/>
            <w:vAlign w:val="bottom"/>
          </w:tcPr>
          <w:p>
            <w:pPr>
              <w:jc w:val="center"/>
              <w:spacing w:after="0"/>
              <w:rPr>
                <w:sz w:val="20"/>
                <w:szCs w:val="20"/>
                <w:color w:val="auto"/>
              </w:rPr>
            </w:pPr>
            <w:r>
              <w:rPr>
                <w:rFonts w:ascii="Arial" w:cs="Arial" w:eastAsia="Arial" w:hAnsi="Arial"/>
                <w:sz w:val="14"/>
                <w:szCs w:val="14"/>
                <w:color w:val="auto"/>
                <w:w w:val="93"/>
              </w:rPr>
              <w:t>55,058</w:t>
            </w: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1,423,044</w:t>
            </w:r>
          </w:p>
        </w:tc>
        <w:tc>
          <w:tcPr>
            <w:tcW w:w="0" w:type="dxa"/>
            <w:vAlign w:val="bottom"/>
          </w:tcPr>
          <w:p>
            <w:pPr>
              <w:spacing w:after="0"/>
              <w:rPr>
                <w:sz w:val="1"/>
                <w:szCs w:val="1"/>
                <w:color w:val="auto"/>
              </w:rPr>
            </w:pPr>
          </w:p>
        </w:tc>
      </w:tr>
      <w:tr>
        <w:trPr>
          <w:trHeight w:val="26"/>
        </w:trPr>
        <w:tc>
          <w:tcPr>
            <w:tcW w:w="2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340" w:right="340" w:hanging="332"/>
        <w:spacing w:after="0" w:line="189" w:lineRule="auto"/>
        <w:tabs>
          <w:tab w:leader="none" w:pos="328" w:val="left"/>
        </w:tabs>
        <w:numPr>
          <w:ilvl w:val="0"/>
          <w:numId w:val="4"/>
        </w:numPr>
        <w:rPr>
          <w:rFonts w:ascii="Arial" w:cs="Arial" w:eastAsia="Arial" w:hAnsi="Arial"/>
          <w:sz w:val="23"/>
          <w:szCs w:val="23"/>
          <w:color w:val="auto"/>
          <w:vertAlign w:val="superscript"/>
        </w:rPr>
      </w:pPr>
      <w:r>
        <w:rPr>
          <w:rFonts w:ascii="Arial" w:cs="Arial" w:eastAsia="Arial" w:hAnsi="Arial"/>
          <w:sz w:val="14"/>
          <w:szCs w:val="14"/>
          <w:color w:val="auto"/>
        </w:rPr>
        <w:t>Includes two properties acquired when we purchased Elegant Hotels Group plc in December 2019 which we currently intend to re-brand under The Luxury Collection brand following the completion of planned renovations.</w:t>
      </w:r>
    </w:p>
    <w:p>
      <w:pPr>
        <w:ind w:left="340" w:right="780" w:hanging="332"/>
        <w:spacing w:after="0" w:line="187" w:lineRule="auto"/>
        <w:tabs>
          <w:tab w:leader="none" w:pos="328" w:val="left"/>
        </w:tabs>
        <w:numPr>
          <w:ilvl w:val="0"/>
          <w:numId w:val="4"/>
        </w:numPr>
        <w:rPr>
          <w:rFonts w:ascii="Arial" w:cs="Arial" w:eastAsia="Arial" w:hAnsi="Arial"/>
          <w:sz w:val="23"/>
          <w:szCs w:val="23"/>
          <w:color w:val="auto"/>
          <w:vertAlign w:val="superscript"/>
        </w:rPr>
      </w:pPr>
      <w:r>
        <w:rPr>
          <w:rFonts w:ascii="Arial" w:cs="Arial" w:eastAsia="Arial" w:hAnsi="Arial"/>
          <w:sz w:val="14"/>
          <w:szCs w:val="14"/>
          <w:color w:val="auto"/>
        </w:rPr>
        <w:t>Includes five properties acquired when we purchased Elegant Hotels Group plc in December 2019 which we currently intend to re-brand under the Autograph Collection brand following the completion of planned renovations.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Loyalty and Credit Card Programs</w:t>
      </w:r>
    </w:p>
    <w:p>
      <w:pPr>
        <w:spacing w:after="0" w:line="171"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Marriott Bonvoy</w:t>
      </w:r>
      <w:r>
        <w:rPr>
          <w:rFonts w:ascii="Arial" w:cs="Arial" w:eastAsia="Arial" w:hAnsi="Arial"/>
          <w:sz w:val="9"/>
          <w:szCs w:val="9"/>
          <w:color w:val="auto"/>
        </w:rPr>
        <w:t>TM</w:t>
      </w:r>
      <w:r>
        <w:rPr>
          <w:rFonts w:ascii="Arial" w:cs="Arial" w:eastAsia="Arial" w:hAnsi="Arial"/>
          <w:sz w:val="18"/>
          <w:szCs w:val="18"/>
          <w:color w:val="auto"/>
        </w:rPr>
        <w:t xml:space="preserve"> is our customer loyalty program through which members have access to our diverse brand portfolio, rich benefits, and travel experiences. We refer to Marriott Bonvoy throughout this report as our “Loyalty Program.”</w:t>
      </w:r>
    </w:p>
    <w:p>
      <w:pPr>
        <w:spacing w:after="0" w:line="116"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Our Loyalty Program rewards members with points toward free hotel stays, access to travel experiences through our Marriott Bonvoy Tours &amp; Activities program, miles with participating airline programs, and other benefits. We believe that our Loyalty Program generates substantial repeat business that might otherwise go to competing hotels. In each of 2019 and 2020, approximately 50 percent of our room nights were booked by Loyalty Program members. We strategically market to this large and growing guest base to generate revenue. See the “Loyalty Program” caption in Note 2 for more information.</w:t>
      </w:r>
    </w:p>
    <w:p>
      <w:pPr>
        <w:spacing w:after="0" w:line="134"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We have multi-year agreements with JPMorgan Chase and American Express for our U.S.-issued, co-brand credit cards associated with our Loyalty Program. We also license credit card programs internationally, including in Canada, the United Kingdom, United Arab Emirates, and Japan. We earn fixed amounts that are generally payable at contract inception and variable amounts that are paid to us monthly over the term of the agreements primarily based on card usage, and we believe that our co-brand credit cards contribute to the success of our Loyalty Program and reflect the quality and value of our portfolio of brands. In 2020, we signed amendments to the existing agreements for our U.S.-issued co-brand credit cards associated with our Loyalty Program. These amendments provided the Company with $920 million of cash from the prepayment of certain future revenues, the early payment of a previously committed signing bonus, and the pre-purchase of Marriott Bonvoy points and other consideration.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and Reservation Systems</w:t>
      </w:r>
    </w:p>
    <w:p>
      <w:pPr>
        <w:spacing w:after="0" w:line="171" w:lineRule="exact"/>
        <w:rPr>
          <w:sz w:val="20"/>
          <w:szCs w:val="20"/>
          <w:color w:val="auto"/>
        </w:rPr>
      </w:pPr>
    </w:p>
    <w:p>
      <w:pPr>
        <w:jc w:val="both"/>
        <w:ind w:right="280" w:firstLine="405"/>
        <w:spacing w:after="0" w:line="263" w:lineRule="auto"/>
        <w:rPr>
          <w:sz w:val="20"/>
          <w:szCs w:val="20"/>
          <w:color w:val="auto"/>
        </w:rPr>
      </w:pPr>
      <w:r>
        <w:rPr>
          <w:rFonts w:ascii="Arial" w:cs="Arial" w:eastAsia="Arial" w:hAnsi="Arial"/>
          <w:sz w:val="16"/>
          <w:szCs w:val="16"/>
          <w:color w:val="auto"/>
        </w:rPr>
        <w:t>Marriott.com, our international websites, and our mobile application allow for a seamless booking experience and easy enrollment in our Loyalty Program to book our exclusive Member Rates and participate in program benefits. The Company responded quickly and flexibly during the COVID-19 crisis to meet the needs of our guests by launching new programs, such as Work Anywhere with Marriott Bonvoy, as well as new Marriott web content, focused on providing current hotel and travel information regarding COVID-19. Our Look No Further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Best Rate Guarantee ensures best rate integrity, strengthening consumer confidence in our brand and giving guests access to the best rates when they book hotel rooms through our direct channels. We also remain focused on growing engagement levels with millions of guests by interacting with them through a</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variety of channels, including our mobile application and digital guest services – contactless check-in and check-out, chat, service requests, mobile key, and more - across our hotel portfolio. Our digital strategy continues to focus on driving bookings to our direct channels, which generally deliver more profitable business to hotels in our system compared to bookings made through intermediary channels. Through our direct channels, we aim to create a simple and efficient digital shopping and booking experience, while elevating our service through digitally-enabled guest services to generate superior guest satisfaction and enable more frictionless and memorable stays at our properties.</w:t>
      </w:r>
    </w:p>
    <w:p>
      <w:pPr>
        <w:spacing w:after="0" w:line="135"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At year-end 2020, we operated 20 hotel reservation centers, seven in the U.S. and 13 in other countries and territories, which handle reservation requests for our lodging brands worldwide, including franchised properties. We own two of the U.S. facilities and either lease the others or share space with a company-operated property. Our reservation system manages inventory and allows us to utilize third-party agents where cost effective. Economies of scale enable us to minimize costs per occupied room.</w:t>
      </w:r>
    </w:p>
    <w:p>
      <w:pPr>
        <w:spacing w:after="0" w:line="133"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We believe our global sales and revenue management organizations are a key competitive advantage due to our unrelenting focus on optimizing our investment in people, processes, and systems. Our above-property sales deployment strategy aligns our sales efforts around how the customer wants to buy, reducing duplication of efforts by individual hotels and allowing us to cover a larger number of accounts. We also utilize innovative and sophisticated revenue management systems, many of which are proprietary, which we believe provide a competitive advantage in pricing decisions, increasing efficiency and optimizing property-level revenue for hotels in our portfolio. Most of the hotels in our portfolio utilize web-based programs to effectively manage the rate set-up and modification processes which provides for greater pricing flexibility, reduces time spent on rate program creation and maintenance, and increases the speed to market of new products and services.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7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We encounter strong competition both as a lodging operator and as a franchisor. Other lodging management companies are primarily private management firms, but also include several large national and international chains that own and operate their own hotels, operate hotels on behalf of third-party owners, and also franchise their brands. Management contracts are typically long-term in nature, but most allow the hotel owner to replace the management firm if it does not meet certain financial or performance criteria.</w:t>
      </w:r>
    </w:p>
    <w:p>
      <w:pPr>
        <w:spacing w:after="0" w:line="133" w:lineRule="exact"/>
        <w:rPr>
          <w:sz w:val="20"/>
          <w:szCs w:val="20"/>
          <w:color w:val="auto"/>
        </w:rPr>
      </w:pPr>
    </w:p>
    <w:p>
      <w:pPr>
        <w:ind w:right="160" w:firstLine="405"/>
        <w:spacing w:after="0" w:line="296" w:lineRule="auto"/>
        <w:rPr>
          <w:sz w:val="20"/>
          <w:szCs w:val="20"/>
          <w:color w:val="auto"/>
        </w:rPr>
      </w:pPr>
      <w:r>
        <w:rPr>
          <w:rFonts w:ascii="Arial" w:cs="Arial" w:eastAsia="Arial" w:hAnsi="Arial"/>
          <w:sz w:val="16"/>
          <w:szCs w:val="16"/>
          <w:color w:val="auto"/>
        </w:rPr>
        <w:t>Our direct digital channels also compete for guests with large companies that offer online travel services as part of their business model such as Expedia.com, Priceline.com, Booking.com, Travelocity.com, and Orbitz.com and search engines such as Google, Bing, Yahoo, and Baidu. Our hotels compete for guests with other hotels and online platforms, including Airbnb and Vrbo, that allow travelers to book short-term rentals of homes and apartments as an alternative to hotel rooms. We compete for guests in many areas, including brand recognition and reputation, location, guest satisfaction, room rates, quality of service, amenities, quality of accommodations, safety and security, and the ability to earn and redeem loyalty program points.</w:t>
      </w:r>
    </w:p>
    <w:p>
      <w:pPr>
        <w:spacing w:after="0" w:line="107" w:lineRule="exact"/>
        <w:rPr>
          <w:sz w:val="20"/>
          <w:szCs w:val="20"/>
          <w:color w:val="auto"/>
        </w:rPr>
      </w:pPr>
    </w:p>
    <w:p>
      <w:pPr>
        <w:ind w:right="300" w:firstLine="445"/>
        <w:spacing w:after="0" w:line="257" w:lineRule="auto"/>
        <w:rPr>
          <w:sz w:val="20"/>
          <w:szCs w:val="20"/>
          <w:color w:val="auto"/>
        </w:rPr>
      </w:pPr>
      <w:r>
        <w:rPr>
          <w:rFonts w:ascii="Arial" w:cs="Arial" w:eastAsia="Arial" w:hAnsi="Arial"/>
          <w:sz w:val="18"/>
          <w:szCs w:val="18"/>
          <w:color w:val="auto"/>
        </w:rPr>
        <w:t>Affiliation with a brand is common in the U.S. lodging industry, and we believe that our brand recognition assists us in attracting and retaining guests, owners, and franchisees. In 2020, approximately 72 percent of U.S. hotel rooms were brand-affiliated. Most of the branded properties are franchises, under which the owner pays the franchisor a fee for use of its hotel name and reservation system. In the franchising business, we face many competitors that have strong brands and guest appeal, including Hilton, Intercontinental Hotels Group, Hyatt, Wyndham, Accor, Choice, Radisson, Best Western, and others.</w:t>
      </w:r>
    </w:p>
    <w:p>
      <w:pPr>
        <w:spacing w:after="0" w:line="134"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Outside the U.S., branding is much less prevalent and most markets are served primarily by independent operators, although branding is more common for new hotel development. We believe that chain affiliation will become more attractive in many overseas markets as local economies grow, trade barriers decline, international travel accelerates, and hotel owners seek the benefits of centralized reservation systems, marketing programs, and our Loyalty Program.</w:t>
      </w:r>
    </w:p>
    <w:p>
      <w:pPr>
        <w:spacing w:after="0" w:line="133" w:lineRule="exact"/>
        <w:rPr>
          <w:sz w:val="20"/>
          <w:szCs w:val="20"/>
          <w:color w:val="auto"/>
        </w:rPr>
      </w:pPr>
    </w:p>
    <w:p>
      <w:pPr>
        <w:ind w:right="240" w:firstLine="445"/>
        <w:spacing w:after="0" w:line="255" w:lineRule="auto"/>
        <w:rPr>
          <w:sz w:val="20"/>
          <w:szCs w:val="20"/>
          <w:color w:val="auto"/>
        </w:rPr>
      </w:pPr>
      <w:r>
        <w:rPr>
          <w:rFonts w:ascii="Arial" w:cs="Arial" w:eastAsia="Arial" w:hAnsi="Arial"/>
          <w:sz w:val="18"/>
          <w:szCs w:val="18"/>
          <w:color w:val="auto"/>
        </w:rPr>
        <w:t>Based on lodging industry data, we have an approximately 16 percent share of the U.S. hotel market (based on number of rooms) and we estimate less than a four percent share of the hotel market outside the U.S. We believe that our hotel brands are attractive to hotel owners seeking a management company or franchise affiliation because our hotels typically generate higher RevPAR than our direct competitors in most market areas. We attribute this performance premium to our success in achieving and maintaining strong guest preference. We believe that the location and quality of our lodging facilities, our marketing programs, our reservation systems, our Loyalty Program, and our emphasis on guest service and guest and associate satisfaction contribute to guest preference across all our brands.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71" w:lineRule="exact"/>
        <w:rPr>
          <w:sz w:val="20"/>
          <w:szCs w:val="20"/>
          <w:color w:val="auto"/>
        </w:rPr>
      </w:pPr>
    </w:p>
    <w:p>
      <w:pPr>
        <w:ind w:right="220" w:firstLine="445"/>
        <w:spacing w:after="0" w:line="277" w:lineRule="auto"/>
        <w:rPr>
          <w:sz w:val="20"/>
          <w:szCs w:val="20"/>
          <w:color w:val="auto"/>
        </w:rPr>
      </w:pPr>
      <w:r>
        <w:rPr>
          <w:rFonts w:ascii="Arial" w:cs="Arial" w:eastAsia="Arial" w:hAnsi="Arial"/>
          <w:sz w:val="18"/>
          <w:szCs w:val="18"/>
          <w:color w:val="auto"/>
        </w:rPr>
        <w:t>In general, business at company-operated and franchised properties fluctuates moderately with the seasons. Business at some resort properties may be more seasonal depending on location.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Capital Management</w:t>
      </w:r>
    </w:p>
    <w:p>
      <w:pPr>
        <w:spacing w:after="0" w:line="171" w:lineRule="exact"/>
        <w:rPr>
          <w:sz w:val="20"/>
          <w:szCs w:val="20"/>
          <w:color w:val="auto"/>
        </w:rPr>
      </w:pPr>
    </w:p>
    <w:p>
      <w:pPr>
        <w:ind w:right="360" w:firstLine="445"/>
        <w:spacing w:after="0" w:line="308" w:lineRule="auto"/>
        <w:rPr>
          <w:sz w:val="20"/>
          <w:szCs w:val="20"/>
          <w:color w:val="auto"/>
        </w:rPr>
      </w:pPr>
      <w:r>
        <w:rPr>
          <w:rFonts w:ascii="Arial" w:cs="Arial" w:eastAsia="Arial" w:hAnsi="Arial"/>
          <w:sz w:val="17"/>
          <w:szCs w:val="17"/>
          <w:color w:val="auto"/>
        </w:rPr>
        <w:t>Marriott’s long history of service, innovation and growth was built on a commitment to take care of people. Today, that commitment is known as TakeCare. Through our TakeCare commitment, we are dedicated to providing opportunity, community, and purpose for all associates.</w:t>
      </w:r>
    </w:p>
    <w:p>
      <w:pPr>
        <w:spacing w:after="0" w:line="92" w:lineRule="exact"/>
        <w:rPr>
          <w:sz w:val="20"/>
          <w:szCs w:val="20"/>
          <w:color w:val="auto"/>
        </w:rPr>
      </w:pPr>
    </w:p>
    <w:p>
      <w:pPr>
        <w:ind w:right="340" w:firstLine="445"/>
        <w:spacing w:after="0" w:line="275" w:lineRule="auto"/>
        <w:rPr>
          <w:sz w:val="20"/>
          <w:szCs w:val="20"/>
          <w:color w:val="auto"/>
        </w:rPr>
      </w:pPr>
      <w:r>
        <w:rPr>
          <w:rFonts w:ascii="Arial" w:cs="Arial" w:eastAsia="Arial" w:hAnsi="Arial"/>
          <w:sz w:val="17"/>
          <w:szCs w:val="17"/>
          <w:color w:val="auto"/>
        </w:rPr>
        <w:t>At year-end 2020, Marriott employed approximately 121,000 associates at properties, customer care centers, and above-property operations. Approximately 98,000 of these associates are located in the U.S., of which approximately 20,000 belong to labor unions. Outside the U.S., some of our associates are represented by trade unions, works councils, or employee associations. These numbers do not include associates employed by our hotel owners (which is common outside the U.S.) or hotel personnel employed by our franchisees or other management companies hired by our franchisees. Marriott manages over 200,000 associates who are employed by hotel owners.</w:t>
      </w:r>
    </w:p>
    <w:p>
      <w:pPr>
        <w:spacing w:after="0" w:line="122"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As a result of COVID-19’s impact on our industry and the significant decline in demand for hotel rooms, we had to take substantial measures to mitigate the negative financial and operational impacts for our hotel owners and our business. These measures included furloughing a substantial number of our associates and implementing reduced work weeks for other associates. These furlough and reduced work week arrangements have ended at our above-property locations, but continue for a significant number of our on-property associates. In addition, to reduce operating costs and improve efficiency, we implemented restructuring plans impacting both on-property and above-property associates, which included a voluntary transition program for certain associates and the elimination of a significant number of positions. Our property-level restructuring plans are ongoing. As a result of COVID-19 and the uncertainty regarding when lodging demand and RevPAR levels will recover, the size of our global workforce remains in transition.</w:t>
      </w:r>
    </w:p>
    <w:p>
      <w:pPr>
        <w:spacing w:after="0" w:line="112" w:lineRule="exact"/>
        <w:rPr>
          <w:sz w:val="20"/>
          <w:szCs w:val="20"/>
          <w:color w:val="auto"/>
        </w:rPr>
      </w:pPr>
    </w:p>
    <w:p>
      <w:pPr>
        <w:ind w:right="120" w:firstLine="445"/>
        <w:spacing w:after="0" w:line="275" w:lineRule="auto"/>
        <w:rPr>
          <w:sz w:val="20"/>
          <w:szCs w:val="20"/>
          <w:color w:val="auto"/>
        </w:rPr>
      </w:pPr>
      <w:r>
        <w:rPr>
          <w:rFonts w:ascii="Arial" w:cs="Arial" w:eastAsia="Arial" w:hAnsi="Arial"/>
          <w:sz w:val="17"/>
          <w:szCs w:val="17"/>
          <w:color w:val="auto"/>
        </w:rPr>
        <w:t>During this period of disruption for our industry, we continue to be focused on the needs of our associates. We made a temporary policy change to offer Company-subsidized health care coverage for eligible U.S. associates on furlough and to reduce the required hours worked to allow eligible U.S. associates to continue to qualify for Company-subsidized health care coverage. Additionally, we implemented new policies and protocols designed to help minimize the spread of COVID-19 at our hotels and protect our on-property associates, such as requiring all associates to wear face coverings in indoor public areas, enhancing our already rigorous cleaning procedures, and maintaining social distancing protocols.</w:t>
      </w:r>
    </w:p>
    <w:p>
      <w:pPr>
        <w:spacing w:after="0" w:line="122" w:lineRule="exact"/>
        <w:rPr>
          <w:sz w:val="20"/>
          <w:szCs w:val="20"/>
          <w:color w:val="auto"/>
        </w:rPr>
      </w:pPr>
    </w:p>
    <w:p>
      <w:pPr>
        <w:ind w:right="100" w:firstLine="445"/>
        <w:spacing w:after="0" w:line="272" w:lineRule="auto"/>
        <w:rPr>
          <w:sz w:val="20"/>
          <w:szCs w:val="20"/>
          <w:color w:val="auto"/>
        </w:rPr>
      </w:pPr>
      <w:r>
        <w:rPr>
          <w:rFonts w:ascii="Arial" w:cs="Arial" w:eastAsia="Arial" w:hAnsi="Arial"/>
          <w:sz w:val="17"/>
          <w:szCs w:val="17"/>
          <w:color w:val="auto"/>
        </w:rPr>
        <w:t>We have a comprehensive compensation and benefits program designed to reward our associates and enrich their well-being. Our policies and practices are designed to avoid pay inequities throughout an associate’s career. In the U.S., salary history inquiries are prohibited during our hiring process and pay equity audits are conducted periodically. In addition, Marriott is focused on the health and well-being of not only our associates, but their families as well. In the U.S., we provide our associates with access to health care coverage, work/life support benefits, and other benefits that support families, including paid parental leave and financial assistance to help with adoption fees. We also offer comprehensive benefits programs for associates outside the U.S., the terms of which vary based on the geographic market. Beginning in 2020, we offered associates free access to a digital tool designed to help with stress management and resiliency.</w:t>
      </w:r>
    </w:p>
    <w:p>
      <w:pPr>
        <w:spacing w:after="0" w:line="123"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At Marriott, our associates’ career well-being is a top priority and we offer programs and resources to support our associates’ career goals, from entry level to management positions. Through skills training programs, professional development opportunities and other learning experiences, we provide associates with a multitude of choices for career and personal growth. We recently launched the Digital Learning Zone, focused on providing associates personalized unique learning paths.</w:t>
      </w:r>
    </w:p>
    <w:p>
      <w:pPr>
        <w:spacing w:after="0" w:line="133" w:lineRule="exact"/>
        <w:rPr>
          <w:sz w:val="20"/>
          <w:szCs w:val="20"/>
          <w:color w:val="auto"/>
        </w:rPr>
      </w:pPr>
    </w:p>
    <w:p>
      <w:pPr>
        <w:ind w:right="260" w:firstLine="445"/>
        <w:spacing w:after="0" w:line="293" w:lineRule="auto"/>
        <w:rPr>
          <w:sz w:val="20"/>
          <w:szCs w:val="20"/>
          <w:color w:val="auto"/>
        </w:rPr>
      </w:pPr>
      <w:r>
        <w:rPr>
          <w:rFonts w:ascii="Arial" w:cs="Arial" w:eastAsia="Arial" w:hAnsi="Arial"/>
          <w:sz w:val="16"/>
          <w:szCs w:val="16"/>
          <w:color w:val="auto"/>
        </w:rPr>
        <w:t>Our company-wide diversity, equity, and inclusion program includes a range of initiatives and programs to support our efforts to make all stakeholders – associates, guests, owners, and suppliers – feel welcome. We have oversight and accountability measures in place to support our focus on equal employment, diversity and inclusion. The Inclusion and Social Impact Committee of our Board of Directors (the “ISI Committee”) helps drive accountability across the Company. Established in 2003, the ISI Committee is chaired by a member of our Board of Directors and comprised of certain other members of the Board and the Company’s senior management team. The ISI Committee assists the Board in carrying out its commitment and responsibilities relating to Marriott’s people-first culture and the Company’s efforts to foster associate well-being and inclusion.</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Sustainability and Social Impact</w:t>
      </w:r>
    </w:p>
    <w:p>
      <w:pPr>
        <w:spacing w:after="0" w:line="158"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Guided by our 2025 sustainability and social impact goals, as well as the United Nations Sustainable Development Goals, we believe we have an opportunity to create a positive and sustainable impact wherever we do business. Our sustainability and social impact platform, Serve 360: Doing Good In Every Direction, is built around four focus areas: Nurture Our World; Sustain Responsible Operations; Empower Through Opportunity; and Welcome All and Advance Human Rights - each with targets to drive our efforts through 2025. These targets reflect our goals to protect and invest in the vitality of the communities and natural environments in which we operate, build and operate sustainable hotels, source responsibly, advance human rights, and mitigate climate-related risk. In 2020, many of our programs and initiatives, including the switch from single-use toiletry bottles to larger, pump-topped bottles, were slowed due to the impact of COVID-19 on our business. Nevertheless, hotels across the globe supported their local communities in need by donating food, cleaning supplies and other essential items and opening their doors to non-profits that needed large event spaces in order to adhere to social distancing protocols and still meet an increase in demand for their community-supporting services. Additionally, together with American Express and JPMorgan Chase, we provided $10 million worth of free hotel stays for frontline healthcare workers. We deployed our Marriott Disaster Relief Fund to provide essential items, such as food vouchers, to Marriott associates in need. Notwithstanding the pandemic, we made progress toward our goal to train 100 percent of on-property personnel in human trafficking awareness by 2025, and in collaboration with a leading anti-trafficking organization, we made our training open-sourced for free access to our industry and beyond. In 2021, we expect to revise and implement sustainability and social impact programming that is most pertinent to the current operating environment, while helping us to address the growing expectations of our stakeholders, increase our operational efficiency and excellence, and enhance our reputation while mitigating risk and supporting the resiliency of our business.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Regulations</w:t>
      </w:r>
    </w:p>
    <w:p>
      <w:pPr>
        <w:spacing w:after="0" w:line="171" w:lineRule="exact"/>
        <w:rPr>
          <w:sz w:val="20"/>
          <w:szCs w:val="20"/>
          <w:color w:val="auto"/>
        </w:rPr>
      </w:pPr>
    </w:p>
    <w:p>
      <w:pPr>
        <w:ind w:right="180" w:firstLine="445"/>
        <w:spacing w:after="0" w:line="259" w:lineRule="auto"/>
        <w:rPr>
          <w:sz w:val="20"/>
          <w:szCs w:val="20"/>
          <w:color w:val="auto"/>
        </w:rPr>
      </w:pPr>
      <w:r>
        <w:rPr>
          <w:rFonts w:ascii="Arial" w:cs="Arial" w:eastAsia="Arial" w:hAnsi="Arial"/>
          <w:sz w:val="18"/>
          <w:szCs w:val="18"/>
          <w:color w:val="auto"/>
        </w:rPr>
        <w:t>As a company with global operations, we are subject to a wide variety of laws, regulations, and government policies in the U.S. and in jurisdictions around the world. Some of the regulations that most affect us include those related to employment practices; health and safety; trade and economic sanctions; competition; anti-bribery and anti-corruption; cybersecurity; data privacy, data localization and the handling of personally identifiable information; the offer and sale of franchises; and liquor sales.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Internet Address and Company SEC Filings</w:t>
      </w:r>
    </w:p>
    <w:p>
      <w:pPr>
        <w:spacing w:after="0" w:line="171"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Our primary Internet address is Marriott.com. On the investor relations portion of our website, Marriott.com/investor, we provide a link to our electronic filings with the SEC, including our annual report on Form 10-K, our quarterly reports on Form 10-Q, our current reports on Form 8-K, and any amendments to these reports. We make all such filings available free of charge as soon as reasonably practicable after filing. The information found on our website is not part of this or any other report we file with or furnish to the SEC.</w:t>
      </w:r>
    </w:p>
    <w:p>
      <w:pPr>
        <w:spacing w:after="0" w:line="12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7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are subject to various risks that make an investment in our securities risky. The events and consequences discussed in these risk factors could, in circumstances we may or may not be able to accurately predict, recognize, or control, have a material adverse effect on our business, liquidity, financial condition, and results of operations. In addition, these risks could cause results to differ materially from those we express in forward-looking statements contained in this Annual Report or in other Company communications. These risk factors do not identify all risks that we face; our operations could also be affected by factors, events, or uncertainties that are not presently known to us or that we currently do not consider to present significant risks to our operations.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Risks Relating to COVID-19</w:t>
      </w:r>
    </w:p>
    <w:p>
      <w:pPr>
        <w:spacing w:after="0" w:line="175"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b w:val="1"/>
          <w:bCs w:val="1"/>
          <w:i w:val="1"/>
          <w:iCs w:val="1"/>
          <w:color w:val="auto"/>
        </w:rPr>
        <w:t>COVID-19 has had a material detrimental impact on our business and financial results, and such impact could continue and may worsen for an unknown period of time.</w:t>
      </w:r>
    </w:p>
    <w:p>
      <w:pPr>
        <w:spacing w:after="0" w:line="116"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COVID-19 has been and continues to be a complex and evolving situation, with governments, public institutions and other organizations imposing or recommending, and businesses and individuals implementing, at various times and to varying degrees, restrictions on various activities or other actions to combat its spread, such as restrictions and bans on travel or transportation; limitations on the size of in-person gatherings; closures of, or occupancy or other operating limitations on, work facilities, lodging facilities, food and beverage establishments, schools, public buildings and businesses; cancellation of events, including sporting events, conferences and meetings; and quarantines and lock-downs. COVID-19 and its consequences have dramatically reduced travel and demand for hotel rooms, which has and will continue to impact our business, operations, and financial results. The extent to which COVID-19 impacts our business, operations, and financial results will depend on the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factors described above and numerous other evolving factors that we may not be able to accurately predict or assess, including the duration and scope of COVID-19; the availability and distribution of effective vaccines or treatments; COVID-19’s impact on global and regional economies and economic activity, including the duration and magnitude of its impact on unemployment rates and consumer discretionary spending; its short and longer-term impact on the demand for travel, transient and group business, and levels of consumer confidence; the ability of our owners and franchisees to successfully navigate the impacts of COVID-19; and how quickly economies, travel activity, and demand for lodging recovers after the pandemic subsides.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COVID-19 has subjected our business, operations and financial condition to a number of risks, including, but not limited to, those discussed below:</w:t>
      </w:r>
    </w:p>
    <w:p>
      <w:pPr>
        <w:spacing w:after="0" w:line="190" w:lineRule="exact"/>
        <w:rPr>
          <w:sz w:val="20"/>
          <w:szCs w:val="20"/>
          <w:color w:val="auto"/>
        </w:rPr>
      </w:pPr>
    </w:p>
    <w:p>
      <w:pPr>
        <w:ind w:left="660" w:hanging="328"/>
        <w:spacing w:after="0" w:line="285" w:lineRule="auto"/>
        <w:tabs>
          <w:tab w:leader="none" w:pos="655"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Risks Related to Revenue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COVID-19 has negatively impacted, and will in the future negatively impact to an extent we are unable to predict,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from managed and franchised hotels, which are primarily based on hotels’ revenues or profits. In addition, COVID-19 and its impact on global and regional economies, and the hospitality industry in particular, has made it difficult for hotel owners and franchisees to obtain financing on attractive terms, or at all, and increased the probability that hotel owners and franchisees will be unable or unwilling to service, repay or refinance existing indebtedness. This has caused, and may in the future continue to cause, some lenders to declare a default, accelerate the related debt, foreclose on the property or exercise other remedies, and some hotel owners or franchisees to declare bankruptcy. If a significant number of our management or franchise agreements are terminated as a result of bankruptcies, sales or foreclosures, our results of operations could be materially adversely affected. Hotel owners or franchisees in bankruptcy may not have sufficient assets to pay us termination fees or other unpaid fees or reimbursements we are owed under their agreements with us. Even if hotel owners or franchisees do not declare bankruptcy, the significant decline in revenues for most hotels has impacted the timely payment of amounts owed to us by some hotel owners and franchisees, and could in the future materially impact the ability or willingness of hotel owners and franchisees to fund working capital or pay us other amounts that we are entitled to on a timely basis or at all, which would adversely affect our liquidity. If a significant number of hotels exit our system as a result of COVID-19, whether as a result of a hotel owner or franchisee bankruptcy, failure to pay amounts owed to us, a negotiated termination, the exercise of contractual termination rights, or otherwise, our revenues and liquidity could be materially adversely affected. COVID-19 has also materially impacted, and could in the future materially impact, other non-hotel related sources of revenues for us, including for example our fees from our co-brand credit card arrangements, which have been and may continue to be affected by COVID-19’s impact on spending patterns of co-brand cardholders and acquisition of new co-brand cardholders. Also, testing our intangible assets or goodwill for impairments due to reduced revenues or cash flows could result in additional charges, which could be material.</w:t>
      </w:r>
    </w:p>
    <w:p>
      <w:pPr>
        <w:spacing w:after="0" w:line="117" w:lineRule="exact"/>
        <w:rPr>
          <w:rFonts w:ascii="Arial" w:cs="Arial" w:eastAsia="Arial" w:hAnsi="Arial"/>
          <w:sz w:val="16"/>
          <w:szCs w:val="16"/>
          <w:b w:val="1"/>
          <w:bCs w:val="1"/>
          <w:i w:val="1"/>
          <w:iCs w:val="1"/>
          <w:color w:val="auto"/>
        </w:rPr>
      </w:pPr>
    </w:p>
    <w:p>
      <w:pPr>
        <w:ind w:left="660" w:hanging="328"/>
        <w:spacing w:after="0" w:line="273" w:lineRule="auto"/>
        <w:tabs>
          <w:tab w:leader="none" w:pos="655"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Risks Related to Owned and Leased Hotels and Other Real Estate Investments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COVID-19 and its impact on travel has reduced demand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nearly all hotels, including our owned and leased hotels and properties owned by entities in which we have an equity investment. As a result, most of our owned and leased hotels and properties in which we have an investment are not generating revenue sufficient to meet expenses, which is adversely affecting our income and could in the future more significantly adversely affect the value of our owned and leased properties or investments. In addition, we have seen and could continue to see entities in which we have an investment experience challenges securing additional or replacement financing to satisfy maturing indebtedness. As a result of the foregoing, we have recognized, and may in the future be required to recognize, significant non-cash impairment charges to our results of operations.</w:t>
      </w:r>
    </w:p>
    <w:p>
      <w:pPr>
        <w:spacing w:after="0" w:line="117" w:lineRule="exact"/>
        <w:rPr>
          <w:rFonts w:ascii="Arial" w:cs="Arial" w:eastAsia="Arial" w:hAnsi="Arial"/>
          <w:sz w:val="17"/>
          <w:szCs w:val="17"/>
          <w:b w:val="1"/>
          <w:bCs w:val="1"/>
          <w:i w:val="1"/>
          <w:iCs w:val="1"/>
          <w:color w:val="auto"/>
        </w:rPr>
      </w:pPr>
    </w:p>
    <w:p>
      <w:pPr>
        <w:ind w:left="660" w:right="20" w:hanging="328"/>
        <w:spacing w:after="0" w:line="286" w:lineRule="auto"/>
        <w:tabs>
          <w:tab w:leader="none" w:pos="655"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Risks Related to Operations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Because of the significant decline in the demand for hotel rooms, we have taken steps to reduce operating costs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improve efficiency, including furloughing a substantial number of our associates and implementing reduced work weeks for other associates, implementing a voluntary transition program for certain associates, eliminating a significant number of above-property and on-property positions, and modifying food and beverage offerings and other services and amenities. Such steps, and further changes we could make in the future to reduce costs for us or our hotel owners or franchisees (including ongoing property-level restructuring plans), may negatively impact guest loyalty, owner preference, or our ability to attract and retain associates, and our reputation and market share may suffer as a result. For example, loss of our personnel may cause us to experience operational challenges that impact guest loyalty, owner preference, and our market share, which could limit our ability to maintain or expand our business and could reduce our profits. Further, reputational damage from, and the financial impact of, position eliminations, furloughs or reduced work weeks could lead associates to depart the Company and could make it harder for us or the managers of our franchised properties to recruit new associates in the future. In addition, if we or our hotel owners or franchisees are unable to access capital to make physical improvements to our hotels, the quality of our hotels may suffer, which may negatively impact our reputation and guest loyalty, and our revenue and market share may suffer as a result. We have received demands or requests from labor unions that represent our associates and may face additional demands, whether in the course of our periodic renegotiation of our collective bargaining agreements or otherwise, for additional compensation, healthcare benefits or other terms as a result of COVID-19 that</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right="240"/>
        <w:spacing w:after="0" w:line="301" w:lineRule="auto"/>
        <w:rPr>
          <w:sz w:val="20"/>
          <w:szCs w:val="20"/>
          <w:color w:val="auto"/>
        </w:rPr>
      </w:pPr>
      <w:r>
        <w:rPr>
          <w:rFonts w:ascii="Arial" w:cs="Arial" w:eastAsia="Arial" w:hAnsi="Arial"/>
          <w:sz w:val="16"/>
          <w:szCs w:val="16"/>
          <w:color w:val="auto"/>
        </w:rPr>
        <w:t>could increase costs, and we could experience labor disputes or disruptions as we continue to operate under our COVID-19 mitigation and recovery plans. COVID-19 could also negatively affect our internal control over financial and other reporting, as many of our personnel have departed the Company as a result of our voluntary transition program and position eliminations, and our remaining personnel are often working from home. In addition, new processes, procedures and controls could be required to respond to changes in our business environment.</w:t>
      </w:r>
    </w:p>
    <w:p>
      <w:pPr>
        <w:spacing w:after="0" w:line="99" w:lineRule="exact"/>
        <w:rPr>
          <w:sz w:val="20"/>
          <w:szCs w:val="20"/>
          <w:color w:val="auto"/>
        </w:rPr>
      </w:pPr>
    </w:p>
    <w:p>
      <w:pPr>
        <w:ind w:left="660" w:hanging="328"/>
        <w:spacing w:after="0" w:line="285" w:lineRule="auto"/>
        <w:tabs>
          <w:tab w:leader="none" w:pos="655" w:val="left"/>
        </w:tabs>
        <w:numPr>
          <w:ilvl w:val="0"/>
          <w:numId w:val="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Risks Related to Expenses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COVID-19 has caused us to incur additional expenses and will continue to cause us to incur additional expenses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future which are not fully reimbursed or offset by revenues. For example, we have already incurred certain expenses related to furloughs, our voluntary transition program and position eliminations, and we expect additional charges related to our property-level restructuring activities discussed in Note 3 in future periods. Also, if a hotel closes and has employees covered by an underfunded multi-employer pension plan, we may need to pay withdrawal liability to the plan as result of such closure if it is determined that there has been a complete or partial withdrawal from the plan, and we may be unable to collect reimbursement from the hotel owner. In addition, COVID-19 could make it more likely that we have to fund shortfalls in operating profit under our agreements with some hotel owners or fund financial guarantees we have made to third-party lenders for the timely repayment of all or a portion of certain hotel owners’ or franchisees’ debt related to hotels that we manage or franchise, beyond the amounts funded or the additional guarantee reserves recorded in 2020. COVID-19 also makes it more likely our hotel owners or franchisees will default on loans we have made to them or will fail to reimburse us for guarantee advances. Our ability to recover loans and guarantee advances from hotel operations or from hotel owners or franchisees through the proceeds of hotel sales, refinancing of debt or otherwise may also affect our ability to recycle and raise new capital. Even in situations where we are not obligated to provide funding to hotel owners, franchisees or entities in which we have a noncontrolling interest, we may choose to provide financial or other types of support to certain of these parties, which could materially increase our expenses. While governments have and may continue to implement various stimulus and relief programs, it is uncertain whether existing programs will be effective in mitigating the impacts of COVID-19 and, with respect to future programs, to what extent we or our hotel owners or franchisees will be eligible to participate and whether conditions or restrictions imposed under such programs will be acceptable. As a result of COVID-19, we and our hotel owners and franchisees have experienced and could continue to experience other short or longer-term impacts on costs, for example, related to enhanced health and hygiene requirements. These effects have and could continue to impact our ability to generate profits even after revenues improve.</w:t>
      </w:r>
    </w:p>
    <w:p>
      <w:pPr>
        <w:spacing w:after="0" w:line="114" w:lineRule="exact"/>
        <w:rPr>
          <w:rFonts w:ascii="Arial" w:cs="Arial" w:eastAsia="Arial" w:hAnsi="Arial"/>
          <w:sz w:val="16"/>
          <w:szCs w:val="16"/>
          <w:b w:val="1"/>
          <w:bCs w:val="1"/>
          <w:i w:val="1"/>
          <w:iCs w:val="1"/>
          <w:color w:val="auto"/>
        </w:rPr>
      </w:pPr>
    </w:p>
    <w:p>
      <w:pPr>
        <w:ind w:left="660" w:hanging="328"/>
        <w:spacing w:after="0" w:line="269" w:lineRule="auto"/>
        <w:tabs>
          <w:tab w:leader="none" w:pos="655"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Risks Related to Growth</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growth has been, and may continue to be, harmed by COVID-19 and its various impacts as discussed above. Many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current and prospective hotel owners and franchisees are finding it difficult or impossible to obtain hotel financing on commercially viable terms. COVID-19 has caused and may continue to cause some projects that are in construction or development to be unable to draw on existing financing commitments or secure additional or replacement financing to complete construction, and additional or replacement financing that is available may be on less favorable terms. COVID-19 has caused and may continue to cause construction delays due to government restrictions and shortages of workers or supplies. As a result, some of the properties in our development pipeline will not enter our system when we anticipated, or at all. We have seen, and may continue to see, opening delays and a decrease in the rate at which new projects enter our pipeline, and we may see an increase in the number of projects that fall out of our pipeline as a result of project cancellations or other factors. These effects on our pipeline have reduced and will continue to reduce our ability to realize fees or realize returns on equity investments from such projects. We expect we could potentially see more existing hotels exit our system as a result of COVID-19, and a significant number of such exits could negatively impact the overall growth of our system and our business prospects.</w:t>
      </w:r>
    </w:p>
    <w:p>
      <w:pPr>
        <w:spacing w:after="0" w:line="127" w:lineRule="exact"/>
        <w:rPr>
          <w:rFonts w:ascii="Arial" w:cs="Arial" w:eastAsia="Arial" w:hAnsi="Arial"/>
          <w:sz w:val="17"/>
          <w:szCs w:val="17"/>
          <w:b w:val="1"/>
          <w:bCs w:val="1"/>
          <w:i w:val="1"/>
          <w:iCs w:val="1"/>
          <w:color w:val="auto"/>
        </w:rPr>
      </w:pPr>
    </w:p>
    <w:p>
      <w:pPr>
        <w:ind w:left="660" w:hanging="328"/>
        <w:spacing w:after="0" w:line="269"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Risks Related to Liquidity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2020, we made significant borrowings under our $4.5 billion Credit Facility and completed offerings of $3.6 billion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aggregate principal amount of senior notes to preserve financial flexibility in light of the impact on global markets resulting from COVID-19. We may be required to raise additional capital again in the future to fund our operating expenses and repay maturing debt. In 2020, we raised $920 million of cash through amendments to agreements with the U.S. issuers of our co-brand credit cards associated with our Loyalty Program, and this option to raise capital will likely not be available again to us in the near future and will reduce the amount of cash we will receive in the future from these card issuers, which may increase the need for us to raise additional capital from other sources. In addition, we have seen increases in our cost of borrowing as a result of COVID-19 and such costs may increase even further for a time we are unable to determine. If we are required to raise additional capital, our access to and cost of financing will depend on, among other things, conditions in the global financing markets, the availability of sufficient amounts of financing, our prospects, our credit ratings, and the outlook for the hotel industry as a whole. As a result of COVID-19, credit agencies have downgraded our credit ratings. If our credit ratings were to be further downgraded, or general market conditions were to ascribe higher risk to our credit rating levels, our industry, or our Company, our access to capital and the cost of debt financing will be further negatively impacted. The interest rate we pay on many of our existing debt instruments, including the Credit Facility and some of our senior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right="20"/>
        <w:spacing w:after="0" w:line="269" w:lineRule="auto"/>
        <w:rPr>
          <w:sz w:val="20"/>
          <w:szCs w:val="20"/>
          <w:color w:val="auto"/>
        </w:rPr>
      </w:pPr>
      <w:r>
        <w:rPr>
          <w:rFonts w:ascii="Arial" w:cs="Arial" w:eastAsia="Arial" w:hAnsi="Arial"/>
          <w:sz w:val="17"/>
          <w:szCs w:val="17"/>
          <w:color w:val="auto"/>
        </w:rPr>
        <w:t>notes, is affected by our credit ratings. Accordingly, a downgrade may cause our cost of borrowing to further increase. Additionally, certain of our existing commercial agreements may require us to post or increase collateral in the event of further downgrades. In addition, our latest amendments to our Credit Facility increase the minimum liquidity we are required to maintain for the duration of the waiver period as discussed in Note 10, and the terms of future debt agreements could include more restrictive covenants, or require incremental collateral, which may further restrict our business operations or cause future financing to be unavailable due to our covenant restrictions then in effect. Also, if we are unable to comply with the covenants under our Credit Facility, the lenders under our Credit Facility will have the right to terminate their commitments thereunder and declare the outstanding loans thereunder to be immediately due and payable. A default under our Credit Facility could trigger a cross-default, acceleration or other consequences under other indebtedness, financial instruments or agreements to which we are a party. There is no guarantee that debt financings will be available in the future to fund our obligations, or will be available on terms consistent with our expectations. Additionally, the impact of COVID-19 on the financial markets is expected to adversely impact our ability to raise funds through equity financings.</w:t>
      </w:r>
    </w:p>
    <w:p>
      <w:pPr>
        <w:spacing w:after="0" w:line="12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COVID-19, and the volatile regional and global economic conditions stemming from COVID-19, as well as reactions to future pandemics or resurgences of COVID-19, could also give rise to, aggravate and impact our ability to allocate resources to mitigate the other risks that we identify below, which in turn could materially adversely affect our business, liquidity, financial condition, and results of operations. Further, COVID-19 may also affect our operating and financial results in a manner that is not presently known to us or that we currently do not consider to present significant risks to our operations.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Risks Relating to Our Industry</w:t>
      </w:r>
    </w:p>
    <w:p>
      <w:pPr>
        <w:spacing w:after="0" w:line="175"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b w:val="1"/>
          <w:bCs w:val="1"/>
          <w:i w:val="1"/>
          <w:iCs w:val="1"/>
          <w:color w:val="auto"/>
        </w:rPr>
        <w:t xml:space="preserve">Our industry is highly competitive, which may impact our ability to compete successfully for guests with other hotel properties and home sharing or rental services. </w:t>
      </w:r>
      <w:r>
        <w:rPr>
          <w:rFonts w:ascii="Arial" w:cs="Arial" w:eastAsia="Arial" w:hAnsi="Arial"/>
          <w:sz w:val="17"/>
          <w:szCs w:val="17"/>
          <w:color w:val="auto"/>
        </w:rPr>
        <w:t>We operate in markets that contain many competitors. Each of our hotel brands and our home rental offering competes with major hotel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chains, regional hotel chains, independent hotels, and home sharing and rental services across national and international venues. Our ability to remain competitive and attract and retain business and leisure travelers depends on our success in distinguishing the quality, value, and efficiency of our lodging products and services, including our Loyalty Program, direct booking channels, and consumer-facing technology platforms and services, from those offered by others. If we cannot compete successfully in these areas, our operating margins could contract, our market share could decrease, and our earnings could decline. Further, new lodging supply in individual markets could have a negative impact on the hotel industry and hamper our ability to increase room rates or occupancy in those markets.</w:t>
      </w:r>
    </w:p>
    <w:p>
      <w:pPr>
        <w:spacing w:after="0" w:line="124" w:lineRule="exact"/>
        <w:rPr>
          <w:sz w:val="20"/>
          <w:szCs w:val="20"/>
          <w:color w:val="auto"/>
        </w:rPr>
      </w:pPr>
    </w:p>
    <w:p>
      <w:pPr>
        <w:ind w:right="240" w:firstLine="405"/>
        <w:spacing w:after="0" w:line="275" w:lineRule="auto"/>
        <w:rPr>
          <w:sz w:val="20"/>
          <w:szCs w:val="20"/>
          <w:color w:val="auto"/>
        </w:rPr>
      </w:pPr>
      <w:r>
        <w:rPr>
          <w:rFonts w:ascii="Arial" w:cs="Arial" w:eastAsia="Arial" w:hAnsi="Arial"/>
          <w:sz w:val="17"/>
          <w:szCs w:val="17"/>
          <w:b w:val="1"/>
          <w:bCs w:val="1"/>
          <w:i w:val="1"/>
          <w:iCs w:val="1"/>
          <w:color w:val="auto"/>
        </w:rPr>
        <w:t xml:space="preserve">Economic downturns and other global, national, and regional conditions could further impact our financial results and growth. </w:t>
      </w:r>
      <w:r>
        <w:rPr>
          <w:rFonts w:ascii="Arial" w:cs="Arial" w:eastAsia="Arial" w:hAnsi="Arial"/>
          <w:sz w:val="17"/>
          <w:szCs w:val="17"/>
          <w:color w:val="auto"/>
        </w:rPr>
        <w:t>Because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conduct our business on a global platform, changes in global, national, or regional economies, governmental policies (including in areas such as trade, travel, immigration, healthcare, and related issues), and geopolitical and social conditions impact our activities. Our business is impacted by decreases in travel resulting from weak economic conditions, changes in energy prices and currency values, political instability, heightened travel security measures, travel advisories, disruptions in air travel, and concerns over disease, violence, war, or terrorism.</w:t>
      </w:r>
    </w:p>
    <w:p>
      <w:pPr>
        <w:spacing w:after="0" w:line="122"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As discussed in “Risks Relating to COVID-19,” our performance has been materially affected by some of these conditions and could be further materially affected if these conditions worsen, arise in the future, or extend longer than anticipated, or in other circumstances that we are not able to predict or mitigate. Even after COVID-19 subsides or effective vaccines or treatments become widely available, our business, markets, growth prospects and business model could continue to be materially impacted or altered.</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Risks Relating to Our Business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Operational Risks</w:t>
      </w:r>
    </w:p>
    <w:p>
      <w:pPr>
        <w:spacing w:after="0" w:line="171"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b w:val="1"/>
          <w:bCs w:val="1"/>
          <w:i w:val="1"/>
          <w:iCs w:val="1"/>
          <w:color w:val="auto"/>
        </w:rPr>
        <w:t xml:space="preserve">Premature termination of our management or franchise agreements could hurt our financial performance. </w:t>
      </w:r>
      <w:r>
        <w:rPr>
          <w:rFonts w:ascii="Arial" w:cs="Arial" w:eastAsia="Arial" w:hAnsi="Arial"/>
          <w:sz w:val="16"/>
          <w:szCs w:val="16"/>
          <w:color w:val="auto"/>
        </w:rPr>
        <w:t>Our hotel management and franchise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agreements may be subject to premature termination in certain circumstances, such as the bankruptcy of a hotel owner or franchisee, the failure of the hotel owner or franchisee to comply with its payment or other obligations under the agreement, a failure under some agreements to meet specified financial or performance criteria that are subject to the risks described in this section, which we fail or elect not to cure, or in certain limited cases, other negotiated contractual termination rights. Some courts have also applied agency law principles and related fiduciary standards to managers of third-party hotel properties, including us (or have interpreted hotel management agreements to be “personal services contracts”). Property owners may assert the right to terminate management agreements even where the agreements provide otherwise, and some courts have upheld such assertions about our management agreements and may do so in the future. When terminations occur for these or other reasons, we may need to enforce our right to damages for breach of contract and related claims, which may cause us to incur significant legal fees and expenses. We may have difficulty collecting damages from the hotel owner or franchisee, and any damages we ultimately collect could be less than the projected future value of the fees and</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other amounts we would have otherwise collected under the management or franchise agreement. A significant loss of these agreements could hurt our financial performance or our ability to grow our business.</w:t>
      </w:r>
    </w:p>
    <w:p>
      <w:pPr>
        <w:spacing w:after="0" w:line="116" w:lineRule="exact"/>
        <w:rPr>
          <w:sz w:val="20"/>
          <w:szCs w:val="20"/>
          <w:color w:val="auto"/>
        </w:rPr>
      </w:pPr>
    </w:p>
    <w:p>
      <w:pPr>
        <w:ind w:right="120" w:firstLine="405"/>
        <w:spacing w:after="0" w:line="269" w:lineRule="auto"/>
        <w:rPr>
          <w:sz w:val="20"/>
          <w:szCs w:val="20"/>
          <w:color w:val="auto"/>
        </w:rPr>
      </w:pPr>
      <w:r>
        <w:rPr>
          <w:rFonts w:ascii="Arial" w:cs="Arial" w:eastAsia="Arial" w:hAnsi="Arial"/>
          <w:sz w:val="17"/>
          <w:szCs w:val="17"/>
          <w:b w:val="1"/>
          <w:bCs w:val="1"/>
          <w:i w:val="1"/>
          <w:iCs w:val="1"/>
          <w:color w:val="auto"/>
        </w:rPr>
        <w:t xml:space="preserve">Disagreements with owners of hotels that we manage or franchise may result in litigation or delay implementation of product or service initiatives. </w:t>
      </w:r>
      <w:r>
        <w:rPr>
          <w:rFonts w:ascii="Arial" w:cs="Arial" w:eastAsia="Arial" w:hAnsi="Arial"/>
          <w:sz w:val="17"/>
          <w:szCs w:val="17"/>
          <w:color w:val="auto"/>
        </w:rPr>
        <w:t>Consistent with our focus on management and franchising, we own very few of our lodging properties. The nature of our responsibilities 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management agreements to manage each hotel and enforce the standards required for our brands under both management and franchise agreements may be subject to interpretation and will from time to time give rise to disagreements, which may include disagreements over the need for or payment for new product, service or systems initiatives, the timing and amount of capital investments, and reimbursement for operating costs, system costs, or other amounts. Such disagreements may become more likely in the current environment and during other periods when hotel returns are weaker. We seek to resolve any disagreements to develop and maintain positive relations with current and potential hotel owners, franchisees, and real estate investment partners, but we cannot always do so. Failure to resolve such disagreements has resulted in litigation, and could do so in the future. If any such litigation results in an adverse judgment, settlement, or court order, we could suffer significant losses, our profits could be reduced, or our future ability to operate our business could be constrained.</w:t>
      </w:r>
    </w:p>
    <w:p>
      <w:pPr>
        <w:spacing w:after="0" w:line="131"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b w:val="1"/>
          <w:bCs w:val="1"/>
          <w:i w:val="1"/>
          <w:iCs w:val="1"/>
          <w:color w:val="auto"/>
        </w:rPr>
        <w:t xml:space="preserve">An increase in the use of third-party Internet services to book online hotel reservations could adversely impact our business. </w:t>
      </w:r>
      <w:r>
        <w:rPr>
          <w:rFonts w:ascii="Arial" w:cs="Arial" w:eastAsia="Arial" w:hAnsi="Arial"/>
          <w:sz w:val="16"/>
          <w:szCs w:val="16"/>
          <w:color w:val="auto"/>
        </w:rPr>
        <w:t>Some of our hotel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rooms are booked through Internet travel intermediaries such as Expedia.com, Priceline.com, Booking.com, Travelocity.com, and Orbitz.com, as well as lesser-known online travel service providers. These intermediaries initially focused on leisure travel, but now also provide offerings for corporate travel and group meetings. Although our Best Rate Guarantee and Member Rate programs have helped limit guest preference shift to intermediaries and greatly reduced the ability of intermediaries to undercut the published rates at our hotels, intermediaries continue to use a variety of aggressive online marketing methods to attract guests, including the purchase by certain companies of trademarked online keywords such as “Marriott” from Internet search engines such as Google, Bing, Yahoo, and Baidu to steer guests toward their websites (a practice that has been challenged by various trademark owners in federal court). Our business and profitability could be harmed to the extent that online intermediaries succeed in significantly shifting loyalties from our lodging brands to their travel services, diverting bookings away from our direct online channels, or through their fees, increasing the overall cost of Internet bookings for our hotels. In addition, if we are not able to negotiate new agreements on satisfactory terms when our existing contracts with intermediaries (which generally have 2- to 3- year terms) come up for renewal, our business and prospects could be negatively impacted in a number of ways. For example, if newly negotiated agreements are on terms less favorable to our hotels than the expiring agreements, or if we are not able to negotiate new agreements and our hotels no longer appear on intermediary websites, our bookings could decline, our profits (and the operating profits of hotels in our system) could decline, and customers and owners may be less attracted to our brands. We may not be able to recapture or offset any such loss of business through actions we take to enhance our direct marketing and reservation channels or to rely on other channels or other intermediary websites.</w:t>
      </w:r>
    </w:p>
    <w:p>
      <w:pPr>
        <w:spacing w:after="0" w:line="113" w:lineRule="exact"/>
        <w:rPr>
          <w:sz w:val="20"/>
          <w:szCs w:val="20"/>
          <w:color w:val="auto"/>
        </w:rPr>
      </w:pPr>
    </w:p>
    <w:p>
      <w:pPr>
        <w:ind w:right="60" w:firstLine="405"/>
        <w:spacing w:after="0"/>
        <w:rPr>
          <w:sz w:val="20"/>
          <w:szCs w:val="20"/>
          <w:color w:val="auto"/>
        </w:rPr>
      </w:pPr>
      <w:r>
        <w:rPr>
          <w:rFonts w:ascii="Arial" w:cs="Arial" w:eastAsia="Arial" w:hAnsi="Arial"/>
          <w:sz w:val="18"/>
          <w:szCs w:val="18"/>
          <w:b w:val="1"/>
          <w:bCs w:val="1"/>
          <w:i w:val="1"/>
          <w:iCs w:val="1"/>
          <w:color w:val="auto"/>
        </w:rPr>
        <w:t xml:space="preserve">Our growth strategy depends upon attracting third-party owners and franchisees to our platform, and future arrangements with these third parties may be less favorable to us, depending on the terms offered by our competitors. </w:t>
      </w:r>
      <w:r>
        <w:rPr>
          <w:rFonts w:ascii="Arial" w:cs="Arial" w:eastAsia="Arial" w:hAnsi="Arial"/>
          <w:sz w:val="18"/>
          <w:szCs w:val="18"/>
          <w:color w:val="auto"/>
        </w:rPr>
        <w:t>Our growth strategy for adding lodging facilities entails entering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and maintaining various arrangements with property owners. The terms of our management agreements and franchise agreements for each of our lodging facilities are influenced by contract terms offered by our competitors, among other things. We cannot assure you that any of our current arrangements will continue or that we will be able to enter into future arrangements, renew agreements, or enter into new agreements in the future on terms that are as favorable to us as those that exist today.</w:t>
      </w:r>
    </w:p>
    <w:p>
      <w:pPr>
        <w:spacing w:after="0" w:line="135" w:lineRule="exact"/>
        <w:rPr>
          <w:sz w:val="20"/>
          <w:szCs w:val="20"/>
          <w:color w:val="auto"/>
        </w:rPr>
      </w:pPr>
    </w:p>
    <w:p>
      <w:pPr>
        <w:ind w:right="60" w:firstLine="405"/>
        <w:spacing w:after="0" w:line="287" w:lineRule="auto"/>
        <w:rPr>
          <w:sz w:val="20"/>
          <w:szCs w:val="20"/>
          <w:color w:val="auto"/>
        </w:rPr>
      </w:pPr>
      <w:r>
        <w:rPr>
          <w:rFonts w:ascii="Arial" w:cs="Arial" w:eastAsia="Arial" w:hAnsi="Arial"/>
          <w:sz w:val="16"/>
          <w:szCs w:val="16"/>
          <w:b w:val="1"/>
          <w:bCs w:val="1"/>
          <w:i w:val="1"/>
          <w:iCs w:val="1"/>
          <w:color w:val="auto"/>
        </w:rPr>
        <w:t xml:space="preserve">The growing significance of our operations outside of the U.S. makes us increasingly susceptible to the risks of doing business internationally, which could lower our revenues, increase our costs, reduce our profits, disrupt our business, or damage our reputation. </w:t>
      </w:r>
      <w:r>
        <w:rPr>
          <w:rFonts w:ascii="Arial" w:cs="Arial" w:eastAsia="Arial" w:hAnsi="Arial"/>
          <w:sz w:val="16"/>
          <w:szCs w:val="16"/>
          <w:color w:val="auto"/>
        </w:rPr>
        <w:t>A significant number of rooms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our system are located outside of the U.S. and its territories. To the extent that our international operations continue to grow, this increasingly exposes us to the challenges and risks of doing business outside the U.S., many of which are outside of our control, and which could materially reduce our revenues or profits, materially increase our costs, result in significant liabilities or sanctions, significantly disrupt our business, or significantly damage our reputation. These challenges and risks include: (1) compliance with complex and changing laws, regulations and government policies that may impact our operations, such as foreign ownership restrictions, import and export controls, trade restrictions, and health and safety requirements; (2) compliance with U.S. and foreign laws that affect the activities of companies abroad, such as competition laws, cybersecurity and privacy laws, data localization requirements, currency regulations, national security laws, trade and economic sanctions, and other laws affecting dealings with certain nations; (3) the difficulties involved in managing an organization doing business in many different countries; (4) uncertainties as to the enforceability of contract and intellectual property rights under local laws; and (5) rapid changes in government policy, political or civil unrest, acts of terrorism, war, pandemics or other health emergencies, border control measures or other travel restrictions, or the threat of international boycotts or U.S. anti-boycott legislation.</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firstLine="405"/>
        <w:spacing w:after="0" w:line="285" w:lineRule="auto"/>
        <w:rPr>
          <w:sz w:val="20"/>
          <w:szCs w:val="20"/>
          <w:color w:val="auto"/>
        </w:rPr>
      </w:pPr>
      <w:r>
        <w:rPr>
          <w:rFonts w:ascii="Arial" w:cs="Arial" w:eastAsia="Arial" w:hAnsi="Arial"/>
          <w:sz w:val="16"/>
          <w:szCs w:val="16"/>
          <w:b w:val="1"/>
          <w:bCs w:val="1"/>
          <w:i w:val="1"/>
          <w:iCs w:val="1"/>
          <w:color w:val="auto"/>
        </w:rPr>
        <w:t xml:space="preserve">Any failure by our international operations to comply with anti-corruption laws or trade sanctions could increase our costs, reduce our profits, limit our growth, harm our reputation, or subject us to broader liability. </w:t>
      </w:r>
      <w:r>
        <w:rPr>
          <w:rFonts w:ascii="Arial" w:cs="Arial" w:eastAsia="Arial" w:hAnsi="Arial"/>
          <w:sz w:val="16"/>
          <w:szCs w:val="16"/>
          <w:color w:val="auto"/>
        </w:rPr>
        <w:t>We are subject to restrictions imposed by the U.S. Foreign Corrupt Practices Act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anti-corruption laws and regulations of other countries applicable to our operations, such as the U.K. Bribery Act. Anti-corruption laws and regulations generally prohibit companies and their intermediaries from making certain payments to government officials or other persons in order to influence official acts or decisions or to obtain or retain business. These laws also require us to maintain adequate internal controls and accurate books and records. We have properties in many parts of the world where corruption is common, and our compliance with anti-corruption laws may potentially conflict with local customs and practices. The compliance programs, internal controls and policies we maintain and enforce to promote compliance with applicable anti-bribery and anti-corruption laws may not prevent our associates, contractors, or agents from acting in ways prohibited by these laws and regulations. We are also subject to trade sanctions and regulations administered by the U.S. Office of Foreign Assets Control, the U.S. Department of Commerce, and other U.S. government agencies, and authorities in other countries where we do business. Our compliance programs and internal controls also may not prevent conduct that is prohibited under these rules. The U.S. or other countries may impose additional sanctions at any time against any country in or with which, or persons or entities with whom, we do business. Depending on the nature of the sanctions imposed, our operations in the relevant country or with the relevant individual or entity could be restricted or otherwise adversely affected. Any violations of anti-corruption laws and regulations or trade sanctions could result in significant civil and criminal penalties, reduce our profits, disrupt or have a material adverse effect on our business, damage our reputation, or result in lawsuits or regulatory actions being brought against the Company or its officers or directors. In addition, the operation of these laws and regulations or an imposition of further restrictions in these areas could increase our cost of operations, reduce our profits, or cause us to forgo development opportunities, cease operations in certain countries, or limit certain business operations that would otherwise support growth.</w:t>
      </w:r>
    </w:p>
    <w:p>
      <w:pPr>
        <w:spacing w:after="0" w:line="12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b w:val="1"/>
          <w:bCs w:val="1"/>
          <w:i w:val="1"/>
          <w:iCs w:val="1"/>
          <w:color w:val="auto"/>
        </w:rPr>
        <w:t xml:space="preserve">Exchange rate fluctuations and foreign exchange hedging arrangements could result in significant foreign currency gains and losses and affect our business results. </w:t>
      </w:r>
      <w:r>
        <w:rPr>
          <w:rFonts w:ascii="Arial" w:cs="Arial" w:eastAsia="Arial" w:hAnsi="Arial"/>
          <w:sz w:val="17"/>
          <w:szCs w:val="17"/>
          <w:color w:val="auto"/>
        </w:rPr>
        <w:t>We earn revenues and incur expenses in foreign currencies as part of our operations outside of the U.S. Accordingly, fluctuations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currency exchange rates may significantly increase the amount of U.S. dollars required for foreign currency expenses or significantly decrease the U.S. dollars we receive from foreign currency revenues. We are also exposed to currency translation risk because the results of our non-U.S. business are generally reported in local currency, which we then translate to U.S. dollars for inclusion in our Financial Statements. As a result, exchange rate changes between foreign currencies and the U.S. dollar affect the amounts we record for our foreign assets, liabilities, revenues and expenses, and could have a negative effect on our financial results. We expect that our exposure to foreign currency exchange rate fluctuations will grow as the relative contribution of our non-U.S. operations increases. We enter into foreign exchange hedging agreements with financial institutions to mitigate exposure to some of the foreign currency fluctuations, but these efforts may not be successful. These hedging agreements also do not cover all currencies in which we do business, do not eliminate foreign currency risk entirely for the currencies that they do cover, and involve costs and risks of their own in the form of transaction costs, credit requirements and counterparty risk.</w:t>
      </w:r>
    </w:p>
    <w:p>
      <w:pPr>
        <w:spacing w:after="0" w:line="128"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b w:val="1"/>
          <w:bCs w:val="1"/>
          <w:i w:val="1"/>
          <w:iCs w:val="1"/>
          <w:color w:val="auto"/>
        </w:rPr>
        <w:t xml:space="preserve">Our business depends on the quality and reputation of our Company and our brands, and any deterioration could adversely impact our market share, reputation, business, financial condition, or results of operations. </w:t>
      </w:r>
      <w:r>
        <w:rPr>
          <w:rFonts w:ascii="Arial" w:cs="Arial" w:eastAsia="Arial" w:hAnsi="Arial"/>
          <w:sz w:val="17"/>
          <w:szCs w:val="17"/>
          <w:color w:val="auto"/>
        </w:rPr>
        <w:t>Many factors can affect the reputation of one or more of our properties or brands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the value of our brands, including service, food quality and safety, safety of our guests and associates, our approach to health and cleanliness, our approach to managing and reducing our carbon footprint, availability and management of scarce natural resources, supply chain management, ability to protect and use our brands and trademarks, diversity, human rights, and support for local communities. Reputational value is also based on perceptions, and broad access to social media makes it easy for anyone to provide public feedback that can influence perceptions of us, our brands and our hotels, and it may be difficult to control or effectively manage negative publicity, regardless of whether it is accurate. While reputations may take decades to build, negative incidents can quickly erode trust and confidence, particularly if they result in adverse mainstream and social media publicity, governmental investigations or penalties, or litigation. Negative incidents could lead to tangible adverse effects on our business, including lost sales, boycotts, reduced enrollment and/or participation in our Loyalty Program, loss of development opportunities, adverse government attention, or associate retention and recruiting difficulties. Any material decline in the reputation or perceived quality of our brands or corporate image could affect our market share, reputation, business, financial condition, or results of operations.</w:t>
      </w:r>
    </w:p>
    <w:p>
      <w:pPr>
        <w:spacing w:after="0" w:line="125"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b w:val="1"/>
          <w:bCs w:val="1"/>
          <w:i w:val="1"/>
          <w:iCs w:val="1"/>
          <w:color w:val="auto"/>
        </w:rPr>
        <w:t xml:space="preserve">Actions by our franchisees and licensees or others could adversely affect our image and reputation. </w:t>
      </w:r>
      <w:r>
        <w:rPr>
          <w:rFonts w:ascii="Arial" w:cs="Arial" w:eastAsia="Arial" w:hAnsi="Arial"/>
          <w:sz w:val="17"/>
          <w:szCs w:val="17"/>
          <w:color w:val="auto"/>
        </w:rPr>
        <w:t>We franchise and license many of our brand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names and trademarks to third parties for lodging, timeshare, and residential properties, and with respect to our credit card programs. Under the terms of their agreements with us, these third parties interact directly with guests and others under our brand and trade names. If these third parties fail to maintain or act in accordance with applicable brand standards; experience operational problems, including any data or privacy incident involving guest information or a circumstance involving guest or associate health or safety; or project a brand image inconsistent with ours, then our image and reputation could suffer. Although our agreements with these parties provide us with recourse and remedies in the event of a breach, including termination of the agreements under certain circumstances, it could be expensive or time consuming for us to</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pursue such remedies</w:t>
      </w:r>
      <w:r>
        <w:rPr>
          <w:rFonts w:ascii="Arial" w:cs="Arial" w:eastAsia="Arial" w:hAnsi="Arial"/>
          <w:sz w:val="18"/>
          <w:szCs w:val="18"/>
          <w:color w:val="1F497D"/>
        </w:rPr>
        <w:t>.</w:t>
      </w:r>
      <w:r>
        <w:rPr>
          <w:rFonts w:ascii="Arial" w:cs="Arial" w:eastAsia="Arial" w:hAnsi="Arial"/>
          <w:sz w:val="18"/>
          <w:szCs w:val="18"/>
          <w:color w:val="auto"/>
        </w:rPr>
        <w:t xml:space="preserve"> We also cannot assure you that in every instance a court would ultimately enforce our contractual termination rights or that we could collect any awarded damages from the defaulting party.</w:t>
      </w:r>
    </w:p>
    <w:p>
      <w:pPr>
        <w:spacing w:after="0" w:line="116" w:lineRule="exact"/>
        <w:rPr>
          <w:sz w:val="20"/>
          <w:szCs w:val="20"/>
          <w:color w:val="auto"/>
        </w:rPr>
      </w:pPr>
    </w:p>
    <w:p>
      <w:pPr>
        <w:ind w:right="80" w:firstLine="405"/>
        <w:spacing w:after="0" w:line="269" w:lineRule="auto"/>
        <w:rPr>
          <w:sz w:val="20"/>
          <w:szCs w:val="20"/>
          <w:color w:val="auto"/>
        </w:rPr>
      </w:pPr>
      <w:r>
        <w:rPr>
          <w:rFonts w:ascii="Arial" w:cs="Arial" w:eastAsia="Arial" w:hAnsi="Arial"/>
          <w:sz w:val="17"/>
          <w:szCs w:val="17"/>
          <w:b w:val="1"/>
          <w:bCs w:val="1"/>
          <w:i w:val="1"/>
          <w:iCs w:val="1"/>
          <w:color w:val="auto"/>
        </w:rPr>
        <w:t>Collective bargaining activity and strikes could disrupt our operations, increase our labor costs, and interfere with the ability of our management to focus on executing our business strategies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significant number of associates at our managed, leased, and owned hotels are covered by collective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bargaining agreements. If relationships with our organized associates or the unions that represent them become adverse, then the properties we operate could experience labor disruptions such as strikes, lockouts, boycotts, and public demonstrations. Numerous collective bargaining agreements are typically subject to negotiation each year, and our ability in the past to resolve such negotiations does not mean that we will be able to resolve future negotiations without strikes, disruptions, or on terms that we consider reasonable. Labor disputes and disruptions have in the past, and could in the future, result in adverse publicity and adversely affect operations and revenues at affected hotels. In addition, labor disputes and disruptions could harm our relationship with our associates, result in increased regulatory inquiries and enforcement by governmental authorities, harm our relationships with our guests and customers, divert management attention, and reduce customer demand for our services, all of which could have an adverse effect on our reputation, business, financial condition, or results of operations.</w:t>
      </w:r>
    </w:p>
    <w:p>
      <w:pPr>
        <w:spacing w:after="0" w:line="13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addition, labor regulation and the negotiation of new or existing collective bargaining agreements could lead to higher wage and benefit costs, changes in work rules that raise operating expenses and legal costs, and could impose limitations on our ability or the ability of our third-party property owners to take cost saving measures during economic downturns. We do not have the ability to control the negotiations of collective bargaining agreements covering unionized labor employed by the operators of our franchised properties. Increased unionization of our workforce, new labor legislation or changes in regulations could disrupt our operations, reduce our profitability or interfere with the ability of our management to focus on executing our business strategies.</w:t>
      </w:r>
    </w:p>
    <w:p>
      <w:pPr>
        <w:spacing w:after="0" w:line="138"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b w:val="1"/>
          <w:bCs w:val="1"/>
          <w:i w:val="1"/>
          <w:iCs w:val="1"/>
          <w:color w:val="auto"/>
        </w:rPr>
        <w:t xml:space="preserve">Our business could suffer as the result of the loss of the services of our senior executives or if we cannot attract and retain talented associates. </w:t>
      </w:r>
      <w:r>
        <w:rPr>
          <w:rFonts w:ascii="Arial" w:cs="Arial" w:eastAsia="Arial" w:hAnsi="Arial"/>
          <w:sz w:val="16"/>
          <w:szCs w:val="16"/>
          <w:color w:val="auto"/>
        </w:rPr>
        <w:t>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compete with other companies both within and outside of our industry for talented personnel. If we cannot recruit, train, develop, and retain sufficient numbers of talented associates, we could experience increased associate turnover, decreased guest satisfaction, low morale, inefficiency, or internal control failures. Insufficient numbers of talented associates could also limit our ability to grow and expand our businesses. A shortage of skilled labor could also result in higher wages that would increase our labor costs, which could reduce our profits. In addition, the efforts and abilities of our senior executives are important elements of maintaining our competitive position and driving future growth, and the loss of the services of one or more of our senior executives could result in challenges executing our business strategies or other adverse effects on our business. The impact of COVID-19 on the hospitality industry, and actions that we and others in the hospitality industry have taken and may take in the future with respect to our associates and executives in response to COVID-19, may adversely affect our ability to attract and retain associates and executives in the future.</w:t>
      </w:r>
    </w:p>
    <w:p>
      <w:pPr>
        <w:spacing w:after="0" w:line="112" w:lineRule="exact"/>
        <w:rPr>
          <w:sz w:val="20"/>
          <w:szCs w:val="20"/>
          <w:color w:val="auto"/>
        </w:rPr>
      </w:pPr>
    </w:p>
    <w:p>
      <w:pPr>
        <w:ind w:right="120" w:firstLine="405"/>
        <w:spacing w:after="0" w:line="289" w:lineRule="auto"/>
        <w:rPr>
          <w:sz w:val="20"/>
          <w:szCs w:val="20"/>
          <w:color w:val="auto"/>
        </w:rPr>
      </w:pPr>
      <w:r>
        <w:rPr>
          <w:rFonts w:ascii="Arial" w:cs="Arial" w:eastAsia="Arial" w:hAnsi="Arial"/>
          <w:sz w:val="16"/>
          <w:szCs w:val="16"/>
          <w:b w:val="1"/>
          <w:bCs w:val="1"/>
          <w:i w:val="1"/>
          <w:iCs w:val="1"/>
          <w:color w:val="auto"/>
        </w:rPr>
        <w:t xml:space="preserve">Risks relating to natural or man-made disasters, contagious disease, violence, or war have reduced the demand for lodging, which has adversely affected our revenues. </w:t>
      </w:r>
      <w:r>
        <w:rPr>
          <w:rFonts w:ascii="Arial" w:cs="Arial" w:eastAsia="Arial" w:hAnsi="Arial"/>
          <w:sz w:val="16"/>
          <w:szCs w:val="16"/>
          <w:color w:val="auto"/>
        </w:rPr>
        <w:t>We have seen a decline in travel and reduced demand for lodging due to so called “Acts of God,” such as hurricanes, earthquakes,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tsunamis, floods, volcanic activity, wildfires, and other natural disasters, as well as man-made disasters and the spread of contagious diseases in locations where we own, manage, or franchise properties and areas of the world from which we draw a large number of guests, and these circumstances could continue or worsen in the future to an extent and for durations that we are not able to predict. Actual or threatened war, terrorist activity, political unrest, civil or geopolitical strife, and other acts of violence could have a similar effect. As with the effects we have already experienced from the COVID-19 pandemic, any one or more of these events may reduce the overall demand for lodging, limit the room rates that can be charged, and/or increase our operating costs, all of which could adversely affect our profits. If a terrorist event or other incident of violence were to involve one or more of our branded properties, demand for our properties in particular could suffer disproportionately, which could further hurt our revenues and profits.</w:t>
      </w:r>
    </w:p>
    <w:p>
      <w:pPr>
        <w:spacing w:after="0" w:line="112"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b w:val="1"/>
          <w:bCs w:val="1"/>
          <w:i w:val="1"/>
          <w:iCs w:val="1"/>
          <w:color w:val="auto"/>
        </w:rPr>
        <w:t xml:space="preserve">Insurance may not cover damage to, or losses involving, properties that we own, manage, or franchise, or other aspects of our business, and the cost of such insurance could increase. </w:t>
      </w:r>
      <w:r>
        <w:rPr>
          <w:rFonts w:ascii="Arial" w:cs="Arial" w:eastAsia="Arial" w:hAnsi="Arial"/>
          <w:sz w:val="16"/>
          <w:szCs w:val="16"/>
          <w:color w:val="auto"/>
        </w:rPr>
        <w:t>We require comprehensive property and liability insurance policies for our managed, leased, and owned properties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coverage features and insured limits that we believe are customary. We also require our franchisees to maintain similar levels of insurance. Market forces beyond our control may nonetheless limit the scope of the insurance coverage we, our hotel owners, or our franchisees can obtain, or our or their ability to obtain coverage at reasonable rates. Certain types of losses, generally of a catastrophic nature, such as earthquakes, hurricanes and floods, terrorist acts, pandemics, or liabilities that result from incidents involving the security of information systems, may result in high deductibles, low limits, or may be uninsurable, or the cost of obtaining insurance may be unacceptably high. As a result, we, our hotel owners, and our franchisees may not be successful in obtaining insurance without increases in cost or decreases in coverage levels, or may not be successful in obtaining insurance at all. For example, over the past several years following the severe and widespread damage caused by the 2017 Atlantic hurricane season and other natural disasters coupled with continued large global losses, the property, liability and other insurance markets have seen significant cost increases. Also,</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due to the data security incident involving unauthorized access to the Starwood reservations database, which we initially reported in November 2018 (the “Data Security Incident”), and the state of the cyber insurance market generally, the costs for our cyber insurance increased with both our 2019 and 2020 renewals, and the cost of such insurance could continue to increase for future policy periods. Further, in the event of a substantial loss, the insurance coverage we, our hotel owners, or our franchisees carry may not be sufficient to pay the full market value or replacement cost of any lost investment or in some cases could result in certain losses being totally uninsured. As a result, our revenues and profits could be adversely affected, and for properties we own or lease, we could lose some or all of the capital that we have invested in the property and we could remain obligated for guarantees, debt, or other financial obligations.</w:t>
      </w:r>
    </w:p>
    <w:p>
      <w:pPr>
        <w:spacing w:after="0" w:line="141"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b w:val="1"/>
          <w:bCs w:val="1"/>
          <w:i w:val="1"/>
          <w:iCs w:val="1"/>
          <w:color w:val="auto"/>
        </w:rPr>
        <w:t xml:space="preserve">If our brands, goodwill or other intangible assets become impaired, we may be required to record significant non-cash charges to earnings. </w:t>
      </w:r>
      <w:r>
        <w:rPr>
          <w:rFonts w:ascii="Arial" w:cs="Arial" w:eastAsia="Arial" w:hAnsi="Arial"/>
          <w:sz w:val="16"/>
          <w:szCs w:val="16"/>
          <w:color w:val="auto"/>
        </w:rPr>
        <w:t>As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2020, we had $18.2 billion of goodwill and other intangible assets. We review goodwill and indefinite-lived intangible assets for impairment annually or whenever events or circumstances indicate impairment may have occurred. Estimated fair values of our brands or reporting units could change if, for example, there are changes in the business climate, unanticipated changes in the competitive environment, adverse legal or regulatory actions or developments, changes in guests’ perception and the reputation of our brands, or changes in interest rates, operating cash flows, or market capitalization. Because of the significance of our goodwill and other intangible assets, any future impairment of these assets could require material non-cash charges to our results of operations, which could have a material adverse effect on our reported financial condition and results of operations.</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Development and Financing Risks</w:t>
      </w:r>
    </w:p>
    <w:p>
      <w:pPr>
        <w:spacing w:after="0" w:line="171"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b w:val="1"/>
          <w:bCs w:val="1"/>
          <w:i w:val="1"/>
          <w:iCs w:val="1"/>
          <w:color w:val="auto"/>
        </w:rPr>
        <w:t xml:space="preserve">While we are predominantly a manager and franchisor of hotel properties, our hotel owners and franchisees depend on capital to buy, develop, and improve hotels, and they may be unable to access capital when necessary. </w:t>
      </w:r>
      <w:r>
        <w:rPr>
          <w:rFonts w:ascii="Arial" w:cs="Arial" w:eastAsia="Arial" w:hAnsi="Arial"/>
          <w:sz w:val="17"/>
          <w:szCs w:val="17"/>
          <w:color w:val="auto"/>
        </w:rPr>
        <w:t>Both we and current and potential hotel owners and franchisees must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periodically spend money to fund new hotel investments, as well as to refurbish and improve existing hotels. The availability of funds for new investments and improvement of existing hotels by our current and potential hotel owners and franchisees depends in large measure on their ability to access the capital markets, over which we have little control. Obtaining financing on attractive terms has been, and may in the future be further, constrained by the capital markets for hotel and real estate investments. In addition, owners of existing hotels that we franchise or manage may have difficulty meeting required debt service payments or refinancing loans at maturity.</w:t>
      </w:r>
    </w:p>
    <w:p>
      <w:pPr>
        <w:spacing w:after="0" w:line="123" w:lineRule="exact"/>
        <w:rPr>
          <w:sz w:val="20"/>
          <w:szCs w:val="20"/>
          <w:color w:val="auto"/>
        </w:rPr>
      </w:pPr>
    </w:p>
    <w:p>
      <w:pPr>
        <w:ind w:right="100" w:firstLine="405"/>
        <w:spacing w:after="0" w:line="276" w:lineRule="auto"/>
        <w:rPr>
          <w:sz w:val="20"/>
          <w:szCs w:val="20"/>
          <w:color w:val="auto"/>
        </w:rPr>
      </w:pPr>
      <w:r>
        <w:rPr>
          <w:rFonts w:ascii="Arial" w:cs="Arial" w:eastAsia="Arial" w:hAnsi="Arial"/>
          <w:sz w:val="16"/>
          <w:szCs w:val="16"/>
          <w:b w:val="1"/>
          <w:bCs w:val="1"/>
          <w:i w:val="1"/>
          <w:iCs w:val="1"/>
          <w:color w:val="auto"/>
        </w:rPr>
        <w:t xml:space="preserve">Our ability to grow our management and franchise systems is subject to the range of risks associated with real estate investments. </w:t>
      </w:r>
      <w:r>
        <w:rPr>
          <w:rFonts w:ascii="Arial" w:cs="Arial" w:eastAsia="Arial" w:hAnsi="Arial"/>
          <w:sz w:val="16"/>
          <w:szCs w:val="16"/>
          <w:color w:val="auto"/>
        </w:rPr>
        <w:t>Our ability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sustain continued growth through management or franchise agreements for new hotels and the conversion of existing facilities to managed or franchised Marriott brands is affected, and may potentially be limited, by a variety of factors influencing real estate development generally. These include site availability, financing availability, planning, zoning and other local approvals, and other limitations that may be imposed by market and submarket factors, such as projected room occupancy and rate, changes in growth in demand compared to projected supply, territorial restrictions in our management and franchise agreements, costs of construction, demand for construction resources, and other disruptive conditions in global, regional, or local markets.</w:t>
      </w:r>
    </w:p>
    <w:p>
      <w:pPr>
        <w:spacing w:after="0" w:line="10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b w:val="1"/>
          <w:bCs w:val="1"/>
          <w:i w:val="1"/>
          <w:iCs w:val="1"/>
          <w:color w:val="auto"/>
        </w:rPr>
        <w:t xml:space="preserve">Our renovation activities expose us to project cost, completion, and resale risks. </w:t>
      </w:r>
      <w:r>
        <w:rPr>
          <w:rFonts w:ascii="Arial" w:cs="Arial" w:eastAsia="Arial" w:hAnsi="Arial"/>
          <w:sz w:val="18"/>
          <w:szCs w:val="18"/>
          <w:color w:val="auto"/>
        </w:rPr>
        <w:t>We occasionally acquire and renovate hotel properties, both directly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through partnerships and other business structures with third parties. This presents a number of risks, including that: (1) weakness in the capital markets may limit our ability, or that of third parties with whom we partner, to raise capital for completion of projects; (2) properties that we renovate could become less attractive due to decreases in demand for hotel properties, market absorption or oversupply, with the result that we may not be able to sell such properties for a profit or at the prices or time we anticipate, or we may be required to record additional impairment charges; and (3) construction delays or cost overruns, including those due to shortages or increased costs of skilled labor and/or materials, lender financial defaults, or so called “Acts of God” such as earthquakes, hurricanes, floods, or fires may increase project costs. We could face similar risks to the extent we undertake development activities again in the future.</w:t>
      </w:r>
    </w:p>
    <w:p>
      <w:pPr>
        <w:spacing w:after="0" w:line="134"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b w:val="1"/>
          <w:bCs w:val="1"/>
          <w:i w:val="1"/>
          <w:iCs w:val="1"/>
          <w:color w:val="auto"/>
        </w:rPr>
        <w:t>Our owned properties and other real estate investments subject us to numerous risks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a number of owned and leased properties, which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the risks that generally relate to investments in real property. We may seek to sell some of these properties over time; however, equity real estate investments can be difficult to sell quickly and COVID-19 has disrupted the transaction markets for hospitality assets. We may not be able to complete asset sales at prices we find acceptable, or at all. Moreover, the investment returns available from equity investments in real estate depend in large part on the amount of income earned and capital appreciation generated, if any, by the related properties, and the expenses incurred. A variety of other factors also affect income from properties and real estate values, including local market conditions and new supply of hotels, availability and costs of staffing, governmental regulations, insurance, zoning, tax and eminent domain laws, interest rate levels, and the availability of financing. Our real estate properties have been, and could in the future be, impacted by any of these factors, resulting in a material adverse impact on our results of operations or financial condition. If our properties continue to not generate revenue sufficient to meet operating expenses, including needed capital expenditures, our income could be further</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adversely affected and we could be required to record additional significant non-cash impairment charges to our results of operations.</w:t>
      </w:r>
    </w:p>
    <w:p>
      <w:pPr>
        <w:spacing w:after="0" w:line="171" w:lineRule="exact"/>
        <w:rPr>
          <w:sz w:val="20"/>
          <w:szCs w:val="20"/>
          <w:color w:val="auto"/>
        </w:rPr>
      </w:pPr>
    </w:p>
    <w:p>
      <w:pPr>
        <w:ind w:right="120" w:firstLine="405"/>
        <w:spacing w:after="0" w:line="270" w:lineRule="auto"/>
        <w:rPr>
          <w:sz w:val="20"/>
          <w:szCs w:val="20"/>
          <w:color w:val="auto"/>
        </w:rPr>
      </w:pPr>
      <w:r>
        <w:rPr>
          <w:rFonts w:ascii="Arial" w:cs="Arial" w:eastAsia="Arial" w:hAnsi="Arial"/>
          <w:sz w:val="17"/>
          <w:szCs w:val="17"/>
          <w:b w:val="1"/>
          <w:bCs w:val="1"/>
          <w:i w:val="1"/>
          <w:iCs w:val="1"/>
          <w:color w:val="auto"/>
        </w:rPr>
        <w:t xml:space="preserve">Risks associated with development and sale of residential properties associated with our lodging properties or brands may reduce our profits. </w:t>
      </w:r>
      <w:r>
        <w:rPr>
          <w:rFonts w:ascii="Arial" w:cs="Arial" w:eastAsia="Arial" w:hAnsi="Arial"/>
          <w:sz w:val="17"/>
          <w:szCs w:val="17"/>
          <w:color w:val="auto"/>
        </w:rPr>
        <w:t>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participate, through licensing agreements, in the development and sale of residential properties associated with our brands, including residences and condominiums under many of our luxury and premium brand names and trademarks. Such projects pose further risks beyond those generally associated with our lodging business, which may reduce our profits or compromise our brand equity, including risks that: (1) weakness in residential real estate and demand generally may reduce our profits and could make it more difficult to convince future project developers of the value added by our brands; (2) increases in interest rates, reductions in mortgage availability or the tax benefits of mortgage financing or residential ownership generally, or increases in the costs of residential ownership could prevent potential customers from buying residential products or reduce the prices they are willing to pay; and (3) residential construction may be subject to warranty and liability claims or claims related to purchaser deposits, and the costs of resolving such claims may be significant.</w:t>
      </w:r>
    </w:p>
    <w:p>
      <w:pPr>
        <w:spacing w:after="0" w:line="127" w:lineRule="exact"/>
        <w:rPr>
          <w:sz w:val="20"/>
          <w:szCs w:val="20"/>
          <w:color w:val="auto"/>
        </w:rPr>
      </w:pPr>
    </w:p>
    <w:p>
      <w:pPr>
        <w:ind w:right="180" w:firstLine="405"/>
        <w:spacing w:after="0" w:line="289" w:lineRule="auto"/>
        <w:rPr>
          <w:sz w:val="20"/>
          <w:szCs w:val="20"/>
          <w:color w:val="auto"/>
        </w:rPr>
      </w:pPr>
      <w:r>
        <w:rPr>
          <w:rFonts w:ascii="Arial" w:cs="Arial" w:eastAsia="Arial" w:hAnsi="Arial"/>
          <w:sz w:val="16"/>
          <w:szCs w:val="16"/>
          <w:b w:val="1"/>
          <w:bCs w:val="1"/>
          <w:i w:val="1"/>
          <w:iCs w:val="1"/>
          <w:color w:val="auto"/>
        </w:rPr>
        <w:t xml:space="preserve">More hotel projects in our development pipeline may be cancelled or delayed in opening, which could adversely affect our growth prospects. </w:t>
      </w:r>
      <w:r>
        <w:rPr>
          <w:rFonts w:ascii="Arial" w:cs="Arial" w:eastAsia="Arial" w:hAnsi="Arial"/>
          <w:sz w:val="16"/>
          <w:szCs w:val="16"/>
          <w:color w:val="auto"/>
        </w:rPr>
        <w:t>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 a significant number of hotels in our development pipeline, including hotels under construction, hotels subject to signed contracts, and hotels approved for development but not yet under contract. The eventual opening of such pipeline hotels and, in particular, the approved hotels that are not yet under contract, is subject to numerous risks, including the risks described above in the risk factors entitled “</w:t>
      </w:r>
      <w:r>
        <w:rPr>
          <w:rFonts w:ascii="Arial" w:cs="Arial" w:eastAsia="Arial" w:hAnsi="Arial"/>
          <w:sz w:val="16"/>
          <w:szCs w:val="16"/>
          <w:i w:val="1"/>
          <w:iCs w:val="1"/>
          <w:color w:val="auto"/>
        </w:rPr>
        <w:t>Our ability to grow our management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franchise systems is subject to the range of risks associated with real estate investments” </w:t>
      </w:r>
      <w:r>
        <w:rPr>
          <w:rFonts w:ascii="Arial" w:cs="Arial" w:eastAsia="Arial" w:hAnsi="Arial"/>
          <w:sz w:val="16"/>
          <w:szCs w:val="16"/>
          <w:color w:val="auto"/>
        </w:rPr>
        <w:t>and</w:t>
      </w:r>
      <w:r>
        <w:rPr>
          <w:rFonts w:ascii="Arial" w:cs="Arial" w:eastAsia="Arial" w:hAnsi="Arial"/>
          <w:sz w:val="16"/>
          <w:szCs w:val="16"/>
          <w:i w:val="1"/>
          <w:iCs w:val="1"/>
          <w:color w:val="auto"/>
        </w:rPr>
        <w:t xml:space="preserve"> “COVID-19 has had a material detrimental impact on our business and financial results, and such impact could continue and may worsen for an unknown period of time; Risks Related to Growth.” </w:t>
      </w:r>
      <w:r>
        <w:rPr>
          <w:rFonts w:ascii="Arial" w:cs="Arial" w:eastAsia="Arial" w:hAnsi="Arial"/>
          <w:sz w:val="16"/>
          <w:szCs w:val="16"/>
          <w:color w:val="auto"/>
        </w:rPr>
        <w:t>We have seen</w:t>
      </w:r>
      <w:r>
        <w:rPr>
          <w:rFonts w:ascii="Arial" w:cs="Arial" w:eastAsia="Arial" w:hAnsi="Arial"/>
          <w:sz w:val="16"/>
          <w:szCs w:val="16"/>
          <w:i w:val="1"/>
          <w:iCs w:val="1"/>
          <w:color w:val="auto"/>
        </w:rPr>
        <w:t xml:space="preserve"> </w:t>
      </w:r>
      <w:r>
        <w:rPr>
          <w:rFonts w:ascii="Arial" w:cs="Arial" w:eastAsia="Arial" w:hAnsi="Arial"/>
          <w:sz w:val="16"/>
          <w:szCs w:val="16"/>
          <w:color w:val="auto"/>
        </w:rPr>
        <w:t>construction timelines for pipeline hotels lengthen due to competition for skilled construction labor, disruption in the supply chain for materials, and the impact of COVID-19 generally, and these circumstances could continue or worsen in the future. Accordingly, we cannot assure you that all of our development pipeline will result in new hotels entering our system, or that those hotels will open when we anticipate.</w:t>
      </w:r>
    </w:p>
    <w:p>
      <w:pPr>
        <w:spacing w:after="0" w:line="112" w:lineRule="exact"/>
        <w:rPr>
          <w:sz w:val="20"/>
          <w:szCs w:val="20"/>
          <w:color w:val="auto"/>
        </w:rPr>
      </w:pPr>
    </w:p>
    <w:p>
      <w:pPr>
        <w:ind w:right="180" w:firstLine="405"/>
        <w:spacing w:after="0" w:line="275" w:lineRule="auto"/>
        <w:rPr>
          <w:sz w:val="20"/>
          <w:szCs w:val="20"/>
          <w:color w:val="auto"/>
        </w:rPr>
      </w:pPr>
      <w:r>
        <w:rPr>
          <w:rFonts w:ascii="Arial" w:cs="Arial" w:eastAsia="Arial" w:hAnsi="Arial"/>
          <w:sz w:val="17"/>
          <w:szCs w:val="17"/>
          <w:b w:val="1"/>
          <w:bCs w:val="1"/>
          <w:i w:val="1"/>
          <w:iCs w:val="1"/>
          <w:color w:val="auto"/>
        </w:rPr>
        <w:t xml:space="preserve">Losses on loans or loan guarantees that we have made to third parties impact our profits. </w:t>
      </w:r>
      <w:r>
        <w:rPr>
          <w:rFonts w:ascii="Arial" w:cs="Arial" w:eastAsia="Arial" w:hAnsi="Arial"/>
          <w:sz w:val="17"/>
          <w:szCs w:val="17"/>
          <w:color w:val="auto"/>
        </w:rPr>
        <w:t>At times, we make loans for hotel development,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acquisition or renovation expenditures when we enter into or amend management or franchise agreements. From time to time we also provide third-party lenders with financial guarantees for the timely repayment of all or a portion of debt related to hotels that we manage or franchise, generally subject to an obligation that the owner reimburse us for any fundings. We have suffered losses, and could suffer losses in the future, when hotel owners or franchisees default on loans that we provide or fail to reimburse us for loan guarantees that we have funded.</w:t>
      </w:r>
    </w:p>
    <w:p>
      <w:pPr>
        <w:spacing w:after="0" w:line="122"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b w:val="1"/>
          <w:bCs w:val="1"/>
          <w:i w:val="1"/>
          <w:iCs w:val="1"/>
          <w:color w:val="auto"/>
        </w:rPr>
        <w:t xml:space="preserve">If owners of hotels that we manage or franchise cannot repay or refinance mortgage loans secured by their properties, our revenues and profits could decrease and our business could be harmed. </w:t>
      </w:r>
      <w:r>
        <w:rPr>
          <w:rFonts w:ascii="Arial" w:cs="Arial" w:eastAsia="Arial" w:hAnsi="Arial"/>
          <w:sz w:val="17"/>
          <w:szCs w:val="17"/>
          <w:color w:val="auto"/>
        </w:rPr>
        <w:t>The owners of many of our managed or franchised properties have pledged their hotels as collateral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mortgage loans that they entered into when those properties were purchased or refinanced. If those owners cannot repay or refinance maturing indebtedness on favorable terms or at all, the lenders could declare a default, accelerate the related debt, and foreclose on the property, or the owners could declare bankruptcy, as we have seen in the past and could see in the future. Such foreclosures or bankruptcies have in the past and could in the future, in some cases, result in the termination of our management or franchise agreements and eliminate our anticipated income and cash flows, which could have a significant negative effect our results of operations.</w:t>
      </w:r>
    </w:p>
    <w:p>
      <w:pPr>
        <w:spacing w:after="0" w:line="123"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b w:val="1"/>
          <w:bCs w:val="1"/>
          <w:i w:val="1"/>
          <w:iCs w:val="1"/>
          <w:color w:val="auto"/>
        </w:rPr>
        <w:t xml:space="preserve">Changes affecting the availability of the London Interbank Offered Rate (“LIBOR”) may have consequences that we cannot yet reasonably predict. </w:t>
      </w:r>
      <w:r>
        <w:rPr>
          <w:rFonts w:ascii="Arial" w:cs="Arial" w:eastAsia="Arial" w:hAnsi="Arial"/>
          <w:sz w:val="17"/>
          <w:szCs w:val="17"/>
          <w:color w:val="auto"/>
        </w:rPr>
        <w:t>We are a party to various agreements and other instruments where obligations by or to us are calculated based on or otherwise dependent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LIBOR. In July 2017, the U.K. Financial Conduct Authority announced that it intends to stop persuading or compelling banks to submit rates for calculation of LIBOR as early as the end of 2021. As a result, LIBOR may perform differently than in the past and may ultimately cease to be utilized or to exist, either during or after 2021. Alternative benchmark rate(s) may replace LIBOR and could affect our agreements that reference LIBOR, not all of which contain alternative rate provisions. Certain of our agreements reference LIBOR, including for example, our Credit Facility and certain other financial agreements like loans, guaranties, and derivatives. At this time, it is difficult for us to predict the effect of any changes to LIBOR, any phase out of LIBOR, or any establishment of alternative benchmark rates to replace LIBOR. There is uncertainty about how we, the financial markets, applicable law and the courts will address the replacement of LIBOR with alternative benchmark rates for contracts that do not include fallback provisions to provide for such alternative benchmark rates. In addition, any changes from LIBOR to an alternative benchmark rate may have an uncertain impact on our cost of funds, our receipts or payments under agreements that reference LIBOR, and the valuation of derivative or other contracts to which we are a party, any of which could impact our results of operations and cash flows.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Technology, Information Protection, and Privacy Risks</w:t>
      </w:r>
    </w:p>
    <w:p>
      <w:pPr>
        <w:spacing w:after="0" w:line="171"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b w:val="1"/>
          <w:bCs w:val="1"/>
          <w:i w:val="1"/>
          <w:iCs w:val="1"/>
          <w:color w:val="auto"/>
        </w:rPr>
        <w:t xml:space="preserve">Any disruption in the functioning of our reservation systems could adversely affect our performance and results. </w:t>
      </w:r>
      <w:r>
        <w:rPr>
          <w:rFonts w:ascii="Arial" w:cs="Arial" w:eastAsia="Arial" w:hAnsi="Arial"/>
          <w:sz w:val="17"/>
          <w:szCs w:val="17"/>
          <w:color w:val="auto"/>
        </w:rPr>
        <w:t>We manage global reservation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systems that communicate reservations to our hotels from individuals who book reservations directly with us online, through our mobile apps, through our telephone call centers, or through intermediaries like travel agents, Internet travel websites, and other distribution channels. The cost, speed, accuracy and efficiency of our reservation systems are critical aspects of our business and are important considerations for hotel owners when choosing our brands. Our business may suffer if we fail to maintain, upgrade, or prevent disruption to our reservation systems. Disruptions in or changes to our reservation systems could result in a disruption to our business and the loss of important data.</w:t>
      </w:r>
    </w:p>
    <w:p>
      <w:pPr>
        <w:spacing w:after="0" w:line="124" w:lineRule="exact"/>
        <w:rPr>
          <w:sz w:val="20"/>
          <w:szCs w:val="20"/>
          <w:color w:val="auto"/>
        </w:rPr>
      </w:pPr>
    </w:p>
    <w:p>
      <w:pPr>
        <w:ind w:right="180" w:firstLine="405"/>
        <w:spacing w:after="0" w:line="293" w:lineRule="auto"/>
        <w:rPr>
          <w:sz w:val="20"/>
          <w:szCs w:val="20"/>
          <w:color w:val="auto"/>
        </w:rPr>
      </w:pPr>
      <w:r>
        <w:rPr>
          <w:rFonts w:ascii="Arial" w:cs="Arial" w:eastAsia="Arial" w:hAnsi="Arial"/>
          <w:sz w:val="16"/>
          <w:szCs w:val="16"/>
          <w:b w:val="1"/>
          <w:bCs w:val="1"/>
          <w:i w:val="1"/>
          <w:iCs w:val="1"/>
          <w:color w:val="auto"/>
        </w:rPr>
        <w:t xml:space="preserve">A failure to keep pace with developments in technology could impair our operations or competitive position. </w:t>
      </w:r>
      <w:r>
        <w:rPr>
          <w:rFonts w:ascii="Arial" w:cs="Arial" w:eastAsia="Arial" w:hAnsi="Arial"/>
          <w:sz w:val="16"/>
          <w:szCs w:val="16"/>
          <w:color w:val="auto"/>
        </w:rPr>
        <w:t>The lodging industry continues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demand the use of sophisticated technology and systems, including those used for our reservation, revenue management, property management, human resources and payroll systems, our Loyalty Program, and technologies we make available to our guests and for our associates. These technologies and systems must be refined, updated, and/or replaced with more advanced systems on a regular basis, and our business could suffer if we cannot do that as quickly or effectively as our competitors or within budgeted costs and time frames. We also may not achieve the benefits that we anticipate from any new technology or system, and a failure to do so could result in higher than anticipated costs or could impair our operating results.</w:t>
      </w:r>
    </w:p>
    <w:p>
      <w:pPr>
        <w:spacing w:after="0" w:line="110"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b w:val="1"/>
          <w:bCs w:val="1"/>
          <w:i w:val="1"/>
          <w:iCs w:val="1"/>
          <w:color w:val="auto"/>
        </w:rPr>
        <w:t xml:space="preserve">We are exposed to risks and costs associated with protecting the integrity and security of Company, associate, and guest data. </w:t>
      </w:r>
      <w:r>
        <w:rPr>
          <w:rFonts w:ascii="Arial" w:cs="Arial" w:eastAsia="Arial" w:hAnsi="Arial"/>
          <w:sz w:val="17"/>
          <w:szCs w:val="17"/>
          <w:color w:val="auto"/>
        </w:rPr>
        <w:t>In the operation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business, we collect, store, use, and transmit large volumes of data regarding associates, guests, customers, owners, licensees, franchisees, and our own business operations, including credit card numbers, reservation and loyalty data, and other personal information, in various information systems that we maintain and in systems maintained by third parties, including our owners, franchisees, licensees, and service providers. The integrity and protection of this data is critical to our business. Our guests and associates also have a high expectation that we, as well as our owners, franchisees, licensees, and service providers, will adequately protect and appropriately use their personal information. The information, security, and privacy requirements imposed by laws and governmental regulation, our contractual obligations, and the requirements of the payment card industry are also becoming more stringent in many jurisdictions in which we operate. Our systems and the systems maintained or used by our owners, franchisees, licensees, and service providers may not be able to satisfy these changing legal and regulatory requirements and associate and guest expectations, or may require significant additional investments or time to do so. We may incur significant additional costs to meet these requirements, obligations, and expectations, and in the event of alleged or actual noncompliance, we may experience increased operating costs, increased exposure to fines and litigation, and increased risk of damage to our reputation and brand.</w:t>
      </w:r>
    </w:p>
    <w:p>
      <w:pPr>
        <w:spacing w:after="0" w:line="125"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b w:val="1"/>
          <w:bCs w:val="1"/>
          <w:i w:val="1"/>
          <w:iCs w:val="1"/>
          <w:color w:val="auto"/>
        </w:rPr>
        <w:t xml:space="preserve">The Data Security Incident, and other information security incidents, could have numerous adverse effects on our business. </w:t>
      </w:r>
      <w:r>
        <w:rPr>
          <w:rFonts w:ascii="Arial" w:cs="Arial" w:eastAsia="Arial" w:hAnsi="Arial"/>
          <w:sz w:val="16"/>
          <w:szCs w:val="16"/>
          <w:color w:val="auto"/>
        </w:rPr>
        <w:t>As a result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Data Security Incident, we are a party to or have been named as a defendant in numerous lawsuits, primarily putative class actions, brought by consumers and others in the U.S. and Canada, one securities class action lawsuit in the U.S., three shareholder derivative lawsuits in the U.S., and one purported representative action brought by a purported consumer class in the U.K. We may be named as a party in additional lawsuits and other claims may be asserted by or on behalf of guests, customers, hotel owners, stockholders or others seeking monetary damages or other relief related to the Data Security Incident. A number of federal, state and foreign governmental authorities have also made inquiries, opened investigations, or requested information and/or documents related to the Data Security Incident, including under various data protection and privacy regulations. Responding to and resolving these lawsuits, claims and/or investigations has resulted in fines, such as the fine imposed by the Information Commissioner’s Office in the United Kingdom (the “ICO”) as discussed in Note 8, and could result in material additional fines or remedial or other expenses. These fines and other expenses may not be covered by insurance. Governmental authorities investigating or seeking information about the Data Security Incident also may seek to impose undertakings, injunctive relief, consent decrees, or other civil or criminal penalties, which could, among other things, materially increase our data security costs or otherwise require us to alter how we operate our business. Significant management time and Company resources have been, and will continue to be, devoted to the Data Security Incident. Future publicity or developments related to the Data Security Incident, including as a result of subsequent reports or regulatory actions or developments, could have a range of other adverse effects on our business or prospects, including causing or contributing to loss of consumer confidence, reduced consumer demand, reduced enrollment and/or participation in our Loyalty Program, loss of development opportunities, and associate retention and recruiting difficulties. Insurance coverage designed to limit our exposure to losses such as those related to the Data Security Incident may not be sufficient or available to cover all of our expenses or other losses (including the final fine imposed by the ICO and any other fines or penalties) related to the Data Security Incident. In addition, following our March 31, 2020 announcement of an incident involving information for approximately 5.5 million guests that we believe may have been improperly accessed through an application using the login credentials of two franchise employees at a franchise property (the “Unauthorized Application Access Incident”), various governmental authorities opened investigations or requested information about the incident, and two lawsuits were filed against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auto"/>
        </w:rPr>
        <w:t>us related to the incident. The Unauthorized Application Access Incident or publicity related to it could negatively affect our business or reputation.</w:t>
      </w:r>
    </w:p>
    <w:p>
      <w:pPr>
        <w:spacing w:after="0" w:line="183"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b w:val="1"/>
          <w:bCs w:val="1"/>
          <w:i w:val="1"/>
          <w:iCs w:val="1"/>
          <w:color w:val="auto"/>
        </w:rPr>
        <w:t xml:space="preserve">Additional cybersecurity incidents could have adverse effects on our business. </w:t>
      </w:r>
      <w:r>
        <w:rPr>
          <w:rFonts w:ascii="Arial" w:cs="Arial" w:eastAsia="Arial" w:hAnsi="Arial"/>
          <w:sz w:val="16"/>
          <w:szCs w:val="16"/>
          <w:color w:val="auto"/>
        </w:rPr>
        <w:t>We have implemented security measures to safeguard our systems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data, and we intend to continue implementing additional measures in the future, but, as we have seen in the past, our measures may not be sufficient to maintain the confidentiality, security, or availability of the data we collect, store, and use to operate our business. Measures taken by our service providers or our owners, franchisees, licensees, other business partners or their service providers also may not be sufficient. Efforts to hack or circumvent security measures, efforts to gain unauthorized access to, exploit or disrupt the operation or integrity of our data or systems, failures of systems or software to operate as designed or intended, viruses, “ransomware” or other malware, “supply chain” attacks, “phishing” or other types of business communications compromises, operator error, or inadvertent releases of data have impacted, and may in the future impact, our information systems and records or those of our owners, franchisees, licensees, other business partners, or service providers. Our reliance on computer, Internet-based, and mobile systems and communications, and the frequency and sophistication of efforts by third parties to gain unauthorized access or prevent authorized access to such systems, have greatly increased in recent years. Our increased reliance on cloud-based services and on remote access to information systems in response to COVID-19 increases the Company’s exposure to potential cybersecurity incidents. We have experienced cyberattacks, attempts to disrupt access to our systems and data, and attempts to affect the operation or integrity of our data or systems, and the frequency and sophistication of such efforts could continue to increase. Any additional significant theft of, unauthorized access to, compromise or loss of, loss of access to, or fraudulent use of guest, associate, owner, franchisee, licensee, or Company data could adversely impact our reputation and could result in legal, regulatory and other consequences, including remedial and other expenses, fines, or litigation. Depending on the nature and scope of the event, future compromises in the security of our information systems or those of our owners, franchisees, licensees, other business partners, or service providers or other future disruptions or compromises of data or systems could lead to an interruption in or other adverse effects on the operation of our systems or those of our owners, franchisees, licensees, other business partners, or service providers, resulting in operational inefficiencies and a loss of profits, and could result in negative publicity and other adverse effects on our business, including lost sales, loss of consumer confidence, boycotts, reduced enrollment and/or participation in our Loyalty Program, litigation, loss of development opportunities, or associate satisfaction, retention and recruiting difficulties, all of which could materially affect our market share, reputation, business, financial condition, or results of operations.</w:t>
      </w:r>
    </w:p>
    <w:p>
      <w:pPr>
        <w:spacing w:after="0" w:line="126"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Because we have experienced cybersecurity incidents in the past, additional incidents or the failure to detect and appropriately respond to additional incidents could magnify the severity of the adverse effects on our business. The techniques used to obtain unauthorized access, disable or degrade service, or sabotage information systems change frequently, can be difficult to detect for long periods of time, and can involve difficult or prolonged assessment or remediation periods even once detected, which could also magnify the severity of these adverse effects. We cannot assure you that all potential causes of past significant incidents have been identified and remediated; additional measures may be needed to prevent significant incidents in the future. The steps we take may not be sufficient to prevent future significant incidents and as a result, such incidents may occur again. Although we carry cyber insurance that is designed to protect us against certain losses related to cyber risks, that insurance coverage may not be sufficient or available to cover all expenses or other losses (including fines) or all types of claims that may arise in connection with cyberattacks, security compromises, and other related incidents. Furthermore, in the future such insurance may not be available on commercially reasonable terms, or at all.</w:t>
      </w:r>
    </w:p>
    <w:p>
      <w:pPr>
        <w:spacing w:after="0" w:line="112"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b w:val="1"/>
          <w:bCs w:val="1"/>
          <w:i w:val="1"/>
          <w:iCs w:val="1"/>
          <w:color w:val="auto"/>
        </w:rPr>
        <w:t xml:space="preserve">Changes in privacy and data security laws could increase our operating costs and increase our exposure to fines and litigation. </w:t>
      </w:r>
      <w:r>
        <w:rPr>
          <w:rFonts w:ascii="Arial" w:cs="Arial" w:eastAsia="Arial" w:hAnsi="Arial"/>
          <w:sz w:val="16"/>
          <w:szCs w:val="16"/>
          <w:color w:val="auto"/>
        </w:rPr>
        <w:t>We are subject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numerous, complex, and frequently changing laws, regulations, and contractual obligations designed to protect personal information. Non-U.S. data privacy and data security laws, various U.S. federal and state laws, payment card industry security standards, and other information privacy and security standards are all applicable to us. Significant legislative, judicial, or regulatory changes could be issued in the future. Compliance with changes in applicable data privacy laws and regulations and contractual obligations, including responding to investigations into our compliance, may restrict our business operations, increase our operating costs, increase our exposure to fines and litigation in the event of alleged non-compliance, and adversely affect our reputation. Following the Data Security Incident, certain regulators also opened investigations into our privacy and security policies and practices. As a result of these investigations, we could be exposed to significant fines and remediation costs in addition to those imposed as a result of the Data Security Incident, and adverse publicity related to the investigations could adversely affect our reputation.</w:t>
      </w:r>
    </w:p>
    <w:p>
      <w:pPr>
        <w:spacing w:after="0" w:line="112"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b w:val="1"/>
          <w:bCs w:val="1"/>
          <w:i w:val="1"/>
          <w:iCs w:val="1"/>
          <w:color w:val="auto"/>
        </w:rPr>
        <w:t xml:space="preserve">Changes in laws could adversely affect our ability to market our products effectively. </w:t>
      </w:r>
      <w:r>
        <w:rPr>
          <w:rFonts w:ascii="Arial" w:cs="Arial" w:eastAsia="Arial" w:hAnsi="Arial"/>
          <w:sz w:val="16"/>
          <w:szCs w:val="16"/>
          <w:color w:val="auto"/>
        </w:rPr>
        <w:t>We rely on a variety of direct marketing techniques,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email marketing, online advertising, and postal mailings. Any further restrictions in laws such as the CANSPAM Act, and various U.S. state laws, or new federal or state laws on marketing and solicitation or international privacy, e-privacy, and anti-spam laws that govern these activities could adversely affect the continuing effectiveness of email, online advertising, and postal mailing techniques and could force further changes in our marketing strategy. If this occurs, we may not be able to develop adequate alternative marketing strategies, which could impact the amount and timing of our sales of certain products. We also obtain access to potential guests and customers from travel service providers or other companies with</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whom we have substantial relationships, and we market to some individuals on these lists directly or by including our marketing message in the other companies’ marketing materials. If access to these lists were to be prohibited or otherwise restricted, our ability to develop new guests and customers and introduce them to our products could be impaired.</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Governance Risk</w:t>
      </w:r>
    </w:p>
    <w:p>
      <w:pPr>
        <w:spacing w:after="0" w:line="171"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b w:val="1"/>
          <w:bCs w:val="1"/>
          <w:i w:val="1"/>
          <w:iCs w:val="1"/>
          <w:color w:val="auto"/>
        </w:rPr>
        <w:t xml:space="preserve">Delaware law and our governing corporate documents contain, and our Board of Directors could implement, anti-takeover provisions that could deter takeover attempts. </w:t>
      </w:r>
      <w:r>
        <w:rPr>
          <w:rFonts w:ascii="Arial" w:cs="Arial" w:eastAsia="Arial" w:hAnsi="Arial"/>
          <w:sz w:val="16"/>
          <w:szCs w:val="16"/>
          <w:color w:val="auto"/>
        </w:rPr>
        <w:t>Under the Delaware business combination statute, a stockholder holding 15 percent or more of our outstanding voting stock could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acquire us without Board of Directors consent for at least three years after the date the stockholder first held 15 percent or more of the voting stock. Our governing corporate documents also, among other things, require supermajority votes for mergers and similar transactions. In addition, our Board of Directors could, without stockholder approval, implement other anti-takeover defenses, such as a stockholder rights plan.</w:t>
      </w:r>
    </w:p>
    <w:p>
      <w:pPr>
        <w:spacing w:after="0" w:line="1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75"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We describe our company-operated properties in Part I, Item 1. “Business” earlier in this report, and under the “Properties and Rooms” caption in Part II, Item 7. “Management’s Discussion and Analysis of Financial Condition and Results of Operations.” We believe our owned and leased properties are in generally good physical condition with the need for only routine repairs and maintenance and periodic capital improvements. Most of our regional offices, reservation centers, and sales offices, as well as our corporate headquarters, are in leased facilities, both domestically and internationally.</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2020, we owned or leased the following hotel properties: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Properties</w:t>
            </w:r>
          </w:p>
        </w:tc>
        <w:tc>
          <w:tcPr>
            <w:tcW w:w="120" w:type="dxa"/>
            <w:vAlign w:val="bottom"/>
            <w:tcBorders>
              <w:bottom w:val="single" w:sz="8" w:color="CCEEFF"/>
            </w:tcBorders>
          </w:tcPr>
          <w:p>
            <w:pPr>
              <w:spacing w:after="0"/>
              <w:rPr>
                <w:sz w:val="16"/>
                <w:szCs w:val="16"/>
                <w:color w:val="auto"/>
              </w:rPr>
            </w:pP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w w:val="88"/>
              </w:rPr>
              <w:t>Rooms</w:t>
            </w:r>
          </w:p>
        </w:tc>
      </w:tr>
      <w:tr>
        <w:trPr>
          <w:trHeight w:val="351"/>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U.S. &amp; Canada Owned Hotels</w:t>
            </w:r>
          </w:p>
        </w:tc>
        <w:tc>
          <w:tcPr>
            <w:tcW w:w="2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186"/>
        </w:trPr>
        <w:tc>
          <w:tcPr>
            <w:tcW w:w="6720" w:type="dxa"/>
            <w:vAlign w:val="bottom"/>
            <w:gridSpan w:val="2"/>
          </w:tcPr>
          <w:p>
            <w:pPr>
              <w:ind w:left="480"/>
              <w:spacing w:after="0"/>
              <w:rPr>
                <w:sz w:val="20"/>
                <w:szCs w:val="20"/>
                <w:color w:val="auto"/>
              </w:rPr>
            </w:pPr>
            <w:r>
              <w:rPr>
                <w:rFonts w:ascii="Arial" w:cs="Arial" w:eastAsia="Arial" w:hAnsi="Arial"/>
                <w:sz w:val="14"/>
                <w:szCs w:val="14"/>
                <w:color w:val="auto"/>
              </w:rPr>
              <w:t>Courtyard Las Vegas Convention Center</w:t>
            </w: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Las Vegas, NV</w:t>
            </w:r>
          </w:p>
        </w:tc>
        <w:tc>
          <w:tcPr>
            <w:tcW w:w="106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192"/>
        </w:trPr>
        <w:tc>
          <w:tcPr>
            <w:tcW w:w="67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Las Vegas Marriott</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Las Vegas, NV</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r>
      <w:tr>
        <w:trPr>
          <w:trHeight w:val="186"/>
        </w:trPr>
        <w:tc>
          <w:tcPr>
            <w:tcW w:w="6720" w:type="dxa"/>
            <w:vAlign w:val="bottom"/>
            <w:gridSpan w:val="2"/>
          </w:tcPr>
          <w:p>
            <w:pPr>
              <w:ind w:left="480"/>
              <w:spacing w:after="0"/>
              <w:rPr>
                <w:sz w:val="20"/>
                <w:szCs w:val="20"/>
                <w:color w:val="auto"/>
              </w:rPr>
            </w:pPr>
            <w:r>
              <w:rPr>
                <w:rFonts w:ascii="Arial" w:cs="Arial" w:eastAsia="Arial" w:hAnsi="Arial"/>
                <w:sz w:val="14"/>
                <w:szCs w:val="14"/>
                <w:color w:val="auto"/>
              </w:rPr>
              <w:t>Residence Inn Las Vegas Convention Center</w:t>
            </w: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Las Vegas, NV</w:t>
            </w:r>
          </w:p>
        </w:tc>
        <w:tc>
          <w:tcPr>
            <w:tcW w:w="1060" w:type="dxa"/>
            <w:vAlign w:val="bottom"/>
          </w:tcPr>
          <w:p>
            <w:pPr>
              <w:jc w:val="right"/>
              <w:spacing w:after="0"/>
              <w:rPr>
                <w:sz w:val="20"/>
                <w:szCs w:val="20"/>
                <w:color w:val="auto"/>
              </w:rPr>
            </w:pPr>
            <w:r>
              <w:rPr>
                <w:rFonts w:ascii="Arial" w:cs="Arial" w:eastAsia="Arial" w:hAnsi="Arial"/>
                <w:sz w:val="14"/>
                <w:szCs w:val="14"/>
                <w:color w:val="auto"/>
              </w:rPr>
              <w:t>192</w:t>
            </w:r>
          </w:p>
        </w:tc>
      </w:tr>
      <w:tr>
        <w:trPr>
          <w:trHeight w:val="192"/>
        </w:trPr>
        <w:tc>
          <w:tcPr>
            <w:tcW w:w="67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The Westin Peachtree Plaza, Atlanta</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Atlanta, GA</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w:t>
            </w:r>
          </w:p>
        </w:tc>
      </w:tr>
      <w:tr>
        <w:trPr>
          <w:trHeight w:val="186"/>
        </w:trPr>
        <w:tc>
          <w:tcPr>
            <w:tcW w:w="6720" w:type="dxa"/>
            <w:vAlign w:val="bottom"/>
            <w:gridSpan w:val="2"/>
          </w:tcPr>
          <w:p>
            <w:pPr>
              <w:ind w:left="480"/>
              <w:spacing w:after="0"/>
              <w:rPr>
                <w:sz w:val="20"/>
                <w:szCs w:val="20"/>
                <w:color w:val="auto"/>
              </w:rPr>
            </w:pPr>
            <w:r>
              <w:rPr>
                <w:rFonts w:ascii="Arial" w:cs="Arial" w:eastAsia="Arial" w:hAnsi="Arial"/>
                <w:sz w:val="14"/>
                <w:szCs w:val="14"/>
                <w:color w:val="auto"/>
              </w:rPr>
              <w:t>W New York - Union Square</w:t>
            </w: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New York, NY</w:t>
            </w:r>
          </w:p>
        </w:tc>
        <w:tc>
          <w:tcPr>
            <w:tcW w:w="1060" w:type="dxa"/>
            <w:vAlign w:val="bottom"/>
          </w:tcPr>
          <w:p>
            <w:pPr>
              <w:jc w:val="right"/>
              <w:spacing w:after="0"/>
              <w:rPr>
                <w:sz w:val="20"/>
                <w:szCs w:val="20"/>
                <w:color w:val="auto"/>
              </w:rPr>
            </w:pPr>
            <w:r>
              <w:rPr>
                <w:rFonts w:ascii="Arial" w:cs="Arial" w:eastAsia="Arial" w:hAnsi="Arial"/>
                <w:sz w:val="14"/>
                <w:szCs w:val="14"/>
                <w:color w:val="auto"/>
              </w:rPr>
              <w:t>270</w:t>
            </w:r>
          </w:p>
        </w:tc>
      </w:tr>
      <w:tr>
        <w:trPr>
          <w:trHeight w:val="354"/>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U.S. &amp; Canada Leased Hotels</w:t>
            </w:r>
          </w:p>
        </w:tc>
        <w:tc>
          <w:tcPr>
            <w:tcW w:w="2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186"/>
        </w:trPr>
        <w:tc>
          <w:tcPr>
            <w:tcW w:w="6720" w:type="dxa"/>
            <w:vAlign w:val="bottom"/>
            <w:gridSpan w:val="2"/>
          </w:tcPr>
          <w:p>
            <w:pPr>
              <w:ind w:left="480"/>
              <w:spacing w:after="0"/>
              <w:rPr>
                <w:sz w:val="20"/>
                <w:szCs w:val="20"/>
                <w:color w:val="auto"/>
              </w:rPr>
            </w:pPr>
            <w:r>
              <w:rPr>
                <w:rFonts w:ascii="Arial" w:cs="Arial" w:eastAsia="Arial" w:hAnsi="Arial"/>
                <w:sz w:val="14"/>
                <w:szCs w:val="14"/>
                <w:color w:val="auto"/>
              </w:rPr>
              <w:t>Albuquerque Airport Courtyard</w:t>
            </w: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Albuquerque, NM</w:t>
            </w:r>
          </w:p>
        </w:tc>
        <w:tc>
          <w:tcPr>
            <w:tcW w:w="106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192"/>
        </w:trPr>
        <w:tc>
          <w:tcPr>
            <w:tcW w:w="67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Anaheim Marriott</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Anaheim, CA</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w:t>
            </w:r>
          </w:p>
        </w:tc>
      </w:tr>
      <w:tr>
        <w:trPr>
          <w:trHeight w:val="186"/>
        </w:trPr>
        <w:tc>
          <w:tcPr>
            <w:tcW w:w="6720" w:type="dxa"/>
            <w:vAlign w:val="bottom"/>
            <w:gridSpan w:val="2"/>
          </w:tcPr>
          <w:p>
            <w:pPr>
              <w:ind w:left="480"/>
              <w:spacing w:after="0"/>
              <w:rPr>
                <w:sz w:val="20"/>
                <w:szCs w:val="20"/>
                <w:color w:val="auto"/>
              </w:rPr>
            </w:pPr>
            <w:r>
              <w:rPr>
                <w:rFonts w:ascii="Arial" w:cs="Arial" w:eastAsia="Arial" w:hAnsi="Arial"/>
                <w:sz w:val="14"/>
                <w:szCs w:val="14"/>
                <w:color w:val="auto"/>
              </w:rPr>
              <w:t>Baltimore BWI Airport Courtyard</w:t>
            </w: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Linthicum, MD</w:t>
            </w:r>
          </w:p>
        </w:tc>
        <w:tc>
          <w:tcPr>
            <w:tcW w:w="106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192"/>
        </w:trPr>
        <w:tc>
          <w:tcPr>
            <w:tcW w:w="67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Baton Rouge Acadian Centre/LSU Area Courtyard</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Baton Rouge, LA</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r>
      <w:tr>
        <w:trPr>
          <w:trHeight w:val="186"/>
        </w:trPr>
        <w:tc>
          <w:tcPr>
            <w:tcW w:w="6720" w:type="dxa"/>
            <w:vAlign w:val="bottom"/>
            <w:gridSpan w:val="2"/>
          </w:tcPr>
          <w:p>
            <w:pPr>
              <w:ind w:left="480"/>
              <w:spacing w:after="0"/>
              <w:rPr>
                <w:sz w:val="20"/>
                <w:szCs w:val="20"/>
                <w:color w:val="auto"/>
              </w:rPr>
            </w:pPr>
            <w:r>
              <w:rPr>
                <w:rFonts w:ascii="Arial" w:cs="Arial" w:eastAsia="Arial" w:hAnsi="Arial"/>
                <w:sz w:val="14"/>
                <w:szCs w:val="14"/>
                <w:color w:val="auto"/>
              </w:rPr>
              <w:t>Chicago O'Hare Courtyard</w:t>
            </w: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Des Plaines, IL</w:t>
            </w:r>
          </w:p>
        </w:tc>
        <w:tc>
          <w:tcPr>
            <w:tcW w:w="106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192"/>
        </w:trPr>
        <w:tc>
          <w:tcPr>
            <w:tcW w:w="67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Des Moines West/Clive Courtyard</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Clive, IA</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r>
      <w:tr>
        <w:trPr>
          <w:trHeight w:val="186"/>
        </w:trPr>
        <w:tc>
          <w:tcPr>
            <w:tcW w:w="6720" w:type="dxa"/>
            <w:vAlign w:val="bottom"/>
            <w:gridSpan w:val="2"/>
          </w:tcPr>
          <w:p>
            <w:pPr>
              <w:ind w:left="480"/>
              <w:spacing w:after="0"/>
              <w:rPr>
                <w:sz w:val="20"/>
                <w:szCs w:val="20"/>
                <w:color w:val="auto"/>
              </w:rPr>
            </w:pPr>
            <w:r>
              <w:rPr>
                <w:rFonts w:ascii="Arial" w:cs="Arial" w:eastAsia="Arial" w:hAnsi="Arial"/>
                <w:sz w:val="14"/>
                <w:szCs w:val="14"/>
                <w:color w:val="auto"/>
              </w:rPr>
              <w:t>Fort Worth University Drive Courtyard</w:t>
            </w: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Fort Worth, TX</w:t>
            </w:r>
          </w:p>
        </w:tc>
        <w:tc>
          <w:tcPr>
            <w:tcW w:w="1060" w:type="dxa"/>
            <w:vAlign w:val="bottom"/>
          </w:tcPr>
          <w:p>
            <w:pPr>
              <w:jc w:val="right"/>
              <w:spacing w:after="0"/>
              <w:rPr>
                <w:sz w:val="20"/>
                <w:szCs w:val="20"/>
                <w:color w:val="auto"/>
              </w:rPr>
            </w:pPr>
            <w:r>
              <w:rPr>
                <w:rFonts w:ascii="Arial" w:cs="Arial" w:eastAsia="Arial" w:hAnsi="Arial"/>
                <w:sz w:val="14"/>
                <w:szCs w:val="14"/>
                <w:color w:val="auto"/>
              </w:rPr>
              <w:t>130</w:t>
            </w:r>
          </w:p>
        </w:tc>
      </w:tr>
      <w:tr>
        <w:trPr>
          <w:trHeight w:val="192"/>
        </w:trPr>
        <w:tc>
          <w:tcPr>
            <w:tcW w:w="67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Greensboro Courtyard</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Greensboro, NC</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r>
      <w:tr>
        <w:trPr>
          <w:trHeight w:val="186"/>
        </w:trPr>
        <w:tc>
          <w:tcPr>
            <w:tcW w:w="6720" w:type="dxa"/>
            <w:vAlign w:val="bottom"/>
            <w:gridSpan w:val="2"/>
          </w:tcPr>
          <w:p>
            <w:pPr>
              <w:ind w:left="480"/>
              <w:spacing w:after="0"/>
              <w:rPr>
                <w:sz w:val="20"/>
                <w:szCs w:val="20"/>
                <w:color w:val="auto"/>
              </w:rPr>
            </w:pPr>
            <w:r>
              <w:rPr>
                <w:rFonts w:ascii="Arial" w:cs="Arial" w:eastAsia="Arial" w:hAnsi="Arial"/>
                <w:sz w:val="14"/>
                <w:szCs w:val="14"/>
                <w:color w:val="auto"/>
              </w:rPr>
              <w:t>Indianapolis Airport Courtyard</w:t>
            </w: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Indianapolis, IN</w:t>
            </w:r>
          </w:p>
        </w:tc>
        <w:tc>
          <w:tcPr>
            <w:tcW w:w="106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192"/>
        </w:trPr>
        <w:tc>
          <w:tcPr>
            <w:tcW w:w="67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Irvine John Wayne Airport/Orange County Courtyard</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Irvine, CA</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r>
      <w:tr>
        <w:trPr>
          <w:trHeight w:val="186"/>
        </w:trPr>
        <w:tc>
          <w:tcPr>
            <w:tcW w:w="6720" w:type="dxa"/>
            <w:vAlign w:val="bottom"/>
            <w:gridSpan w:val="2"/>
          </w:tcPr>
          <w:p>
            <w:pPr>
              <w:ind w:left="480"/>
              <w:spacing w:after="0"/>
              <w:rPr>
                <w:sz w:val="20"/>
                <w:szCs w:val="20"/>
                <w:color w:val="auto"/>
              </w:rPr>
            </w:pPr>
            <w:r>
              <w:rPr>
                <w:rFonts w:ascii="Arial" w:cs="Arial" w:eastAsia="Arial" w:hAnsi="Arial"/>
                <w:sz w:val="14"/>
                <w:szCs w:val="14"/>
                <w:color w:val="auto"/>
              </w:rPr>
              <w:t>Louisville East Courtyard</w:t>
            </w: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Louisville, KY</w:t>
            </w:r>
          </w:p>
        </w:tc>
        <w:tc>
          <w:tcPr>
            <w:tcW w:w="106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192"/>
        </w:trPr>
        <w:tc>
          <w:tcPr>
            <w:tcW w:w="67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Mt. Laurel Courtyard</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Mt Laurel, NJ</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r>
      <w:tr>
        <w:trPr>
          <w:trHeight w:val="186"/>
        </w:trPr>
        <w:tc>
          <w:tcPr>
            <w:tcW w:w="6720" w:type="dxa"/>
            <w:vAlign w:val="bottom"/>
            <w:gridSpan w:val="2"/>
          </w:tcPr>
          <w:p>
            <w:pPr>
              <w:ind w:left="480"/>
              <w:spacing w:after="0"/>
              <w:rPr>
                <w:sz w:val="20"/>
                <w:szCs w:val="20"/>
                <w:color w:val="auto"/>
              </w:rPr>
            </w:pPr>
            <w:r>
              <w:rPr>
                <w:rFonts w:ascii="Arial" w:cs="Arial" w:eastAsia="Arial" w:hAnsi="Arial"/>
                <w:sz w:val="14"/>
                <w:szCs w:val="14"/>
                <w:color w:val="auto"/>
              </w:rPr>
              <w:t>Newark Liberty International Airport Courtyard</w:t>
            </w: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Newark, NJ</w:t>
            </w:r>
          </w:p>
        </w:tc>
        <w:tc>
          <w:tcPr>
            <w:tcW w:w="1060" w:type="dxa"/>
            <w:vAlign w:val="bottom"/>
          </w:tcPr>
          <w:p>
            <w:pPr>
              <w:jc w:val="right"/>
              <w:spacing w:after="0"/>
              <w:rPr>
                <w:sz w:val="20"/>
                <w:szCs w:val="20"/>
                <w:color w:val="auto"/>
              </w:rPr>
            </w:pPr>
            <w:r>
              <w:rPr>
                <w:rFonts w:ascii="Arial" w:cs="Arial" w:eastAsia="Arial" w:hAnsi="Arial"/>
                <w:sz w:val="14"/>
                <w:szCs w:val="14"/>
                <w:color w:val="auto"/>
              </w:rPr>
              <w:t>146</w:t>
            </w:r>
          </w:p>
        </w:tc>
      </w:tr>
      <w:tr>
        <w:trPr>
          <w:trHeight w:val="192"/>
        </w:trPr>
        <w:tc>
          <w:tcPr>
            <w:tcW w:w="67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Orlando Airport Courtyard</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Orlando, FL</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r>
      <w:tr>
        <w:trPr>
          <w:trHeight w:val="186"/>
        </w:trPr>
        <w:tc>
          <w:tcPr>
            <w:tcW w:w="6720" w:type="dxa"/>
            <w:vAlign w:val="bottom"/>
            <w:gridSpan w:val="2"/>
          </w:tcPr>
          <w:p>
            <w:pPr>
              <w:ind w:left="480"/>
              <w:spacing w:after="0"/>
              <w:rPr>
                <w:sz w:val="20"/>
                <w:szCs w:val="20"/>
                <w:color w:val="auto"/>
              </w:rPr>
            </w:pPr>
            <w:r>
              <w:rPr>
                <w:rFonts w:ascii="Arial" w:cs="Arial" w:eastAsia="Arial" w:hAnsi="Arial"/>
                <w:sz w:val="14"/>
                <w:szCs w:val="14"/>
                <w:color w:val="auto"/>
              </w:rPr>
              <w:t>Orlando International Drive/Convention Center Courtyard</w:t>
            </w: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Orlando, FL</w:t>
            </w:r>
          </w:p>
        </w:tc>
        <w:tc>
          <w:tcPr>
            <w:tcW w:w="106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192"/>
        </w:trPr>
        <w:tc>
          <w:tcPr>
            <w:tcW w:w="67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Renaissance New York Times Square Hotel</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New York, NY</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r>
      <w:tr>
        <w:trPr>
          <w:trHeight w:val="186"/>
        </w:trPr>
        <w:tc>
          <w:tcPr>
            <w:tcW w:w="6720" w:type="dxa"/>
            <w:vAlign w:val="bottom"/>
            <w:gridSpan w:val="2"/>
          </w:tcPr>
          <w:p>
            <w:pPr>
              <w:ind w:left="480"/>
              <w:spacing w:after="0"/>
              <w:rPr>
                <w:sz w:val="20"/>
                <w:szCs w:val="20"/>
                <w:color w:val="auto"/>
              </w:rPr>
            </w:pPr>
            <w:r>
              <w:rPr>
                <w:rFonts w:ascii="Arial" w:cs="Arial" w:eastAsia="Arial" w:hAnsi="Arial"/>
                <w:sz w:val="14"/>
                <w:szCs w:val="14"/>
                <w:color w:val="auto"/>
              </w:rPr>
              <w:t>Sacramento Airport Natomas Courtyard</w:t>
            </w: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Sacramento, CA</w:t>
            </w:r>
          </w:p>
        </w:tc>
        <w:tc>
          <w:tcPr>
            <w:tcW w:w="106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192"/>
        </w:trPr>
        <w:tc>
          <w:tcPr>
            <w:tcW w:w="67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San Diego Sorrento Valley Courtyard</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San Diego, CA</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r>
      <w:tr>
        <w:trPr>
          <w:trHeight w:val="186"/>
        </w:trPr>
        <w:tc>
          <w:tcPr>
            <w:tcW w:w="6720" w:type="dxa"/>
            <w:vAlign w:val="bottom"/>
            <w:gridSpan w:val="2"/>
          </w:tcPr>
          <w:p>
            <w:pPr>
              <w:ind w:left="480"/>
              <w:spacing w:after="0"/>
              <w:rPr>
                <w:sz w:val="20"/>
                <w:szCs w:val="20"/>
                <w:color w:val="auto"/>
              </w:rPr>
            </w:pPr>
            <w:r>
              <w:rPr>
                <w:rFonts w:ascii="Arial" w:cs="Arial" w:eastAsia="Arial" w:hAnsi="Arial"/>
                <w:sz w:val="14"/>
                <w:szCs w:val="14"/>
                <w:color w:val="auto"/>
              </w:rPr>
              <w:t>Spokane Downtown at the Convention Center Courtyard</w:t>
            </w: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Spokane, WA</w:t>
            </w:r>
          </w:p>
        </w:tc>
        <w:tc>
          <w:tcPr>
            <w:tcW w:w="106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192"/>
        </w:trPr>
        <w:tc>
          <w:tcPr>
            <w:tcW w:w="67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St. Louis Downtown West Courtyard</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 Louis, MO</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r>
      <w:tr>
        <w:trPr>
          <w:trHeight w:val="186"/>
        </w:trPr>
        <w:tc>
          <w:tcPr>
            <w:tcW w:w="6720" w:type="dxa"/>
            <w:vAlign w:val="bottom"/>
            <w:gridSpan w:val="2"/>
          </w:tcPr>
          <w:p>
            <w:pPr>
              <w:ind w:left="480"/>
              <w:spacing w:after="0"/>
              <w:rPr>
                <w:sz w:val="20"/>
                <w:szCs w:val="20"/>
                <w:color w:val="auto"/>
              </w:rPr>
            </w:pPr>
            <w:r>
              <w:rPr>
                <w:rFonts w:ascii="Arial" w:cs="Arial" w:eastAsia="Arial" w:hAnsi="Arial"/>
                <w:sz w:val="14"/>
                <w:szCs w:val="14"/>
                <w:color w:val="auto"/>
              </w:rPr>
              <w:t>W New York – Times Square</w:t>
            </w: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New York, NY</w:t>
            </w:r>
          </w:p>
        </w:tc>
        <w:tc>
          <w:tcPr>
            <w:tcW w:w="1060" w:type="dxa"/>
            <w:vAlign w:val="bottom"/>
          </w:tcPr>
          <w:p>
            <w:pPr>
              <w:jc w:val="right"/>
              <w:spacing w:after="0"/>
              <w:rPr>
                <w:sz w:val="20"/>
                <w:szCs w:val="20"/>
                <w:color w:val="auto"/>
              </w:rPr>
            </w:pPr>
            <w:r>
              <w:rPr>
                <w:rFonts w:ascii="Arial" w:cs="Arial" w:eastAsia="Arial" w:hAnsi="Arial"/>
                <w:sz w:val="14"/>
                <w:szCs w:val="14"/>
                <w:color w:val="auto"/>
              </w:rPr>
              <w:t>509</w:t>
            </w:r>
          </w:p>
        </w:tc>
      </w:tr>
      <w:tr>
        <w:trPr>
          <w:trHeight w:val="219"/>
        </w:trPr>
        <w:tc>
          <w:tcPr>
            <w:tcW w:w="6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186"/>
        </w:trPr>
        <w:tc>
          <w:tcPr>
            <w:tcW w:w="6720" w:type="dxa"/>
            <w:vAlign w:val="bottom"/>
            <w:gridSpan w:val="2"/>
          </w:tcPr>
          <w:p>
            <w:pPr>
              <w:ind w:left="20"/>
              <w:spacing w:after="0"/>
              <w:rPr>
                <w:sz w:val="20"/>
                <w:szCs w:val="20"/>
                <w:color w:val="auto"/>
              </w:rPr>
            </w:pPr>
            <w:r>
              <w:rPr>
                <w:rFonts w:ascii="Arial" w:cs="Arial" w:eastAsia="Arial" w:hAnsi="Arial"/>
                <w:sz w:val="14"/>
                <w:szCs w:val="14"/>
                <w:i w:val="1"/>
                <w:iCs w:val="1"/>
                <w:color w:val="auto"/>
              </w:rPr>
              <w:t>International Owned Hotels</w:t>
            </w:r>
          </w:p>
        </w:tc>
        <w:tc>
          <w:tcPr>
            <w:tcW w:w="2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2"/>
        </w:trPr>
        <w:tc>
          <w:tcPr>
            <w:tcW w:w="67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Courtyard by Marriott Aberdeen Airport</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Aberdeen, UK</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r>
    </w:tbl>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gridSpan w:val="2"/>
          </w:tcPr>
          <w:p>
            <w:pPr>
              <w:ind w:left="20"/>
              <w:spacing w:after="0"/>
              <w:rPr>
                <w:sz w:val="20"/>
                <w:szCs w:val="20"/>
                <w:color w:val="auto"/>
              </w:rPr>
            </w:pPr>
            <w:r>
              <w:rPr>
                <w:rFonts w:ascii="Arial" w:cs="Arial" w:eastAsia="Arial" w:hAnsi="Arial"/>
                <w:sz w:val="14"/>
                <w:szCs w:val="14"/>
                <w:b w:val="1"/>
                <w:bCs w:val="1"/>
                <w:color w:val="auto"/>
              </w:rPr>
              <w:t>Properties</w:t>
            </w:r>
          </w:p>
        </w:tc>
        <w:tc>
          <w:tcPr>
            <w:tcW w:w="2900" w:type="dxa"/>
            <w:vAlign w:val="bottom"/>
            <w:gridSpan w:val="2"/>
          </w:tcPr>
          <w:p>
            <w:pPr>
              <w:ind w:left="20"/>
              <w:spacing w:after="0"/>
              <w:rPr>
                <w:sz w:val="20"/>
                <w:szCs w:val="20"/>
                <w:color w:val="auto"/>
              </w:rPr>
            </w:pPr>
            <w:r>
              <w:rPr>
                <w:rFonts w:ascii="Arial" w:cs="Arial" w:eastAsia="Arial" w:hAnsi="Arial"/>
                <w:sz w:val="14"/>
                <w:szCs w:val="14"/>
                <w:b w:val="1"/>
                <w:bCs w:val="1"/>
                <w:color w:val="auto"/>
              </w:rPr>
              <w:t>Location</w:t>
            </w:r>
          </w:p>
        </w:tc>
        <w:tc>
          <w:tcPr>
            <w:tcW w:w="1060" w:type="dxa"/>
            <w:vAlign w:val="bottom"/>
          </w:tcPr>
          <w:p>
            <w:pPr>
              <w:jc w:val="right"/>
              <w:ind w:right="548"/>
              <w:spacing w:after="0"/>
              <w:rPr>
                <w:sz w:val="20"/>
                <w:szCs w:val="20"/>
                <w:color w:val="auto"/>
              </w:rPr>
            </w:pPr>
            <w:r>
              <w:rPr>
                <w:rFonts w:ascii="Arial" w:cs="Arial" w:eastAsia="Arial" w:hAnsi="Arial"/>
                <w:sz w:val="14"/>
                <w:szCs w:val="14"/>
                <w:b w:val="1"/>
                <w:bCs w:val="1"/>
                <w:color w:val="auto"/>
                <w:w w:val="88"/>
              </w:rPr>
              <w:t>Rooms</w:t>
            </w:r>
          </w:p>
        </w:tc>
      </w:tr>
      <w:tr>
        <w:trPr>
          <w:trHeight w:val="185"/>
        </w:trPr>
        <w:tc>
          <w:tcPr>
            <w:tcW w:w="6600" w:type="dxa"/>
            <w:vAlign w:val="bottom"/>
            <w:tcBorders>
              <w:top w:val="single" w:sz="8" w:color="auto"/>
            </w:tcBorders>
          </w:tcPr>
          <w:p>
            <w:pPr>
              <w:ind w:left="480"/>
              <w:spacing w:after="0"/>
              <w:rPr>
                <w:sz w:val="20"/>
                <w:szCs w:val="20"/>
                <w:color w:val="auto"/>
              </w:rPr>
            </w:pPr>
            <w:r>
              <w:rPr>
                <w:rFonts w:ascii="Arial" w:cs="Arial" w:eastAsia="Arial" w:hAnsi="Arial"/>
                <w:sz w:val="14"/>
                <w:szCs w:val="14"/>
                <w:color w:val="auto"/>
              </w:rPr>
              <w:t>Courtyard by Marriott Rio de Janeiro Barra da Tijuca</w:t>
            </w:r>
          </w:p>
        </w:tc>
        <w:tc>
          <w:tcPr>
            <w:tcW w:w="120" w:type="dxa"/>
            <w:vAlign w:val="bottom"/>
          </w:tcPr>
          <w:p>
            <w:pPr>
              <w:spacing w:after="0"/>
              <w:rPr>
                <w:sz w:val="16"/>
                <w:szCs w:val="16"/>
                <w:color w:val="auto"/>
              </w:rPr>
            </w:pPr>
          </w:p>
        </w:tc>
        <w:tc>
          <w:tcPr>
            <w:tcW w:w="27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Barra da Tijuca, Brazil</w:t>
            </w:r>
          </w:p>
        </w:tc>
        <w:tc>
          <w:tcPr>
            <w:tcW w:w="140" w:type="dxa"/>
            <w:vAlign w:val="bottom"/>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264</w:t>
            </w:r>
          </w:p>
        </w:tc>
      </w:tr>
      <w:tr>
        <w:trPr>
          <w:trHeight w:val="192"/>
        </w:trPr>
        <w:tc>
          <w:tcPr>
            <w:tcW w:w="67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Courtyard by Marriott Toulouse Airport</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Toulouse, France</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r>
      <w:tr>
        <w:trPr>
          <w:trHeight w:val="186"/>
        </w:trPr>
        <w:tc>
          <w:tcPr>
            <w:tcW w:w="6720" w:type="dxa"/>
            <w:vAlign w:val="bottom"/>
            <w:gridSpan w:val="2"/>
          </w:tcPr>
          <w:p>
            <w:pPr>
              <w:ind w:left="480"/>
              <w:spacing w:after="0"/>
              <w:rPr>
                <w:sz w:val="20"/>
                <w:szCs w:val="20"/>
                <w:color w:val="auto"/>
              </w:rPr>
            </w:pPr>
            <w:r>
              <w:rPr>
                <w:rFonts w:ascii="Arial" w:cs="Arial" w:eastAsia="Arial" w:hAnsi="Arial"/>
                <w:sz w:val="14"/>
                <w:szCs w:val="14"/>
                <w:color w:val="auto"/>
              </w:rPr>
              <w:t>Colony Club, Barbados</w:t>
            </w: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Barbados</w:t>
            </w:r>
          </w:p>
        </w:tc>
        <w:tc>
          <w:tcPr>
            <w:tcW w:w="1060" w:type="dxa"/>
            <w:vAlign w:val="bottom"/>
          </w:tcPr>
          <w:p>
            <w:pPr>
              <w:jc w:val="right"/>
              <w:spacing w:after="0"/>
              <w:rPr>
                <w:sz w:val="20"/>
                <w:szCs w:val="20"/>
                <w:color w:val="auto"/>
              </w:rPr>
            </w:pPr>
            <w:r>
              <w:rPr>
                <w:rFonts w:ascii="Arial" w:cs="Arial" w:eastAsia="Arial" w:hAnsi="Arial"/>
                <w:sz w:val="14"/>
                <w:szCs w:val="14"/>
                <w:color w:val="auto"/>
              </w:rPr>
              <w:t>96</w:t>
            </w:r>
          </w:p>
        </w:tc>
      </w:tr>
      <w:tr>
        <w:trPr>
          <w:trHeight w:val="192"/>
        </w:trPr>
        <w:tc>
          <w:tcPr>
            <w:tcW w:w="67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Crystal Cove, Barbados</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Barbados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r>
      <w:tr>
        <w:trPr>
          <w:trHeight w:val="186"/>
        </w:trPr>
        <w:tc>
          <w:tcPr>
            <w:tcW w:w="6720" w:type="dxa"/>
            <w:vAlign w:val="bottom"/>
            <w:gridSpan w:val="2"/>
          </w:tcPr>
          <w:p>
            <w:pPr>
              <w:ind w:left="480"/>
              <w:spacing w:after="0"/>
              <w:rPr>
                <w:sz w:val="20"/>
                <w:szCs w:val="20"/>
                <w:color w:val="auto"/>
              </w:rPr>
            </w:pPr>
            <w:r>
              <w:rPr>
                <w:rFonts w:ascii="Arial" w:cs="Arial" w:eastAsia="Arial" w:hAnsi="Arial"/>
                <w:sz w:val="14"/>
                <w:szCs w:val="14"/>
                <w:color w:val="auto"/>
              </w:rPr>
              <w:t>Marriott Puerto Vallarta Resort &amp; Spa</w:t>
            </w: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Mexico</w:t>
            </w:r>
          </w:p>
        </w:tc>
        <w:tc>
          <w:tcPr>
            <w:tcW w:w="1060" w:type="dxa"/>
            <w:vAlign w:val="bottom"/>
          </w:tcPr>
          <w:p>
            <w:pPr>
              <w:jc w:val="right"/>
              <w:spacing w:after="0"/>
              <w:rPr>
                <w:sz w:val="20"/>
                <w:szCs w:val="20"/>
                <w:color w:val="auto"/>
              </w:rPr>
            </w:pPr>
            <w:r>
              <w:rPr>
                <w:rFonts w:ascii="Arial" w:cs="Arial" w:eastAsia="Arial" w:hAnsi="Arial"/>
                <w:sz w:val="14"/>
                <w:szCs w:val="14"/>
                <w:color w:val="auto"/>
              </w:rPr>
              <w:t>433</w:t>
            </w:r>
          </w:p>
        </w:tc>
      </w:tr>
      <w:tr>
        <w:trPr>
          <w:trHeight w:val="192"/>
        </w:trPr>
        <w:tc>
          <w:tcPr>
            <w:tcW w:w="67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Residence Inn Rio de Janeiro Barra da Tijuca</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Barra da Tijuca, Brazil</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r>
      <w:tr>
        <w:trPr>
          <w:trHeight w:val="186"/>
        </w:trPr>
        <w:tc>
          <w:tcPr>
            <w:tcW w:w="6720" w:type="dxa"/>
            <w:vAlign w:val="bottom"/>
            <w:gridSpan w:val="2"/>
          </w:tcPr>
          <w:p>
            <w:pPr>
              <w:ind w:left="480"/>
              <w:spacing w:after="0"/>
              <w:rPr>
                <w:sz w:val="20"/>
                <w:szCs w:val="20"/>
                <w:color w:val="auto"/>
              </w:rPr>
            </w:pPr>
            <w:r>
              <w:rPr>
                <w:rFonts w:ascii="Arial" w:cs="Arial" w:eastAsia="Arial" w:hAnsi="Arial"/>
                <w:sz w:val="14"/>
                <w:szCs w:val="14"/>
                <w:color w:val="auto"/>
              </w:rPr>
              <w:t>Sheraton Grand Rio Hotel &amp; Resort</w:t>
            </w: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Rio de Janeiro, Brazil</w:t>
            </w:r>
          </w:p>
        </w:tc>
        <w:tc>
          <w:tcPr>
            <w:tcW w:w="1060" w:type="dxa"/>
            <w:vAlign w:val="bottom"/>
          </w:tcPr>
          <w:p>
            <w:pPr>
              <w:jc w:val="right"/>
              <w:spacing w:after="0"/>
              <w:rPr>
                <w:sz w:val="20"/>
                <w:szCs w:val="20"/>
                <w:color w:val="auto"/>
              </w:rPr>
            </w:pPr>
            <w:r>
              <w:rPr>
                <w:rFonts w:ascii="Arial" w:cs="Arial" w:eastAsia="Arial" w:hAnsi="Arial"/>
                <w:sz w:val="14"/>
                <w:szCs w:val="14"/>
                <w:color w:val="auto"/>
              </w:rPr>
              <w:t>538</w:t>
            </w:r>
          </w:p>
        </w:tc>
      </w:tr>
      <w:tr>
        <w:trPr>
          <w:trHeight w:val="192"/>
        </w:trPr>
        <w:tc>
          <w:tcPr>
            <w:tcW w:w="67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Sheraton Lima Hotel &amp; Convention Center</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Lima, Peru</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w:t>
            </w:r>
          </w:p>
        </w:tc>
      </w:tr>
      <w:tr>
        <w:trPr>
          <w:trHeight w:val="186"/>
        </w:trPr>
        <w:tc>
          <w:tcPr>
            <w:tcW w:w="6720" w:type="dxa"/>
            <w:vAlign w:val="bottom"/>
            <w:gridSpan w:val="2"/>
          </w:tcPr>
          <w:p>
            <w:pPr>
              <w:ind w:left="480"/>
              <w:spacing w:after="0"/>
              <w:rPr>
                <w:sz w:val="20"/>
                <w:szCs w:val="20"/>
                <w:color w:val="auto"/>
              </w:rPr>
            </w:pPr>
            <w:r>
              <w:rPr>
                <w:rFonts w:ascii="Arial" w:cs="Arial" w:eastAsia="Arial" w:hAnsi="Arial"/>
                <w:sz w:val="14"/>
                <w:szCs w:val="14"/>
                <w:color w:val="auto"/>
              </w:rPr>
              <w:t>Sheraton Mexico City Maria Isabel Hotel</w:t>
            </w: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Mexico City, Mexico</w:t>
            </w:r>
          </w:p>
        </w:tc>
        <w:tc>
          <w:tcPr>
            <w:tcW w:w="1060" w:type="dxa"/>
            <w:vAlign w:val="bottom"/>
          </w:tcPr>
          <w:p>
            <w:pPr>
              <w:jc w:val="right"/>
              <w:spacing w:after="0"/>
              <w:rPr>
                <w:sz w:val="20"/>
                <w:szCs w:val="20"/>
                <w:color w:val="auto"/>
              </w:rPr>
            </w:pPr>
            <w:r>
              <w:rPr>
                <w:rFonts w:ascii="Arial" w:cs="Arial" w:eastAsia="Arial" w:hAnsi="Arial"/>
                <w:sz w:val="14"/>
                <w:szCs w:val="14"/>
                <w:color w:val="auto"/>
              </w:rPr>
              <w:t>755</w:t>
            </w:r>
          </w:p>
        </w:tc>
      </w:tr>
      <w:tr>
        <w:trPr>
          <w:trHeight w:val="192"/>
        </w:trPr>
        <w:tc>
          <w:tcPr>
            <w:tcW w:w="67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Tamarind, Barbados</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Barbados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r>
      <w:tr>
        <w:trPr>
          <w:trHeight w:val="186"/>
        </w:trPr>
        <w:tc>
          <w:tcPr>
            <w:tcW w:w="6720" w:type="dxa"/>
            <w:vAlign w:val="bottom"/>
            <w:gridSpan w:val="2"/>
          </w:tcPr>
          <w:p>
            <w:pPr>
              <w:ind w:left="480"/>
              <w:spacing w:after="0"/>
              <w:rPr>
                <w:sz w:val="20"/>
                <w:szCs w:val="20"/>
                <w:color w:val="auto"/>
              </w:rPr>
            </w:pPr>
            <w:r>
              <w:rPr>
                <w:rFonts w:ascii="Arial" w:cs="Arial" w:eastAsia="Arial" w:hAnsi="Arial"/>
                <w:sz w:val="14"/>
                <w:szCs w:val="14"/>
                <w:color w:val="auto"/>
              </w:rPr>
              <w:t>The House, Barbados</w:t>
            </w: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Barbados</w:t>
            </w:r>
          </w:p>
        </w:tc>
        <w:tc>
          <w:tcPr>
            <w:tcW w:w="10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192"/>
        </w:trPr>
        <w:tc>
          <w:tcPr>
            <w:tcW w:w="67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Treasure Beach, Barbados</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Barbados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186"/>
        </w:trPr>
        <w:tc>
          <w:tcPr>
            <w:tcW w:w="6720" w:type="dxa"/>
            <w:vAlign w:val="bottom"/>
            <w:gridSpan w:val="2"/>
          </w:tcPr>
          <w:p>
            <w:pPr>
              <w:ind w:left="480"/>
              <w:spacing w:after="0"/>
              <w:rPr>
                <w:sz w:val="20"/>
                <w:szCs w:val="20"/>
                <w:color w:val="auto"/>
              </w:rPr>
            </w:pPr>
            <w:r>
              <w:rPr>
                <w:rFonts w:ascii="Arial" w:cs="Arial" w:eastAsia="Arial" w:hAnsi="Arial"/>
                <w:sz w:val="14"/>
                <w:szCs w:val="14"/>
                <w:color w:val="auto"/>
              </w:rPr>
              <w:t>Turtle Beach, Barbados</w:t>
            </w: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Barbados</w:t>
            </w:r>
          </w:p>
        </w:tc>
        <w:tc>
          <w:tcPr>
            <w:tcW w:w="1060" w:type="dxa"/>
            <w:vAlign w:val="bottom"/>
          </w:tcPr>
          <w:p>
            <w:pPr>
              <w:jc w:val="right"/>
              <w:spacing w:after="0"/>
              <w:rPr>
                <w:sz w:val="20"/>
                <w:szCs w:val="20"/>
                <w:color w:val="auto"/>
              </w:rPr>
            </w:pPr>
            <w:r>
              <w:rPr>
                <w:rFonts w:ascii="Arial" w:cs="Arial" w:eastAsia="Arial" w:hAnsi="Arial"/>
                <w:sz w:val="14"/>
                <w:szCs w:val="14"/>
                <w:color w:val="auto"/>
              </w:rPr>
              <w:t>161</w:t>
            </w:r>
          </w:p>
        </w:tc>
      </w:tr>
      <w:tr>
        <w:trPr>
          <w:trHeight w:val="192"/>
        </w:trPr>
        <w:tc>
          <w:tcPr>
            <w:tcW w:w="67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Waves, Barbados</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Barbados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r>
      <w:tr>
        <w:trPr>
          <w:trHeight w:val="186"/>
        </w:trPr>
        <w:tc>
          <w:tcPr>
            <w:tcW w:w="6720" w:type="dxa"/>
            <w:vAlign w:val="bottom"/>
            <w:gridSpan w:val="2"/>
          </w:tcPr>
          <w:p>
            <w:pPr>
              <w:ind w:left="20"/>
              <w:spacing w:after="0"/>
              <w:rPr>
                <w:sz w:val="20"/>
                <w:szCs w:val="20"/>
                <w:color w:val="auto"/>
              </w:rPr>
            </w:pPr>
            <w:r>
              <w:rPr>
                <w:rFonts w:ascii="Arial" w:cs="Arial" w:eastAsia="Arial" w:hAnsi="Arial"/>
                <w:sz w:val="14"/>
                <w:szCs w:val="14"/>
                <w:i w:val="1"/>
                <w:iCs w:val="1"/>
                <w:color w:val="auto"/>
              </w:rPr>
              <w:t>International Leased Hotels</w:t>
            </w:r>
          </w:p>
        </w:tc>
        <w:tc>
          <w:tcPr>
            <w:tcW w:w="2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2"/>
        </w:trPr>
        <w:tc>
          <w:tcPr>
            <w:tcW w:w="67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15 on Orange Hotel, Autograph Collection</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Cape Town, South Africa</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r>
      <w:tr>
        <w:trPr>
          <w:trHeight w:val="186"/>
        </w:trPr>
        <w:tc>
          <w:tcPr>
            <w:tcW w:w="6720" w:type="dxa"/>
            <w:vAlign w:val="bottom"/>
            <w:gridSpan w:val="2"/>
          </w:tcPr>
          <w:p>
            <w:pPr>
              <w:ind w:left="480"/>
              <w:spacing w:after="0"/>
              <w:rPr>
                <w:sz w:val="20"/>
                <w:szCs w:val="20"/>
                <w:color w:val="auto"/>
              </w:rPr>
            </w:pPr>
            <w:r>
              <w:rPr>
                <w:rFonts w:ascii="Arial" w:cs="Arial" w:eastAsia="Arial" w:hAnsi="Arial"/>
                <w:sz w:val="14"/>
                <w:szCs w:val="14"/>
                <w:color w:val="auto"/>
              </w:rPr>
              <w:t>African Pride Melrose Arch, Autograph Collection</w:t>
            </w: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Johannesburg, South Africa</w:t>
            </w:r>
          </w:p>
        </w:tc>
        <w:tc>
          <w:tcPr>
            <w:tcW w:w="1060" w:type="dxa"/>
            <w:vAlign w:val="bottom"/>
          </w:tcPr>
          <w:p>
            <w:pPr>
              <w:jc w:val="right"/>
              <w:spacing w:after="0"/>
              <w:rPr>
                <w:sz w:val="20"/>
                <w:szCs w:val="20"/>
                <w:color w:val="auto"/>
              </w:rPr>
            </w:pPr>
            <w:r>
              <w:rPr>
                <w:rFonts w:ascii="Arial" w:cs="Arial" w:eastAsia="Arial" w:hAnsi="Arial"/>
                <w:sz w:val="14"/>
                <w:szCs w:val="14"/>
                <w:color w:val="auto"/>
              </w:rPr>
              <w:t>118</w:t>
            </w:r>
          </w:p>
        </w:tc>
      </w:tr>
      <w:tr>
        <w:trPr>
          <w:trHeight w:val="192"/>
        </w:trPr>
        <w:tc>
          <w:tcPr>
            <w:tcW w:w="67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Berlin Marriott Hotel</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Berlin, Germany</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r>
      <w:tr>
        <w:trPr>
          <w:trHeight w:val="186"/>
        </w:trPr>
        <w:tc>
          <w:tcPr>
            <w:tcW w:w="6720" w:type="dxa"/>
            <w:vAlign w:val="bottom"/>
            <w:gridSpan w:val="2"/>
          </w:tcPr>
          <w:p>
            <w:pPr>
              <w:ind w:left="480"/>
              <w:spacing w:after="0"/>
              <w:rPr>
                <w:sz w:val="20"/>
                <w:szCs w:val="20"/>
                <w:color w:val="auto"/>
              </w:rPr>
            </w:pPr>
            <w:r>
              <w:rPr>
                <w:rFonts w:ascii="Arial" w:cs="Arial" w:eastAsia="Arial" w:hAnsi="Arial"/>
                <w:sz w:val="14"/>
                <w:szCs w:val="14"/>
                <w:color w:val="auto"/>
              </w:rPr>
              <w:t>Cape Town Marriott Hotel Crystal Towers</w:t>
            </w: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Cape Town, South Africa</w:t>
            </w:r>
          </w:p>
        </w:tc>
        <w:tc>
          <w:tcPr>
            <w:tcW w:w="106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192"/>
        </w:trPr>
        <w:tc>
          <w:tcPr>
            <w:tcW w:w="67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Courtyard by Marriott Paris Gare de Lyon</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Paris, France</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r>
      <w:tr>
        <w:trPr>
          <w:trHeight w:val="186"/>
        </w:trPr>
        <w:tc>
          <w:tcPr>
            <w:tcW w:w="6720" w:type="dxa"/>
            <w:vAlign w:val="bottom"/>
            <w:gridSpan w:val="2"/>
          </w:tcPr>
          <w:p>
            <w:pPr>
              <w:ind w:left="480"/>
              <w:spacing w:after="0"/>
              <w:rPr>
                <w:sz w:val="20"/>
                <w:szCs w:val="20"/>
                <w:color w:val="auto"/>
              </w:rPr>
            </w:pPr>
            <w:r>
              <w:rPr>
                <w:rFonts w:ascii="Arial" w:cs="Arial" w:eastAsia="Arial" w:hAnsi="Arial"/>
                <w:sz w:val="14"/>
                <w:szCs w:val="14"/>
                <w:color w:val="auto"/>
              </w:rPr>
              <w:t>Frankfurt Marriott Hotel</w:t>
            </w: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Frankfurt, Germany</w:t>
            </w:r>
          </w:p>
        </w:tc>
        <w:tc>
          <w:tcPr>
            <w:tcW w:w="1060" w:type="dxa"/>
            <w:vAlign w:val="bottom"/>
          </w:tcPr>
          <w:p>
            <w:pPr>
              <w:jc w:val="right"/>
              <w:spacing w:after="0"/>
              <w:rPr>
                <w:sz w:val="20"/>
                <w:szCs w:val="20"/>
                <w:color w:val="auto"/>
              </w:rPr>
            </w:pPr>
            <w:r>
              <w:rPr>
                <w:rFonts w:ascii="Arial" w:cs="Arial" w:eastAsia="Arial" w:hAnsi="Arial"/>
                <w:sz w:val="14"/>
                <w:szCs w:val="14"/>
                <w:color w:val="auto"/>
              </w:rPr>
              <w:t>593</w:t>
            </w:r>
          </w:p>
        </w:tc>
      </w:tr>
      <w:tr>
        <w:trPr>
          <w:trHeight w:val="192"/>
        </w:trPr>
        <w:tc>
          <w:tcPr>
            <w:tcW w:w="67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Grosvenor House, A JW Marriott Hotel</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London, UK</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w:t>
            </w:r>
          </w:p>
        </w:tc>
      </w:tr>
      <w:tr>
        <w:trPr>
          <w:trHeight w:val="186"/>
        </w:trPr>
        <w:tc>
          <w:tcPr>
            <w:tcW w:w="6720" w:type="dxa"/>
            <w:vAlign w:val="bottom"/>
            <w:gridSpan w:val="2"/>
          </w:tcPr>
          <w:p>
            <w:pPr>
              <w:ind w:left="480"/>
              <w:spacing w:after="0"/>
              <w:rPr>
                <w:sz w:val="20"/>
                <w:szCs w:val="20"/>
                <w:color w:val="auto"/>
              </w:rPr>
            </w:pPr>
            <w:r>
              <w:rPr>
                <w:rFonts w:ascii="Arial" w:cs="Arial" w:eastAsia="Arial" w:hAnsi="Arial"/>
                <w:sz w:val="14"/>
                <w:szCs w:val="14"/>
                <w:color w:val="auto"/>
              </w:rPr>
              <w:t>Heidelberg Marriott Hotel</w:t>
            </w: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Heidelberg, Germany</w:t>
            </w:r>
          </w:p>
        </w:tc>
        <w:tc>
          <w:tcPr>
            <w:tcW w:w="1060" w:type="dxa"/>
            <w:vAlign w:val="bottom"/>
          </w:tcPr>
          <w:p>
            <w:pPr>
              <w:jc w:val="right"/>
              <w:spacing w:after="0"/>
              <w:rPr>
                <w:sz w:val="20"/>
                <w:szCs w:val="20"/>
                <w:color w:val="auto"/>
              </w:rPr>
            </w:pPr>
            <w:r>
              <w:rPr>
                <w:rFonts w:ascii="Arial" w:cs="Arial" w:eastAsia="Arial" w:hAnsi="Arial"/>
                <w:sz w:val="14"/>
                <w:szCs w:val="14"/>
                <w:color w:val="auto"/>
              </w:rPr>
              <w:t>248</w:t>
            </w:r>
          </w:p>
        </w:tc>
      </w:tr>
      <w:tr>
        <w:trPr>
          <w:trHeight w:val="192"/>
        </w:trPr>
        <w:tc>
          <w:tcPr>
            <w:tcW w:w="67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Hotel Alfonso XIII, a Luxury Collection Hotel, Seville</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Seville, Spain</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r>
      <w:tr>
        <w:trPr>
          <w:trHeight w:val="186"/>
        </w:trPr>
        <w:tc>
          <w:tcPr>
            <w:tcW w:w="6720" w:type="dxa"/>
            <w:vAlign w:val="bottom"/>
            <w:gridSpan w:val="2"/>
          </w:tcPr>
          <w:p>
            <w:pPr>
              <w:ind w:left="480"/>
              <w:spacing w:after="0"/>
              <w:rPr>
                <w:sz w:val="20"/>
                <w:szCs w:val="20"/>
                <w:color w:val="auto"/>
              </w:rPr>
            </w:pPr>
            <w:r>
              <w:rPr>
                <w:rFonts w:ascii="Arial" w:cs="Arial" w:eastAsia="Arial" w:hAnsi="Arial"/>
                <w:sz w:val="14"/>
                <w:szCs w:val="14"/>
                <w:color w:val="auto"/>
              </w:rPr>
              <w:t>Hotel Maria Cristina, San Sebastian</w:t>
            </w: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San Sebastian, Spain</w:t>
            </w:r>
          </w:p>
        </w:tc>
        <w:tc>
          <w:tcPr>
            <w:tcW w:w="1060" w:type="dxa"/>
            <w:vAlign w:val="bottom"/>
          </w:tcPr>
          <w:p>
            <w:pPr>
              <w:jc w:val="right"/>
              <w:spacing w:after="0"/>
              <w:rPr>
                <w:sz w:val="20"/>
                <w:szCs w:val="20"/>
                <w:color w:val="auto"/>
              </w:rPr>
            </w:pPr>
            <w:r>
              <w:rPr>
                <w:rFonts w:ascii="Arial" w:cs="Arial" w:eastAsia="Arial" w:hAnsi="Arial"/>
                <w:sz w:val="14"/>
                <w:szCs w:val="14"/>
                <w:color w:val="auto"/>
              </w:rPr>
              <w:t>139</w:t>
            </w:r>
          </w:p>
        </w:tc>
      </w:tr>
      <w:tr>
        <w:trPr>
          <w:trHeight w:val="192"/>
        </w:trPr>
        <w:tc>
          <w:tcPr>
            <w:tcW w:w="67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Leipzig Marriott Hotel</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Leipzig, Germany</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r>
      <w:tr>
        <w:trPr>
          <w:trHeight w:val="186"/>
        </w:trPr>
        <w:tc>
          <w:tcPr>
            <w:tcW w:w="6720" w:type="dxa"/>
            <w:vAlign w:val="bottom"/>
            <w:gridSpan w:val="2"/>
          </w:tcPr>
          <w:p>
            <w:pPr>
              <w:ind w:left="480"/>
              <w:spacing w:after="0"/>
              <w:rPr>
                <w:sz w:val="20"/>
                <w:szCs w:val="20"/>
                <w:color w:val="auto"/>
              </w:rPr>
            </w:pPr>
            <w:r>
              <w:rPr>
                <w:rFonts w:ascii="Arial" w:cs="Arial" w:eastAsia="Arial" w:hAnsi="Arial"/>
                <w:sz w:val="14"/>
                <w:szCs w:val="14"/>
                <w:color w:val="auto"/>
              </w:rPr>
              <w:t>Protea Hotel by Marriott Cape Town Sea Point</w:t>
            </w: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Cape Town, South Africa</w:t>
            </w:r>
          </w:p>
        </w:tc>
        <w:tc>
          <w:tcPr>
            <w:tcW w:w="106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192"/>
        </w:trPr>
        <w:tc>
          <w:tcPr>
            <w:tcW w:w="67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Protea Hotel by Marriott Midrand</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Midrand, South Africa</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r>
      <w:tr>
        <w:trPr>
          <w:trHeight w:val="186"/>
        </w:trPr>
        <w:tc>
          <w:tcPr>
            <w:tcW w:w="6720" w:type="dxa"/>
            <w:vAlign w:val="bottom"/>
            <w:gridSpan w:val="2"/>
          </w:tcPr>
          <w:p>
            <w:pPr>
              <w:ind w:left="480"/>
              <w:spacing w:after="0"/>
              <w:rPr>
                <w:sz w:val="20"/>
                <w:szCs w:val="20"/>
                <w:color w:val="auto"/>
              </w:rPr>
            </w:pPr>
            <w:r>
              <w:rPr>
                <w:rFonts w:ascii="Arial" w:cs="Arial" w:eastAsia="Arial" w:hAnsi="Arial"/>
                <w:sz w:val="14"/>
                <w:szCs w:val="14"/>
                <w:color w:val="auto"/>
              </w:rPr>
              <w:t>Protea Hotel by Marriott O.R. Tambo Airport</w:t>
            </w: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Johannesburg, South Africa</w:t>
            </w:r>
          </w:p>
        </w:tc>
        <w:tc>
          <w:tcPr>
            <w:tcW w:w="1060" w:type="dxa"/>
            <w:vAlign w:val="bottom"/>
          </w:tcPr>
          <w:p>
            <w:pPr>
              <w:jc w:val="right"/>
              <w:spacing w:after="0"/>
              <w:rPr>
                <w:sz w:val="20"/>
                <w:szCs w:val="20"/>
                <w:color w:val="auto"/>
              </w:rPr>
            </w:pPr>
            <w:r>
              <w:rPr>
                <w:rFonts w:ascii="Arial" w:cs="Arial" w:eastAsia="Arial" w:hAnsi="Arial"/>
                <w:sz w:val="14"/>
                <w:szCs w:val="14"/>
                <w:color w:val="auto"/>
              </w:rPr>
              <w:t>213</w:t>
            </w:r>
          </w:p>
        </w:tc>
      </w:tr>
      <w:tr>
        <w:trPr>
          <w:trHeight w:val="192"/>
        </w:trPr>
        <w:tc>
          <w:tcPr>
            <w:tcW w:w="67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Protea Hotel by Marriott Roodepoort</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Roodepoort, South Africa</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186"/>
        </w:trPr>
        <w:tc>
          <w:tcPr>
            <w:tcW w:w="6720" w:type="dxa"/>
            <w:vAlign w:val="bottom"/>
            <w:gridSpan w:val="2"/>
          </w:tcPr>
          <w:p>
            <w:pPr>
              <w:ind w:left="480"/>
              <w:spacing w:after="0"/>
              <w:rPr>
                <w:sz w:val="20"/>
                <w:szCs w:val="20"/>
                <w:color w:val="auto"/>
              </w:rPr>
            </w:pPr>
            <w:r>
              <w:rPr>
                <w:rFonts w:ascii="Arial" w:cs="Arial" w:eastAsia="Arial" w:hAnsi="Arial"/>
                <w:sz w:val="14"/>
                <w:szCs w:val="14"/>
                <w:color w:val="auto"/>
              </w:rPr>
              <w:t>Protea Hotel Fire &amp; Ice! by Marriott Cape Town</w:t>
            </w: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Cape Town, South Africa</w:t>
            </w:r>
          </w:p>
        </w:tc>
        <w:tc>
          <w:tcPr>
            <w:tcW w:w="1060" w:type="dxa"/>
            <w:vAlign w:val="bottom"/>
          </w:tcPr>
          <w:p>
            <w:pPr>
              <w:jc w:val="right"/>
              <w:spacing w:after="0"/>
              <w:rPr>
                <w:sz w:val="20"/>
                <w:szCs w:val="20"/>
                <w:color w:val="auto"/>
              </w:rPr>
            </w:pPr>
            <w:r>
              <w:rPr>
                <w:rFonts w:ascii="Arial" w:cs="Arial" w:eastAsia="Arial" w:hAnsi="Arial"/>
                <w:sz w:val="14"/>
                <w:szCs w:val="14"/>
                <w:color w:val="auto"/>
              </w:rPr>
              <w:t>201</w:t>
            </w:r>
          </w:p>
        </w:tc>
      </w:tr>
      <w:tr>
        <w:trPr>
          <w:trHeight w:val="192"/>
        </w:trPr>
        <w:tc>
          <w:tcPr>
            <w:tcW w:w="67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Protea Hotel Fire &amp; Ice! by Marriott Johannesburg Melrose Arch</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Johannesburg, South Africa</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r>
      <w:tr>
        <w:trPr>
          <w:trHeight w:val="186"/>
        </w:trPr>
        <w:tc>
          <w:tcPr>
            <w:tcW w:w="6720" w:type="dxa"/>
            <w:vAlign w:val="bottom"/>
            <w:gridSpan w:val="2"/>
          </w:tcPr>
          <w:p>
            <w:pPr>
              <w:ind w:left="480"/>
              <w:spacing w:after="0"/>
              <w:rPr>
                <w:sz w:val="20"/>
                <w:szCs w:val="20"/>
                <w:color w:val="auto"/>
              </w:rPr>
            </w:pPr>
            <w:r>
              <w:rPr>
                <w:rFonts w:ascii="Arial" w:cs="Arial" w:eastAsia="Arial" w:hAnsi="Arial"/>
                <w:sz w:val="14"/>
                <w:szCs w:val="14"/>
                <w:color w:val="auto"/>
              </w:rPr>
              <w:t>Renaissance Hamburg Hotel</w:t>
            </w: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Hamburg, Germany</w:t>
            </w:r>
          </w:p>
        </w:tc>
        <w:tc>
          <w:tcPr>
            <w:tcW w:w="1060" w:type="dxa"/>
            <w:vAlign w:val="bottom"/>
          </w:tcPr>
          <w:p>
            <w:pPr>
              <w:jc w:val="right"/>
              <w:spacing w:after="0"/>
              <w:rPr>
                <w:sz w:val="20"/>
                <w:szCs w:val="20"/>
                <w:color w:val="auto"/>
              </w:rPr>
            </w:pPr>
            <w:r>
              <w:rPr>
                <w:rFonts w:ascii="Arial" w:cs="Arial" w:eastAsia="Arial" w:hAnsi="Arial"/>
                <w:sz w:val="14"/>
                <w:szCs w:val="14"/>
                <w:color w:val="auto"/>
              </w:rPr>
              <w:t>205</w:t>
            </w:r>
          </w:p>
        </w:tc>
      </w:tr>
      <w:tr>
        <w:trPr>
          <w:trHeight w:val="192"/>
        </w:trPr>
        <w:tc>
          <w:tcPr>
            <w:tcW w:w="67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Renaissance Santo Domingo Jaragua Hotel &amp; Casino</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Santo Domingo, Dominican Republic</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r>
      <w:tr>
        <w:trPr>
          <w:trHeight w:val="186"/>
        </w:trPr>
        <w:tc>
          <w:tcPr>
            <w:tcW w:w="6720" w:type="dxa"/>
            <w:vAlign w:val="bottom"/>
            <w:gridSpan w:val="2"/>
          </w:tcPr>
          <w:p>
            <w:pPr>
              <w:ind w:left="480"/>
              <w:spacing w:after="0"/>
              <w:rPr>
                <w:sz w:val="20"/>
                <w:szCs w:val="20"/>
                <w:color w:val="auto"/>
              </w:rPr>
            </w:pPr>
            <w:r>
              <w:rPr>
                <w:rFonts w:ascii="Arial" w:cs="Arial" w:eastAsia="Arial" w:hAnsi="Arial"/>
                <w:sz w:val="14"/>
                <w:szCs w:val="14"/>
                <w:color w:val="auto"/>
              </w:rPr>
              <w:t>Sheraton Diana Majestic, Milan</w:t>
            </w: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Milan, Italy</w:t>
            </w:r>
          </w:p>
        </w:tc>
        <w:tc>
          <w:tcPr>
            <w:tcW w:w="1060" w:type="dxa"/>
            <w:vAlign w:val="bottom"/>
          </w:tcPr>
          <w:p>
            <w:pPr>
              <w:jc w:val="right"/>
              <w:spacing w:after="0"/>
              <w:rPr>
                <w:sz w:val="20"/>
                <w:szCs w:val="20"/>
                <w:color w:val="auto"/>
              </w:rPr>
            </w:pPr>
            <w:r>
              <w:rPr>
                <w:rFonts w:ascii="Arial" w:cs="Arial" w:eastAsia="Arial" w:hAnsi="Arial"/>
                <w:sz w:val="14"/>
                <w:szCs w:val="14"/>
                <w:color w:val="auto"/>
              </w:rPr>
              <w:t>106</w:t>
            </w:r>
          </w:p>
        </w:tc>
      </w:tr>
      <w:tr>
        <w:trPr>
          <w:trHeight w:val="192"/>
        </w:trPr>
        <w:tc>
          <w:tcPr>
            <w:tcW w:w="67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The Ritz-Carlton, Berlin</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Berlin, Germany</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r>
      <w:tr>
        <w:trPr>
          <w:trHeight w:val="186"/>
        </w:trPr>
        <w:tc>
          <w:tcPr>
            <w:tcW w:w="6720" w:type="dxa"/>
            <w:vAlign w:val="bottom"/>
            <w:gridSpan w:val="2"/>
          </w:tcPr>
          <w:p>
            <w:pPr>
              <w:ind w:left="480"/>
              <w:spacing w:after="0"/>
              <w:rPr>
                <w:sz w:val="20"/>
                <w:szCs w:val="20"/>
                <w:color w:val="auto"/>
              </w:rPr>
            </w:pPr>
            <w:r>
              <w:rPr>
                <w:rFonts w:ascii="Arial" w:cs="Arial" w:eastAsia="Arial" w:hAnsi="Arial"/>
                <w:sz w:val="14"/>
                <w:szCs w:val="14"/>
                <w:color w:val="auto"/>
              </w:rPr>
              <w:t>The Ritz-Carlton, Tokyo</w:t>
            </w: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Tokyo, Japan</w:t>
            </w:r>
          </w:p>
        </w:tc>
        <w:tc>
          <w:tcPr>
            <w:tcW w:w="1060" w:type="dxa"/>
            <w:vAlign w:val="bottom"/>
          </w:tcPr>
          <w:p>
            <w:pPr>
              <w:jc w:val="right"/>
              <w:spacing w:after="0"/>
              <w:rPr>
                <w:sz w:val="20"/>
                <w:szCs w:val="20"/>
                <w:color w:val="auto"/>
              </w:rPr>
            </w:pPr>
            <w:r>
              <w:rPr>
                <w:rFonts w:ascii="Arial" w:cs="Arial" w:eastAsia="Arial" w:hAnsi="Arial"/>
                <w:sz w:val="14"/>
                <w:szCs w:val="14"/>
                <w:color w:val="auto"/>
              </w:rPr>
              <w:t>247</w:t>
            </w:r>
          </w:p>
        </w:tc>
      </w:tr>
      <w:tr>
        <w:trPr>
          <w:trHeight w:val="192"/>
        </w:trPr>
        <w:tc>
          <w:tcPr>
            <w:tcW w:w="67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The St. Regis Osaka</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Osaka, Japan</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r>
      <w:tr>
        <w:trPr>
          <w:trHeight w:val="186"/>
        </w:trPr>
        <w:tc>
          <w:tcPr>
            <w:tcW w:w="6720" w:type="dxa"/>
            <w:vAlign w:val="bottom"/>
            <w:gridSpan w:val="2"/>
          </w:tcPr>
          <w:p>
            <w:pPr>
              <w:ind w:left="480"/>
              <w:spacing w:after="0"/>
              <w:rPr>
                <w:sz w:val="20"/>
                <w:szCs w:val="20"/>
                <w:color w:val="auto"/>
              </w:rPr>
            </w:pPr>
            <w:r>
              <w:rPr>
                <w:rFonts w:ascii="Arial" w:cs="Arial" w:eastAsia="Arial" w:hAnsi="Arial"/>
                <w:sz w:val="14"/>
                <w:szCs w:val="14"/>
                <w:color w:val="auto"/>
              </w:rPr>
              <w:t>W Barcelona</w:t>
            </w: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Barcelona, Spain</w:t>
            </w:r>
          </w:p>
        </w:tc>
        <w:tc>
          <w:tcPr>
            <w:tcW w:w="1060" w:type="dxa"/>
            <w:vAlign w:val="bottom"/>
          </w:tcPr>
          <w:p>
            <w:pPr>
              <w:jc w:val="right"/>
              <w:spacing w:after="0"/>
              <w:rPr>
                <w:sz w:val="20"/>
                <w:szCs w:val="20"/>
                <w:color w:val="auto"/>
              </w:rPr>
            </w:pPr>
            <w:r>
              <w:rPr>
                <w:rFonts w:ascii="Arial" w:cs="Arial" w:eastAsia="Arial" w:hAnsi="Arial"/>
                <w:sz w:val="14"/>
                <w:szCs w:val="14"/>
                <w:color w:val="auto"/>
              </w:rPr>
              <w:t>473</w:t>
            </w:r>
          </w:p>
        </w:tc>
      </w:tr>
      <w:tr>
        <w:trPr>
          <w:trHeight w:val="192"/>
        </w:trPr>
        <w:tc>
          <w:tcPr>
            <w:tcW w:w="67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 London – Leicester Square</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London, UK</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r>
    </w:tbl>
    <w:p>
      <w:pPr>
        <w:spacing w:after="0" w:line="14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the information under the “Litigation, Claims, and Government Investigations” caption in Note 8, which we incorporate here by reference.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Within this section, we use a threshold of $1 million in disclosing material environmental proceedings involving a governmental authority.</w:t>
      </w:r>
    </w:p>
    <w:p>
      <w:pPr>
        <w:spacing w:after="0" w:line="157" w:lineRule="exact"/>
        <w:rPr>
          <w:sz w:val="20"/>
          <w:szCs w:val="20"/>
          <w:color w:val="auto"/>
        </w:rPr>
      </w:pPr>
    </w:p>
    <w:p>
      <w:pPr>
        <w:ind w:firstLine="445"/>
        <w:spacing w:after="0" w:line="301" w:lineRule="auto"/>
        <w:rPr>
          <w:sz w:val="20"/>
          <w:szCs w:val="20"/>
          <w:color w:val="auto"/>
        </w:rPr>
      </w:pPr>
      <w:r>
        <w:rPr>
          <w:rFonts w:ascii="Arial" w:cs="Arial" w:eastAsia="Arial" w:hAnsi="Arial"/>
          <w:sz w:val="16"/>
          <w:szCs w:val="16"/>
          <w:color w:val="auto"/>
        </w:rPr>
        <w:t>In May 2020, we received a notice from the District Attorneys of the Counties of Placer, Riverside, San Francisco and San Mateo in California asserting that nine properties in California have failed to comply with certain state statutes regulating hazardous and other waste handling and disposal. We are cooperating with the District Attorneys’ requests for information and have entered into a tolling agreement with the District Attorneys. We cannot predict the ultimate outcome of this matter; however, management does not believe that the outcome will have a material adverse effect on the Company.</w:t>
      </w:r>
    </w:p>
    <w:p>
      <w:pPr>
        <w:spacing w:after="0" w:line="103" w:lineRule="exact"/>
        <w:rPr>
          <w:sz w:val="20"/>
          <w:szCs w:val="20"/>
          <w:color w:val="auto"/>
        </w:rPr>
      </w:pPr>
    </w:p>
    <w:p>
      <w:pPr>
        <w:ind w:right="400" w:firstLine="445"/>
        <w:spacing w:after="0" w:line="263" w:lineRule="auto"/>
        <w:rPr>
          <w:sz w:val="20"/>
          <w:szCs w:val="20"/>
          <w:color w:val="auto"/>
        </w:rPr>
      </w:pPr>
      <w:r>
        <w:rPr>
          <w:rFonts w:ascii="Arial" w:cs="Arial" w:eastAsia="Arial" w:hAnsi="Arial"/>
          <w:sz w:val="18"/>
          <w:szCs w:val="18"/>
          <w:color w:val="auto"/>
        </w:rPr>
        <w:t>From time to time, we are also subject to other legal proceedings and claims in the ordinary course of business, including adjustments proposed during governmental examinations of the various tax returns we file. While management presently believes that the ultimate outcome of these other proceedings, individually and in aggregate, will not materially harm our</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11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75"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See the information under “Information about our Executive Officers” in Part III, Item 10 of this report for information about our executive officers, which we incorporate here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5" w:lineRule="exact"/>
        <w:rPr>
          <w:sz w:val="20"/>
          <w:szCs w:val="20"/>
          <w:color w:val="auto"/>
        </w:rPr>
      </w:pPr>
    </w:p>
    <w:p>
      <w:pPr>
        <w:ind w:right="720" w:firstLine="445"/>
        <w:spacing w:after="0" w:line="308" w:lineRule="auto"/>
        <w:rPr>
          <w:sz w:val="20"/>
          <w:szCs w:val="20"/>
          <w:color w:val="auto"/>
        </w:rPr>
      </w:pPr>
      <w:r>
        <w:rPr>
          <w:rFonts w:ascii="Arial" w:cs="Arial" w:eastAsia="Arial" w:hAnsi="Arial"/>
          <w:sz w:val="17"/>
          <w:szCs w:val="17"/>
          <w:color w:val="auto"/>
        </w:rPr>
        <w:t>At February 10, 2021, 324,414,150 shares of our Class A Common Stock (our “common stock”) were outstanding and were held by 34,253 stockholders of record. Our common stock trades on the Nasdaq Global Select Market (“Nasdaq”) under the trading symbol MAR.</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2020 Issuer Purchases of Equity Securities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4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1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240" w:type="dxa"/>
            <w:vAlign w:val="bottom"/>
          </w:tcPr>
          <w:p>
            <w:pPr>
              <w:spacing w:after="0"/>
              <w:rPr>
                <w:sz w:val="12"/>
                <w:szCs w:val="12"/>
                <w:color w:val="auto"/>
              </w:rPr>
            </w:pPr>
          </w:p>
        </w:tc>
        <w:tc>
          <w:tcPr>
            <w:tcW w:w="1840" w:type="dxa"/>
            <w:vAlign w:val="bottom"/>
            <w:vMerge w:val="restart"/>
          </w:tcPr>
          <w:p>
            <w:pPr>
              <w:jc w:val="center"/>
              <w:ind w:left="828"/>
              <w:spacing w:after="0"/>
              <w:rPr>
                <w:sz w:val="20"/>
                <w:szCs w:val="20"/>
                <w:color w:val="auto"/>
              </w:rPr>
            </w:pPr>
            <w:r>
              <w:rPr>
                <w:rFonts w:ascii="Arial" w:cs="Arial" w:eastAsia="Arial" w:hAnsi="Arial"/>
                <w:sz w:val="14"/>
                <w:szCs w:val="14"/>
                <w:b w:val="1"/>
                <w:bCs w:val="1"/>
                <w:color w:val="auto"/>
                <w:w w:val="95"/>
              </w:rPr>
              <w:t>Total Number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4"/>
              </w:rPr>
              <w:t>Total Number of</w:t>
            </w:r>
          </w:p>
        </w:tc>
        <w:tc>
          <w:tcPr>
            <w:tcW w:w="20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Average Price</w:t>
            </w:r>
          </w:p>
        </w:tc>
        <w:tc>
          <w:tcPr>
            <w:tcW w:w="22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Shares Purchased as Part of</w:t>
            </w:r>
          </w:p>
        </w:tc>
        <w:tc>
          <w:tcPr>
            <w:tcW w:w="2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35"/>
        </w:trPr>
        <w:tc>
          <w:tcPr>
            <w:tcW w:w="3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840" w:type="dxa"/>
            <w:vAlign w:val="bottom"/>
          </w:tcPr>
          <w:p>
            <w:pPr>
              <w:jc w:val="center"/>
              <w:ind w:left="808"/>
              <w:spacing w:after="0" w:line="135" w:lineRule="exact"/>
              <w:rPr>
                <w:sz w:val="20"/>
                <w:szCs w:val="20"/>
                <w:color w:val="auto"/>
              </w:rPr>
            </w:pPr>
            <w:r>
              <w:rPr>
                <w:rFonts w:ascii="Arial" w:cs="Arial" w:eastAsia="Arial" w:hAnsi="Arial"/>
                <w:sz w:val="14"/>
                <w:szCs w:val="14"/>
                <w:b w:val="1"/>
                <w:bCs w:val="1"/>
                <w:color w:val="auto"/>
                <w:w w:val="87"/>
              </w:rPr>
              <w:t>of Shares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2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Publicly Announced Plans or</w:t>
            </w:r>
          </w:p>
        </w:tc>
        <w:tc>
          <w:tcPr>
            <w:tcW w:w="2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89"/>
        </w:trPr>
        <w:tc>
          <w:tcPr>
            <w:tcW w:w="3240" w:type="dxa"/>
            <w:vAlign w:val="bottom"/>
            <w:vMerge w:val="continue"/>
          </w:tcPr>
          <w:p>
            <w:pPr>
              <w:spacing w:after="0"/>
              <w:rPr>
                <w:sz w:val="16"/>
                <w:szCs w:val="16"/>
                <w:color w:val="auto"/>
              </w:rPr>
            </w:pPr>
          </w:p>
        </w:tc>
        <w:tc>
          <w:tcPr>
            <w:tcW w:w="1840" w:type="dxa"/>
            <w:vAlign w:val="bottom"/>
          </w:tcPr>
          <w:p>
            <w:pPr>
              <w:jc w:val="center"/>
              <w:ind w:left="808"/>
              <w:spacing w:after="0"/>
              <w:rPr>
                <w:sz w:val="20"/>
                <w:szCs w:val="20"/>
                <w:color w:val="auto"/>
              </w:rPr>
            </w:pPr>
            <w:r>
              <w:rPr>
                <w:rFonts w:ascii="Arial" w:cs="Arial" w:eastAsia="Arial" w:hAnsi="Arial"/>
                <w:sz w:val="14"/>
                <w:szCs w:val="14"/>
                <w:b w:val="1"/>
                <w:bCs w:val="1"/>
                <w:color w:val="auto"/>
                <w:w w:val="89"/>
              </w:rPr>
              <w:t>Purchased</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per Share</w:t>
            </w:r>
          </w:p>
        </w:tc>
        <w:tc>
          <w:tcPr>
            <w:tcW w:w="2200" w:type="dxa"/>
            <w:vAlign w:val="bottom"/>
            <w:gridSpan w:val="2"/>
          </w:tcPr>
          <w:p>
            <w:pPr>
              <w:jc w:val="center"/>
              <w:ind w:right="100"/>
              <w:spacing w:after="0" w:line="189" w:lineRule="exact"/>
              <w:rPr>
                <w:sz w:val="20"/>
                <w:szCs w:val="20"/>
                <w:color w:val="auto"/>
              </w:rPr>
            </w:pPr>
            <w:r>
              <w:rPr>
                <w:rFonts w:ascii="Arial" w:cs="Arial" w:eastAsia="Arial" w:hAnsi="Arial"/>
                <w:sz w:val="14"/>
                <w:szCs w:val="14"/>
                <w:b w:val="1"/>
                <w:bCs w:val="1"/>
                <w:color w:val="auto"/>
                <w:w w:val="88"/>
              </w:rPr>
              <w:t xml:space="preserve">Programs </w:t>
            </w:r>
            <w:r>
              <w:rPr>
                <w:rFonts w:ascii="Arial" w:cs="Arial" w:eastAsia="Arial" w:hAnsi="Arial"/>
                <w:sz w:val="18"/>
                <w:szCs w:val="18"/>
                <w:b w:val="1"/>
                <w:bCs w:val="1"/>
                <w:color w:val="auto"/>
                <w:w w:val="88"/>
                <w:vertAlign w:val="superscript"/>
              </w:rPr>
              <w:t>(1)</w:t>
            </w:r>
          </w:p>
        </w:tc>
        <w:tc>
          <w:tcPr>
            <w:tcW w:w="208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88"/>
              </w:rPr>
              <w:t xml:space="preserve">Programs </w:t>
            </w:r>
            <w:r>
              <w:rPr>
                <w:rFonts w:ascii="Arial" w:cs="Arial" w:eastAsia="Arial" w:hAnsi="Arial"/>
                <w:sz w:val="18"/>
                <w:szCs w:val="18"/>
                <w:b w:val="1"/>
                <w:bCs w:val="1"/>
                <w:color w:val="auto"/>
                <w:w w:val="88"/>
                <w:vertAlign w:val="superscript"/>
              </w:rPr>
              <w:t>(1)</w:t>
            </w:r>
          </w:p>
        </w:tc>
        <w:tc>
          <w:tcPr>
            <w:tcW w:w="0" w:type="dxa"/>
            <w:vAlign w:val="bottom"/>
          </w:tcPr>
          <w:p>
            <w:pPr>
              <w:spacing w:after="0"/>
              <w:rPr>
                <w:sz w:val="1"/>
                <w:szCs w:val="1"/>
                <w:color w:val="auto"/>
              </w:rPr>
            </w:pPr>
          </w:p>
        </w:tc>
      </w:tr>
      <w:tr>
        <w:trPr>
          <w:trHeight w:val="183"/>
        </w:trPr>
        <w:tc>
          <w:tcPr>
            <w:tcW w:w="3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October 1, 2020-October 31, 2020</w:t>
            </w:r>
          </w:p>
        </w:tc>
        <w:tc>
          <w:tcPr>
            <w:tcW w:w="18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80" w:type="dxa"/>
            <w:vAlign w:val="bottom"/>
            <w:tcBorders>
              <w:top w:val="single" w:sz="8" w:color="auto"/>
            </w:tcBorders>
            <w:shd w:val="clear" w:color="auto" w:fill="CCEEFF"/>
          </w:tcPr>
          <w:p>
            <w:pPr>
              <w:ind w:left="188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November 1, 2020-November 30, 2020</w:t>
            </w:r>
          </w:p>
        </w:tc>
        <w:tc>
          <w:tcPr>
            <w:tcW w:w="18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2200" w:type="dxa"/>
            <w:vAlign w:val="bottom"/>
            <w:gridSpan w:val="2"/>
          </w:tcPr>
          <w:p>
            <w:pPr>
              <w:ind w:left="1880"/>
              <w:spacing w:after="0"/>
              <w:rPr>
                <w:sz w:val="20"/>
                <w:szCs w:val="20"/>
                <w:color w:val="auto"/>
              </w:rPr>
            </w:pPr>
            <w:r>
              <w:rPr>
                <w:rFonts w:ascii="Arial" w:cs="Arial" w:eastAsia="Arial" w:hAnsi="Arial"/>
                <w:sz w:val="14"/>
                <w:szCs w:val="14"/>
                <w:color w:val="auto"/>
              </w:rPr>
              <w:t>—</w:t>
            </w:r>
          </w:p>
        </w:tc>
        <w:tc>
          <w:tcPr>
            <w:tcW w:w="2080" w:type="dxa"/>
            <w:vAlign w:val="bottom"/>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1, 2020-December 31, 2020</w:t>
            </w:r>
          </w:p>
        </w:tc>
        <w:tc>
          <w:tcPr>
            <w:tcW w:w="18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2200" w:type="dxa"/>
            <w:vAlign w:val="bottom"/>
            <w:gridSpan w:val="2"/>
            <w:shd w:val="clear" w:color="auto" w:fill="CCEEFF"/>
          </w:tcPr>
          <w:p>
            <w:pPr>
              <w:ind w:left="1880"/>
              <w:spacing w:after="0"/>
              <w:rPr>
                <w:sz w:val="20"/>
                <w:szCs w:val="20"/>
                <w:color w:val="auto"/>
              </w:rPr>
            </w:pPr>
            <w:r>
              <w:rPr>
                <w:rFonts w:ascii="Arial" w:cs="Arial" w:eastAsia="Arial" w:hAnsi="Arial"/>
                <w:sz w:val="14"/>
                <w:szCs w:val="14"/>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400" w:hanging="332"/>
        <w:spacing w:after="0" w:line="214" w:lineRule="auto"/>
        <w:tabs>
          <w:tab w:leader="none" w:pos="328" w:val="left"/>
        </w:tabs>
        <w:numPr>
          <w:ilvl w:val="0"/>
          <w:numId w:val="7"/>
        </w:numPr>
        <w:rPr>
          <w:rFonts w:ascii="Arial" w:cs="Arial" w:eastAsia="Arial" w:hAnsi="Arial"/>
          <w:sz w:val="23"/>
          <w:szCs w:val="23"/>
          <w:color w:val="auto"/>
          <w:vertAlign w:val="superscript"/>
        </w:rPr>
      </w:pPr>
      <w:r>
        <w:rPr>
          <w:rFonts w:ascii="Arial" w:cs="Arial" w:eastAsia="Arial" w:hAnsi="Arial"/>
          <w:sz w:val="14"/>
          <w:szCs w:val="14"/>
          <w:color w:val="auto"/>
        </w:rPr>
        <w:t>On February 15, 2019, we announced that our Board of Directors increased our common stock repurchase authorization by 25 million shares. At year-end 2020, 17.4 million shares remained available for repurchase under Board approved authorizations. We repurchase shares in the open market and in privately negotiated transactions. We do not anticipate repurchasing additional shares until business conditions improve, and are prohibited from doing so for the duration of the Covenant Waiver Period, as discussed in Note 10, under our Credit Facility, with certain exceptions.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67" w:lineRule="exact"/>
        <w:rPr>
          <w:sz w:val="20"/>
          <w:szCs w:val="20"/>
          <w:color w:val="auto"/>
        </w:rPr>
      </w:pPr>
    </w:p>
    <w:p>
      <w:pPr>
        <w:ind w:firstLine="445"/>
        <w:spacing w:after="0" w:line="279" w:lineRule="auto"/>
        <w:rPr>
          <w:sz w:val="20"/>
          <w:szCs w:val="20"/>
          <w:color w:val="auto"/>
        </w:rPr>
      </w:pPr>
      <w:r>
        <w:rPr>
          <w:rFonts w:ascii="Arial" w:cs="Arial" w:eastAsia="Arial" w:hAnsi="Arial"/>
          <w:sz w:val="17"/>
          <w:szCs w:val="17"/>
          <w:color w:val="auto"/>
        </w:rPr>
        <w:t>The following table presents a summary of our selected historical financial data derived from our last five years of Financial Statements. Because this information is only a summary and does not provide all of the information contained in our Financial Statements, including the related notes, you should read “Management’s Discussion and Analysis of Financial Condition and Results of Operations” and our Financial Statements for each year for more detailed information. For 2016, we include Legacy-Starwood results from the Merger Date to year-end 2016.</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75"/>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Statement Data:</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360"/>
              <w:spacing w:after="0" w:line="189" w:lineRule="exact"/>
              <w:rPr>
                <w:sz w:val="20"/>
                <w:szCs w:val="20"/>
                <w:color w:val="auto"/>
              </w:rPr>
            </w:pPr>
            <w:r>
              <w:rPr>
                <w:rFonts w:ascii="Arial" w:cs="Arial" w:eastAsia="Arial" w:hAnsi="Arial"/>
                <w:sz w:val="14"/>
                <w:szCs w:val="14"/>
                <w:color w:val="auto"/>
              </w:rPr>
              <w:t xml:space="preserve">Revenues </w:t>
            </w:r>
            <w:r>
              <w:rPr>
                <w:rFonts w:ascii="Arial" w:cs="Arial" w:eastAsia="Arial" w:hAnsi="Arial"/>
                <w:sz w:val="18"/>
                <w:szCs w:val="18"/>
                <w:color w:val="auto"/>
                <w:vertAlign w:val="superscript"/>
              </w:rPr>
              <w:t>(2)</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10,571</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20,972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20,758</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20,452</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15,407</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360"/>
              <w:spacing w:after="0" w:line="189" w:lineRule="exact"/>
              <w:rPr>
                <w:sz w:val="20"/>
                <w:szCs w:val="20"/>
                <w:color w:val="auto"/>
              </w:rPr>
            </w:pPr>
            <w:r>
              <w:rPr>
                <w:rFonts w:ascii="Arial" w:cs="Arial" w:eastAsia="Arial" w:hAnsi="Arial"/>
                <w:sz w:val="14"/>
                <w:szCs w:val="14"/>
                <w:color w:val="auto"/>
              </w:rPr>
              <w:t xml:space="preserve">Operating income (loss) </w:t>
            </w:r>
            <w:r>
              <w:rPr>
                <w:rFonts w:ascii="Arial" w:cs="Arial" w:eastAsia="Arial" w:hAnsi="Arial"/>
                <w:sz w:val="18"/>
                <w:szCs w:val="18"/>
                <w:color w:val="auto"/>
                <w:vertAlign w:val="superscript"/>
              </w:rPr>
              <w:t>(2) (4)</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1,424</w:t>
            </w:r>
          </w:p>
        </w:tc>
        <w:tc>
          <w:tcPr>
            <w:tcW w:w="0" w:type="dxa"/>
            <w:vAlign w:val="bottom"/>
          </w:tcPr>
          <w:p>
            <w:pPr>
              <w:spacing w:after="0"/>
              <w:rPr>
                <w:sz w:val="1"/>
                <w:szCs w:val="1"/>
                <w:color w:val="auto"/>
              </w:rPr>
            </w:pPr>
          </w:p>
        </w:tc>
      </w:tr>
      <w:tr>
        <w:trPr>
          <w:trHeight w:val="189"/>
        </w:trPr>
        <w:tc>
          <w:tcPr>
            <w:tcW w:w="5100" w:type="dxa"/>
            <w:vAlign w:val="bottom"/>
          </w:tcPr>
          <w:p>
            <w:pPr>
              <w:ind w:left="680"/>
              <w:spacing w:after="0" w:line="189" w:lineRule="exact"/>
              <w:rPr>
                <w:sz w:val="20"/>
                <w:szCs w:val="20"/>
                <w:color w:val="auto"/>
              </w:rPr>
            </w:pPr>
            <w:r>
              <w:rPr>
                <w:rFonts w:ascii="Arial" w:cs="Arial" w:eastAsia="Arial" w:hAnsi="Arial"/>
                <w:sz w:val="14"/>
                <w:szCs w:val="14"/>
                <w:color w:val="auto"/>
              </w:rPr>
              <w:t xml:space="preserve">Net (loss) income </w:t>
            </w:r>
            <w:r>
              <w:rPr>
                <w:rFonts w:ascii="Arial" w:cs="Arial" w:eastAsia="Arial" w:hAnsi="Arial"/>
                <w:sz w:val="18"/>
                <w:szCs w:val="18"/>
                <w:color w:val="auto"/>
                <w:vertAlign w:val="superscript"/>
              </w:rPr>
              <w:t>(2) (4)</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1,273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1,907</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1,459</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808</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Per Share Data:</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5100" w:type="dxa"/>
            <w:vAlign w:val="bottom"/>
          </w:tcPr>
          <w:p>
            <w:pPr>
              <w:ind w:left="360"/>
              <w:spacing w:after="0"/>
              <w:rPr>
                <w:sz w:val="20"/>
                <w:szCs w:val="20"/>
                <w:color w:val="auto"/>
              </w:rPr>
            </w:pPr>
            <w:r>
              <w:rPr>
                <w:rFonts w:ascii="Arial" w:cs="Arial" w:eastAsia="Arial" w:hAnsi="Arial"/>
                <w:sz w:val="14"/>
                <w:szCs w:val="14"/>
                <w:color w:val="auto"/>
              </w:rPr>
              <w:t xml:space="preserve">Diluted (losses) earnings per share </w:t>
            </w:r>
            <w:r>
              <w:rPr>
                <w:rFonts w:ascii="Arial" w:cs="Arial" w:eastAsia="Arial" w:hAnsi="Arial"/>
                <w:sz w:val="9"/>
                <w:szCs w:val="9"/>
                <w:color w:val="auto"/>
              </w:rPr>
              <w:t>(2) (4)</w:t>
            </w: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(0.82)</w:t>
            </w:r>
          </w:p>
        </w:tc>
        <w:tc>
          <w:tcPr>
            <w:tcW w:w="100" w:type="dxa"/>
            <w:vAlign w:val="bottom"/>
          </w:tcPr>
          <w:p>
            <w:pPr>
              <w:spacing w:after="0"/>
              <w:rPr>
                <w:sz w:val="24"/>
                <w:szCs w:val="24"/>
                <w:color w:val="auto"/>
              </w:rPr>
            </w:pP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24"/>
                <w:szCs w:val="2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5.38</w:t>
            </w:r>
          </w:p>
        </w:tc>
        <w:tc>
          <w:tcPr>
            <w:tcW w:w="100" w:type="dxa"/>
            <w:vAlign w:val="bottom"/>
          </w:tcPr>
          <w:p>
            <w:pPr>
              <w:spacing w:after="0"/>
              <w:rPr>
                <w:sz w:val="24"/>
                <w:szCs w:val="24"/>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24"/>
                <w:szCs w:val="24"/>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55"/>
        </w:trPr>
        <w:tc>
          <w:tcPr>
            <w:tcW w:w="510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5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dividends declared per share</w:t>
            </w: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0.48</w:t>
            </w:r>
          </w:p>
        </w:tc>
        <w:tc>
          <w:tcPr>
            <w:tcW w:w="100" w:type="dxa"/>
            <w:vAlign w:val="bottom"/>
            <w:shd w:val="clear" w:color="auto" w:fill="CCEEFF"/>
          </w:tcPr>
          <w:p>
            <w:pPr>
              <w:spacing w:after="0"/>
              <w:rPr>
                <w:sz w:val="24"/>
                <w:szCs w:val="24"/>
                <w:color w:val="auto"/>
              </w:rPr>
            </w:pP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24"/>
                <w:szCs w:val="2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24"/>
                <w:szCs w:val="24"/>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24"/>
                <w:szCs w:val="24"/>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61"/>
        </w:trPr>
        <w:tc>
          <w:tcPr>
            <w:tcW w:w="510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Balance Sheet Data (at year-end):</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100" w:type="dxa"/>
            <w:vAlign w:val="bottom"/>
            <w:shd w:val="clear" w:color="auto" w:fill="CCEEFF"/>
          </w:tcPr>
          <w:p>
            <w:pPr>
              <w:ind w:left="360"/>
              <w:spacing w:after="0" w:line="190" w:lineRule="exact"/>
              <w:rPr>
                <w:sz w:val="20"/>
                <w:szCs w:val="20"/>
                <w:color w:val="auto"/>
              </w:rPr>
            </w:pPr>
            <w:r>
              <w:rPr>
                <w:rFonts w:ascii="Arial" w:cs="Arial" w:eastAsia="Arial" w:hAnsi="Arial"/>
                <w:sz w:val="14"/>
                <w:szCs w:val="14"/>
                <w:color w:val="auto"/>
              </w:rPr>
              <w:t xml:space="preserve">Total assets </w:t>
            </w:r>
            <w:r>
              <w:rPr>
                <w:rFonts w:ascii="Arial" w:cs="Arial" w:eastAsia="Arial" w:hAnsi="Arial"/>
                <w:sz w:val="18"/>
                <w:szCs w:val="18"/>
                <w:color w:val="auto"/>
                <w:vertAlign w:val="superscript"/>
              </w:rPr>
              <w:t>(2) (3) (4)</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24,701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25,051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23,696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23,846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24,078</w:t>
            </w:r>
          </w:p>
        </w:tc>
        <w:tc>
          <w:tcPr>
            <w:tcW w:w="0" w:type="dxa"/>
            <w:vAlign w:val="bottom"/>
          </w:tcPr>
          <w:p>
            <w:pPr>
              <w:spacing w:after="0"/>
              <w:rPr>
                <w:sz w:val="1"/>
                <w:szCs w:val="1"/>
                <w:color w:val="auto"/>
              </w:rPr>
            </w:pPr>
          </w:p>
        </w:tc>
      </w:tr>
      <w:tr>
        <w:trPr>
          <w:trHeight w:val="312"/>
        </w:trPr>
        <w:tc>
          <w:tcPr>
            <w:tcW w:w="5100" w:type="dxa"/>
            <w:vAlign w:val="bottom"/>
          </w:tcPr>
          <w:p>
            <w:pPr>
              <w:ind w:left="360"/>
              <w:spacing w:after="0"/>
              <w:rPr>
                <w:sz w:val="20"/>
                <w:szCs w:val="20"/>
                <w:color w:val="auto"/>
              </w:rPr>
            </w:pPr>
            <w:r>
              <w:rPr>
                <w:rFonts w:ascii="Arial" w:cs="Arial" w:eastAsia="Arial" w:hAnsi="Arial"/>
                <w:sz w:val="14"/>
                <w:szCs w:val="14"/>
                <w:color w:val="auto"/>
              </w:rPr>
              <w:t>Long-term debt</w:t>
            </w: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9,203</w:t>
            </w:r>
          </w:p>
        </w:tc>
        <w:tc>
          <w:tcPr>
            <w:tcW w:w="100" w:type="dxa"/>
            <w:vAlign w:val="bottom"/>
          </w:tcPr>
          <w:p>
            <w:pPr>
              <w:spacing w:after="0"/>
              <w:rPr>
                <w:sz w:val="24"/>
                <w:szCs w:val="24"/>
                <w:color w:val="auto"/>
              </w:rPr>
            </w:pP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9,963</w:t>
            </w:r>
          </w:p>
        </w:tc>
        <w:tc>
          <w:tcPr>
            <w:tcW w:w="100" w:type="dxa"/>
            <w:vAlign w:val="bottom"/>
          </w:tcPr>
          <w:p>
            <w:pPr>
              <w:spacing w:after="0"/>
              <w:rPr>
                <w:sz w:val="24"/>
                <w:szCs w:val="2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8,514</w:t>
            </w:r>
          </w:p>
        </w:tc>
        <w:tc>
          <w:tcPr>
            <w:tcW w:w="100" w:type="dxa"/>
            <w:vAlign w:val="bottom"/>
          </w:tcPr>
          <w:p>
            <w:pPr>
              <w:spacing w:after="0"/>
              <w:rPr>
                <w:sz w:val="24"/>
                <w:szCs w:val="24"/>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7,840</w:t>
            </w:r>
          </w:p>
        </w:tc>
        <w:tc>
          <w:tcPr>
            <w:tcW w:w="100" w:type="dxa"/>
            <w:vAlign w:val="bottom"/>
          </w:tcPr>
          <w:p>
            <w:pPr>
              <w:spacing w:after="0"/>
              <w:rPr>
                <w:sz w:val="24"/>
                <w:szCs w:val="24"/>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8,197</w:t>
            </w:r>
          </w:p>
        </w:tc>
        <w:tc>
          <w:tcPr>
            <w:tcW w:w="0" w:type="dxa"/>
            <w:vAlign w:val="bottom"/>
          </w:tcPr>
          <w:p>
            <w:pPr>
              <w:spacing w:after="0"/>
              <w:rPr>
                <w:sz w:val="1"/>
                <w:szCs w:val="1"/>
                <w:color w:val="auto"/>
              </w:rPr>
            </w:pPr>
          </w:p>
        </w:tc>
      </w:tr>
      <w:tr>
        <w:trPr>
          <w:trHeight w:val="154"/>
        </w:trPr>
        <w:tc>
          <w:tcPr>
            <w:tcW w:w="510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100" w:type="dxa"/>
            <w:vAlign w:val="bottom"/>
            <w:shd w:val="clear" w:color="auto" w:fill="CCEEFF"/>
          </w:tcPr>
          <w:p>
            <w:pPr>
              <w:ind w:left="360"/>
              <w:spacing w:after="0" w:line="195" w:lineRule="exact"/>
              <w:rPr>
                <w:sz w:val="20"/>
                <w:szCs w:val="20"/>
                <w:color w:val="auto"/>
              </w:rPr>
            </w:pPr>
            <w:r>
              <w:rPr>
                <w:rFonts w:ascii="Arial" w:cs="Arial" w:eastAsia="Arial" w:hAnsi="Arial"/>
                <w:sz w:val="14"/>
                <w:szCs w:val="14"/>
                <w:color w:val="auto"/>
              </w:rPr>
              <w:t xml:space="preserve">Stockholders’ equity </w:t>
            </w:r>
            <w:r>
              <w:rPr>
                <w:rFonts w:ascii="Arial" w:cs="Arial" w:eastAsia="Arial" w:hAnsi="Arial"/>
                <w:sz w:val="18"/>
                <w:szCs w:val="18"/>
                <w:color w:val="auto"/>
                <w:vertAlign w:val="superscript"/>
              </w:rPr>
              <w:t>(2) (4)</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6,265</w:t>
            </w: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Other Data:</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1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Base management fees</w:t>
            </w: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24"/>
                <w:szCs w:val="24"/>
                <w:color w:val="auto"/>
              </w:rPr>
            </w:pP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1,180</w:t>
            </w:r>
          </w:p>
        </w:tc>
        <w:tc>
          <w:tcPr>
            <w:tcW w:w="100" w:type="dxa"/>
            <w:vAlign w:val="bottom"/>
            <w:shd w:val="clear" w:color="auto" w:fill="CCEEFF"/>
          </w:tcPr>
          <w:p>
            <w:pPr>
              <w:spacing w:after="0"/>
              <w:rPr>
                <w:sz w:val="24"/>
                <w:szCs w:val="2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1,140</w:t>
            </w:r>
          </w:p>
        </w:tc>
        <w:tc>
          <w:tcPr>
            <w:tcW w:w="100" w:type="dxa"/>
            <w:vAlign w:val="bottom"/>
            <w:shd w:val="clear" w:color="auto" w:fill="CCEEFF"/>
          </w:tcPr>
          <w:p>
            <w:pPr>
              <w:spacing w:after="0"/>
              <w:rPr>
                <w:sz w:val="24"/>
                <w:szCs w:val="24"/>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1,102</w:t>
            </w:r>
          </w:p>
        </w:tc>
        <w:tc>
          <w:tcPr>
            <w:tcW w:w="100" w:type="dxa"/>
            <w:vAlign w:val="bottom"/>
            <w:shd w:val="clear" w:color="auto" w:fill="CCEEFF"/>
          </w:tcPr>
          <w:p>
            <w:pPr>
              <w:spacing w:after="0"/>
              <w:rPr>
                <w:sz w:val="24"/>
                <w:szCs w:val="24"/>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0" w:type="dxa"/>
            <w:vAlign w:val="bottom"/>
          </w:tcPr>
          <w:p>
            <w:pPr>
              <w:spacing w:after="0"/>
              <w:rPr>
                <w:sz w:val="1"/>
                <w:szCs w:val="1"/>
                <w:color w:val="auto"/>
              </w:rPr>
            </w:pPr>
          </w:p>
        </w:tc>
      </w:tr>
      <w:tr>
        <w:trPr>
          <w:trHeight w:val="161"/>
        </w:trPr>
        <w:tc>
          <w:tcPr>
            <w:tcW w:w="510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5100" w:type="dxa"/>
            <w:vAlign w:val="bottom"/>
          </w:tcPr>
          <w:p>
            <w:pPr>
              <w:ind w:left="400"/>
              <w:spacing w:after="0"/>
              <w:rPr>
                <w:sz w:val="20"/>
                <w:szCs w:val="20"/>
                <w:color w:val="auto"/>
              </w:rPr>
            </w:pPr>
            <w:r>
              <w:rPr>
                <w:rFonts w:ascii="Arial" w:cs="Arial" w:eastAsia="Arial" w:hAnsi="Arial"/>
                <w:sz w:val="14"/>
                <w:szCs w:val="14"/>
                <w:color w:val="auto"/>
              </w:rPr>
              <w:t xml:space="preserve">Franchise fees </w:t>
            </w:r>
            <w:r>
              <w:rPr>
                <w:rFonts w:ascii="Arial" w:cs="Arial" w:eastAsia="Arial" w:hAnsi="Arial"/>
                <w:sz w:val="9"/>
                <w:szCs w:val="9"/>
                <w:color w:val="auto"/>
              </w:rPr>
              <w:t>(1) (2)</w:t>
            </w:r>
          </w:p>
        </w:tc>
        <w:tc>
          <w:tcPr>
            <w:tcW w:w="240" w:type="dxa"/>
            <w:vAlign w:val="bottom"/>
          </w:tcPr>
          <w:p>
            <w:pPr>
              <w:spacing w:after="0"/>
              <w:rPr>
                <w:sz w:val="24"/>
                <w:szCs w:val="24"/>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1,153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1,849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1,586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1,157</w:t>
            </w:r>
          </w:p>
        </w:tc>
        <w:tc>
          <w:tcPr>
            <w:tcW w:w="0" w:type="dxa"/>
            <w:vAlign w:val="bottom"/>
          </w:tcPr>
          <w:p>
            <w:pPr>
              <w:spacing w:after="0"/>
              <w:rPr>
                <w:sz w:val="1"/>
                <w:szCs w:val="1"/>
                <w:color w:val="auto"/>
              </w:rPr>
            </w:pPr>
          </w:p>
        </w:tc>
      </w:tr>
      <w:tr>
        <w:trPr>
          <w:trHeight w:val="155"/>
        </w:trPr>
        <w:tc>
          <w:tcPr>
            <w:tcW w:w="5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51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Incentive management fees</w:t>
            </w:r>
          </w:p>
        </w:tc>
        <w:tc>
          <w:tcPr>
            <w:tcW w:w="240" w:type="dxa"/>
            <w:vAlign w:val="bottom"/>
            <w:shd w:val="clear" w:color="auto" w:fill="CCEEFF"/>
          </w:tcPr>
          <w:p>
            <w:pPr>
              <w:spacing w:after="0"/>
              <w:rPr>
                <w:sz w:val="24"/>
                <w:szCs w:val="24"/>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637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60"/>
        </w:trPr>
        <w:tc>
          <w:tcPr>
            <w:tcW w:w="5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100" w:type="dxa"/>
            <w:vAlign w:val="bottom"/>
          </w:tcPr>
          <w:p>
            <w:pPr>
              <w:ind w:left="680"/>
              <w:spacing w:after="0" w:line="182" w:lineRule="exact"/>
              <w:rPr>
                <w:sz w:val="20"/>
                <w:szCs w:val="20"/>
                <w:color w:val="auto"/>
              </w:rPr>
            </w:pPr>
            <w:r>
              <w:rPr>
                <w:rFonts w:ascii="Arial" w:cs="Arial" w:eastAsia="Arial" w:hAnsi="Arial"/>
                <w:sz w:val="14"/>
                <w:szCs w:val="14"/>
                <w:color w:val="auto"/>
              </w:rPr>
              <w:t xml:space="preserve">Total fees </w:t>
            </w:r>
            <w:r>
              <w:rPr>
                <w:rFonts w:ascii="Arial" w:cs="Arial" w:eastAsia="Arial" w:hAnsi="Arial"/>
                <w:sz w:val="18"/>
                <w:szCs w:val="18"/>
                <w:color w:val="auto"/>
                <w:vertAlign w:val="superscript"/>
              </w:rPr>
              <w:t>(1) (2)</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1,683</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3,823</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3,638</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3,295</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2,388</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0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Gross Fee Revenue-Source:</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51"/>
        </w:trPr>
        <w:tc>
          <w:tcPr>
            <w:tcW w:w="5100" w:type="dxa"/>
            <w:vAlign w:val="bottom"/>
          </w:tcPr>
          <w:p>
            <w:pPr>
              <w:ind w:left="360"/>
              <w:spacing w:after="0"/>
              <w:rPr>
                <w:sz w:val="20"/>
                <w:szCs w:val="20"/>
                <w:color w:val="auto"/>
              </w:rPr>
            </w:pPr>
            <w:r>
              <w:rPr>
                <w:rFonts w:ascii="Arial" w:cs="Arial" w:eastAsia="Arial" w:hAnsi="Arial"/>
                <w:sz w:val="14"/>
                <w:szCs w:val="14"/>
                <w:color w:val="auto"/>
              </w:rPr>
              <w:t xml:space="preserve">U.S. &amp; Canada </w:t>
            </w:r>
            <w:r>
              <w:rPr>
                <w:rFonts w:ascii="Arial" w:cs="Arial" w:eastAsia="Arial" w:hAnsi="Arial"/>
                <w:sz w:val="18"/>
                <w:szCs w:val="18"/>
                <w:color w:val="auto"/>
                <w:vertAlign w:val="superscript"/>
              </w:rPr>
              <w:t>(1) (2)</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1,345</w:t>
            </w:r>
          </w:p>
        </w:tc>
        <w:tc>
          <w:tcPr>
            <w:tcW w:w="100" w:type="dxa"/>
            <w:vAlign w:val="bottom"/>
          </w:tcPr>
          <w:p>
            <w:pPr>
              <w:spacing w:after="0"/>
              <w:rPr>
                <w:sz w:val="24"/>
                <w:szCs w:val="2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2,791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2,641</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2,388</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1,845</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360"/>
              <w:spacing w:after="0" w:line="189" w:lineRule="exact"/>
              <w:rPr>
                <w:sz w:val="20"/>
                <w:szCs w:val="20"/>
                <w:color w:val="auto"/>
              </w:rPr>
            </w:pPr>
            <w:r>
              <w:rPr>
                <w:rFonts w:ascii="Arial" w:cs="Arial" w:eastAsia="Arial" w:hAnsi="Arial"/>
                <w:sz w:val="14"/>
                <w:szCs w:val="14"/>
                <w:color w:val="auto"/>
              </w:rPr>
              <w:t xml:space="preserve">Total Outside U.S. &amp; Canada </w:t>
            </w:r>
            <w:r>
              <w:rPr>
                <w:rFonts w:ascii="Arial" w:cs="Arial" w:eastAsia="Arial" w:hAnsi="Arial"/>
                <w:sz w:val="18"/>
                <w:szCs w:val="18"/>
                <w:color w:val="auto"/>
                <w:vertAlign w:val="superscript"/>
              </w:rPr>
              <w:t>(1) (2)</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338</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1,032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83"/>
        </w:trPr>
        <w:tc>
          <w:tcPr>
            <w:tcW w:w="5100" w:type="dxa"/>
            <w:vAlign w:val="bottom"/>
          </w:tcPr>
          <w:p>
            <w:pPr>
              <w:ind w:left="680"/>
              <w:spacing w:after="0" w:line="182" w:lineRule="exact"/>
              <w:rPr>
                <w:sz w:val="20"/>
                <w:szCs w:val="20"/>
                <w:color w:val="auto"/>
              </w:rPr>
            </w:pPr>
            <w:r>
              <w:rPr>
                <w:rFonts w:ascii="Arial" w:cs="Arial" w:eastAsia="Arial" w:hAnsi="Arial"/>
                <w:sz w:val="14"/>
                <w:szCs w:val="14"/>
                <w:color w:val="auto"/>
              </w:rPr>
              <w:t xml:space="preserve">Total fees </w:t>
            </w:r>
            <w:r>
              <w:rPr>
                <w:rFonts w:ascii="Arial" w:cs="Arial" w:eastAsia="Arial" w:hAnsi="Arial"/>
                <w:sz w:val="18"/>
                <w:szCs w:val="18"/>
                <w:color w:val="auto"/>
                <w:vertAlign w:val="superscript"/>
              </w:rPr>
              <w:t>(1) (2)</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1,683</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3,823</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3,638</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3,295</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2,388</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160" w:hanging="332"/>
        <w:spacing w:after="0" w:line="250" w:lineRule="auto"/>
        <w:tabs>
          <w:tab w:leader="none" w:pos="327" w:val="left"/>
        </w:tabs>
        <w:numPr>
          <w:ilvl w:val="0"/>
          <w:numId w:val="8"/>
        </w:numPr>
        <w:rPr>
          <w:rFonts w:ascii="Arial" w:cs="Arial" w:eastAsia="Arial" w:hAnsi="Arial"/>
          <w:sz w:val="9"/>
          <w:szCs w:val="9"/>
          <w:color w:val="auto"/>
        </w:rPr>
      </w:pPr>
      <w:r>
        <w:rPr>
          <w:rFonts w:ascii="Arial" w:cs="Arial" w:eastAsia="Arial" w:hAnsi="Arial"/>
          <w:sz w:val="14"/>
          <w:szCs w:val="14"/>
          <w:color w:val="auto"/>
        </w:rPr>
        <w:t>In 2017, we reclassified branding fees for third-party residential sales and credit card licensing to the “Franchise fees” caption from the “Owned, leased, and other revenue” caption on our Income Statements. We reclassified 2016 amounts to conform to our current presentation.</w:t>
      </w:r>
    </w:p>
    <w:p>
      <w:pPr>
        <w:ind w:left="320" w:hanging="312"/>
        <w:spacing w:after="0"/>
        <w:tabs>
          <w:tab w:leader="none" w:pos="320" w:val="left"/>
        </w:tabs>
        <w:numPr>
          <w:ilvl w:val="0"/>
          <w:numId w:val="8"/>
        </w:numPr>
        <w:rPr>
          <w:rFonts w:ascii="Arial" w:cs="Arial" w:eastAsia="Arial" w:hAnsi="Arial"/>
          <w:sz w:val="9"/>
          <w:szCs w:val="9"/>
          <w:color w:val="auto"/>
        </w:rPr>
      </w:pPr>
      <w:r>
        <w:rPr>
          <w:rFonts w:ascii="Arial" w:cs="Arial" w:eastAsia="Arial" w:hAnsi="Arial"/>
          <w:sz w:val="14"/>
          <w:szCs w:val="14"/>
          <w:color w:val="auto"/>
        </w:rPr>
        <w:t>In 2018, we adopted ASU No. 2014-09, which impacted our recognition of revenues and certain expenses.</w:t>
      </w:r>
    </w:p>
    <w:p>
      <w:pPr>
        <w:spacing w:after="0" w:line="1" w:lineRule="exact"/>
        <w:rPr>
          <w:rFonts w:ascii="Arial" w:cs="Arial" w:eastAsia="Arial" w:hAnsi="Arial"/>
          <w:sz w:val="9"/>
          <w:szCs w:val="9"/>
          <w:color w:val="auto"/>
        </w:rPr>
      </w:pPr>
    </w:p>
    <w:p>
      <w:pPr>
        <w:ind w:left="320" w:hanging="312"/>
        <w:spacing w:after="0"/>
        <w:tabs>
          <w:tab w:leader="none" w:pos="320" w:val="left"/>
        </w:tabs>
        <w:numPr>
          <w:ilvl w:val="0"/>
          <w:numId w:val="8"/>
        </w:numPr>
        <w:rPr>
          <w:rFonts w:ascii="Arial" w:cs="Arial" w:eastAsia="Arial" w:hAnsi="Arial"/>
          <w:sz w:val="9"/>
          <w:szCs w:val="9"/>
          <w:color w:val="auto"/>
        </w:rPr>
      </w:pPr>
      <w:r>
        <w:rPr>
          <w:rFonts w:ascii="Arial" w:cs="Arial" w:eastAsia="Arial" w:hAnsi="Arial"/>
          <w:sz w:val="13"/>
          <w:szCs w:val="13"/>
          <w:color w:val="auto"/>
        </w:rPr>
        <w:t>In 2019, we adopted ASU No. 2016-02, which brought substantially all leases onto the balance sheet. Years before 2019 have not been adjusted for this new accounting standard.</w:t>
      </w:r>
    </w:p>
    <w:p>
      <w:pPr>
        <w:spacing w:after="0" w:line="12" w:lineRule="exact"/>
        <w:rPr>
          <w:rFonts w:ascii="Arial" w:cs="Arial" w:eastAsia="Arial" w:hAnsi="Arial"/>
          <w:sz w:val="9"/>
          <w:szCs w:val="9"/>
          <w:color w:val="auto"/>
        </w:rPr>
      </w:pPr>
    </w:p>
    <w:p>
      <w:pPr>
        <w:ind w:left="320" w:hanging="312"/>
        <w:spacing w:after="0"/>
        <w:tabs>
          <w:tab w:leader="none" w:pos="320" w:val="left"/>
        </w:tabs>
        <w:numPr>
          <w:ilvl w:val="0"/>
          <w:numId w:val="8"/>
        </w:numPr>
        <w:rPr>
          <w:rFonts w:ascii="Arial" w:cs="Arial" w:eastAsia="Arial" w:hAnsi="Arial"/>
          <w:sz w:val="9"/>
          <w:szCs w:val="9"/>
          <w:color w:val="auto"/>
        </w:rPr>
      </w:pPr>
      <w:r>
        <w:rPr>
          <w:rFonts w:ascii="Arial" w:cs="Arial" w:eastAsia="Arial" w:hAnsi="Arial"/>
          <w:sz w:val="14"/>
          <w:szCs w:val="14"/>
          <w:color w:val="auto"/>
        </w:rPr>
        <w:t>In 2020, we adopted ASU No. 2016-13, which impacted our provision for credit losses. Years before 2020 have not been adjusted for this new accounting standard.</w:t>
      </w:r>
    </w:p>
    <w:p>
      <w:pPr>
        <w:spacing w:after="0" w:line="15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5" w:lineRule="exact"/>
        <w:rPr>
          <w:sz w:val="20"/>
          <w:szCs w:val="20"/>
          <w:color w:val="auto"/>
        </w:rPr>
      </w:pPr>
    </w:p>
    <w:p>
      <w:pPr>
        <w:ind w:left="80" w:right="80" w:firstLine="405"/>
        <w:spacing w:after="0" w:line="263" w:lineRule="auto"/>
        <w:rPr>
          <w:sz w:val="20"/>
          <w:szCs w:val="20"/>
          <w:color w:val="auto"/>
        </w:rPr>
      </w:pPr>
      <w:r>
        <w:rPr>
          <w:rFonts w:ascii="Arial" w:cs="Arial" w:eastAsia="Arial" w:hAnsi="Arial"/>
          <w:sz w:val="18"/>
          <w:szCs w:val="18"/>
          <w:i w:val="1"/>
          <w:iCs w:val="1"/>
          <w:color w:val="auto"/>
        </w:rPr>
        <w:t>A discussion regarding our financial condition and results of operations for year-end 2019 compared to year-end 2018 can be found in Part II, Item 7 “Management’s Discussion and Analysis of Financial Condition and Results of Operations” of our Annual Report on Form 10-K for the fiscal year ended December 31, 2019, as filed with the SEC on February 27,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We are a worldwide operator, franchisor, and licensor of hotel, residential, and timeshare properties in 133 countries and territories under 30 brand names. Under our asset-light business model, we typically manage or franchise hotels, rather than own them. We discuss our operations in the following three reportable business segments: U.S. &amp; Canada; Asia Pacific; and Europe, Middle East and Africa (“EMEA”). Our Caribbean and Latin America (“CALA”) operating segment does not meet the applicable accounting criteria for separate disclosure as a reportable business segment, and we include its results in “Unallocated corporate and other.” In January 2021, we modified our reportable segment structure as a result of a change in the way management intends to evaluate results and allocate resources within the Company. Beginning with the 2021 first quarter, we will report the following two operating segments: U.S. &amp; Canada and International.</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We earn base management fees and, under many agreements, incentive management fees from the properties that we manage, and we earn franchise fees on the properties that others operate under franchise agreements with us. In most markets, base management and franchise fees typically consist of a percentage of property-level revenue, or certain property-level revenue in the case of franchise fees, while incentive management fees typically consist of a percentage of net house profit after a specified owner return. For our hotels in the Middle East and Africa and in the Asia Pacific region, incentive management fees typically consist of a percentage of gross operating profit without adjustment for a specified owner return. Net house profit is calculated as gross operating profit (also referred to as “house profit”) less non-controllable expenses such as property insurance, real estate taxes, and capital spending reserves. Additionally, we earn franchise fees for use of our intellectual property, including fees from our co-brand credit card, timeshare, and residential programs.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Starwood Data Security Incident</w:t>
      </w:r>
    </w:p>
    <w:p>
      <w:pPr>
        <w:spacing w:after="0" w:line="171"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 xml:space="preserve">On November 30, 2018, we announced a data security incident involving </w:t>
      </w:r>
      <w:r>
        <w:rPr>
          <w:rFonts w:ascii="Arial" w:cs="Arial" w:eastAsia="Arial" w:hAnsi="Arial"/>
          <w:sz w:val="18"/>
          <w:szCs w:val="18"/>
          <w:color w:val="1C1C1C"/>
        </w:rPr>
        <w:t>unauthorized access to the Starwood reservations database (the “Data</w:t>
      </w:r>
      <w:r>
        <w:rPr>
          <w:rFonts w:ascii="Arial" w:cs="Arial" w:eastAsia="Arial" w:hAnsi="Arial"/>
          <w:sz w:val="18"/>
          <w:szCs w:val="18"/>
          <w:color w:val="auto"/>
        </w:rPr>
        <w:t xml:space="preserve"> </w:t>
      </w:r>
      <w:r>
        <w:rPr>
          <w:rFonts w:ascii="Arial" w:cs="Arial" w:eastAsia="Arial" w:hAnsi="Arial"/>
          <w:sz w:val="18"/>
          <w:szCs w:val="18"/>
          <w:color w:val="1C1C1C"/>
        </w:rPr>
        <w:t>Security Incident”). The Starwood reservations database is no longer used for business operations.</w:t>
      </w:r>
    </w:p>
    <w:p>
      <w:pPr>
        <w:spacing w:after="0" w:line="116"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In July 2019, the ICO issued a formal notice of intent under the U.K. Data Protection Act 2018 (the “U.K. DPA”) proposing a fine in the amount of £99 million against the Company in relation to the Data Security Incident. In October 2020, the ICO issued a final decision under the U.K. DPA, which includes a fine of £18.4 million. The Company did not appeal the ICO’s decision, but has made no admission of liability in relation to the decision or the underlying allegations. In 2019, we expensed $65 million for this loss contingency, in the “Restructuring and merger-related charges” caption of our Income Statements, based on the fine initially proposed by the ICO in July 2019 and the ongoing proceeding. In 2020, we recorded a $39 million reversal of expense, based on the ICO’s issuance of the final decision. We paid a portion of the ICO fine in the 2020 fourth quarter, and the remainder is payable over the next two years. Our accrual for this loss contingency, which we present in the “Accrued expenses and other” and “Other noncurrent liabilities” captions of our Balance Sheets, was $65 million at year-end 2019 and $17 million at year-end 2020. See Note 8 for additional information.</w:t>
      </w:r>
    </w:p>
    <w:p>
      <w:pPr>
        <w:spacing w:after="0" w:line="11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 are currently unable to estimate the range of total possible financial impact to the Company from the Data Security Incident in excess of the expenses already incurred. However, we do not believe this incident will impact our long-term financial health. Although our insurance program includes coverage designed to limit our exposure to losses such as those related to the Data Security Incident, that insurance may not be sufficient or available to cover all of our expenses or other losses (including fines and penalties) related to the Data Security Incident. As we expected, the cost of such insurance again increased for our current policy period, and the cost of such insurance could continue to increase for future policy periods. We expect to incur significant expenses associated with the Data Security Incident in future periods, primarily related to legal proceedings and regulatory investigations (including possible additional fines and penalties), increased expenses and capital investments for information technology and information security and data privacy, and increased expenses for compliance activities and to meet increased legal and regulatory requirements. See Note 8 for additional information related to expenses incurred in 2020 and 2019, insurance recoveries, and legal proceedings and governmental investigations related to the Data Security Incident.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Measures</w:t>
      </w:r>
    </w:p>
    <w:p>
      <w:pPr>
        <w:spacing w:after="0" w:line="171"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We believe Revenue per Available Room (“RevPAR”), which we calculate by dividing room sales for comparable properties by room nights available for the period, is a meaningful indicator of our performance because it measures the period-over-period change in room revenues for comparable properties. RevPAR may not be comparable to similarly titled measures, such as revenues, and should not be viewed as necessarily correlating with our fee revenue. We also believe occupancy and average daily rate (“ADR”), which are components of calculating RevPAR, are meaningful indicators of our performance. Occupancy, which we calculate by dividing occupied rooms by total rooms available (including rooms in hotels temporarily closed due to issues related to COVID-19), measures the utilization of a property’s available capacity. ADR, which we calculate by dividing property room revenue by total rooms sold, measures average room price and is useful in assessing pricing levels. Comparisons to the prior year period are on a constant U.S. dollar basis. We calculate constant dollar statistics by applying exchange rates for the current period to the prior comparable period.</w:t>
      </w:r>
    </w:p>
    <w:p>
      <w:pPr>
        <w:spacing w:after="0" w:line="111" w:lineRule="exact"/>
        <w:rPr>
          <w:sz w:val="20"/>
          <w:szCs w:val="20"/>
          <w:color w:val="auto"/>
        </w:rPr>
      </w:pPr>
    </w:p>
    <w:p>
      <w:pPr>
        <w:ind w:right="140" w:firstLine="445"/>
        <w:spacing w:after="0" w:line="296" w:lineRule="auto"/>
        <w:rPr>
          <w:sz w:val="20"/>
          <w:szCs w:val="20"/>
          <w:color w:val="auto"/>
        </w:rPr>
      </w:pPr>
      <w:r>
        <w:rPr>
          <w:rFonts w:ascii="Arial" w:cs="Arial" w:eastAsia="Arial" w:hAnsi="Arial"/>
          <w:sz w:val="16"/>
          <w:szCs w:val="16"/>
          <w:color w:val="auto"/>
        </w:rPr>
        <w:t>We define our comparable properties as our properties that were open and operating under one of our brands since the beginning of the last full calendar year (since January 1, 2019 for the current period) and have not, in either the current or previous year: (1) undergone significant room or public space renovations or expansions, (2) been converted between company-operated and franchised, or (3) sustained substantial property damage or business interruption, with the exception of properties closed or otherwise experiencing interruptions related to COVID-19, which we continue to classify as comparable. For 2020 compared to 2019, we had 4,641 comparable U.S. &amp; Canada properties and 1,340 comparable International properties.</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w:t>
      </w:r>
    </w:p>
    <w:p>
      <w:pPr>
        <w:spacing w:after="0" w:line="117" w:lineRule="exact"/>
        <w:rPr>
          <w:sz w:val="20"/>
          <w:szCs w:val="20"/>
          <w:color w:val="auto"/>
        </w:rPr>
      </w:pPr>
    </w:p>
    <w:p>
      <w:pPr>
        <w:ind w:right="160" w:firstLine="405"/>
        <w:spacing w:after="0" w:line="239" w:lineRule="auto"/>
        <w:rPr>
          <w:sz w:val="20"/>
          <w:szCs w:val="20"/>
          <w:color w:val="auto"/>
        </w:rPr>
      </w:pPr>
      <w:r>
        <w:rPr>
          <w:rFonts w:ascii="Arial" w:cs="Arial" w:eastAsia="Arial" w:hAnsi="Arial"/>
          <w:sz w:val="18"/>
          <w:szCs w:val="18"/>
          <w:color w:val="auto"/>
        </w:rPr>
        <w:t>COVID-19 continues to have a material impact on our business, our Company, and our industry. COVID-19 first impacted our business in Greater China beginning in January 2020, moved quickly into the rest of Asia Pacific and the European markets, and spread globally by March 2020. As the pandemic accelerated around the world, worldwide comparable systemwide constant dollar RevPAR fell sharply. Global occupancy levels and RevPAR have since improved compared to the extremely low levels reached in April 2020, but the pace of recovery generally slowed in most regions in the 2020 fourth quarter and into January 2021 due to the sharp rise in COVID-19 cases. As a result, our fee revenue and revenue from owned and leased properties declined significantly during 2020, and we expect that there will not be a significant rebound in travel and lodging demand until there is widespread distribution of effective vaccines.</w:t>
      </w:r>
    </w:p>
    <w:p>
      <w:pPr>
        <w:spacing w:after="0" w:line="137"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Worldwide comparable systemwide constant dollar RevPAR declined 23 percent in the 2020 first quarter, 84 percent in the 2020 second quarter, 66 percent in the 2020 third quarter, and 64 percent in the 2020 fourth quarter, compared to the same periods in 2019. Worldwide, approximately six percent of our hotels were closed as of February 15, 2021, compared to the peak of more than 25 percent closed on April 26, 2020. However, the progress of recovery is uneven. The spread of COVID-19 has constrained and continues to constrain the speed of recovery and will continue to have a dampening impact on demand. Demand is still being primarily driven by leisure travelers, and we have not seen meaningful demand return from business and group travelers.</w:t>
      </w:r>
    </w:p>
    <w:p>
      <w:pPr>
        <w:spacing w:after="0" w:line="107" w:lineRule="exact"/>
        <w:rPr>
          <w:sz w:val="20"/>
          <w:szCs w:val="20"/>
          <w:color w:val="auto"/>
        </w:rPr>
      </w:pPr>
    </w:p>
    <w:p>
      <w:pPr>
        <w:ind w:right="160" w:firstLine="405"/>
        <w:spacing w:after="0" w:line="293" w:lineRule="auto"/>
        <w:rPr>
          <w:sz w:val="20"/>
          <w:szCs w:val="20"/>
          <w:color w:val="auto"/>
        </w:rPr>
      </w:pPr>
      <w:r>
        <w:rPr>
          <w:rFonts w:ascii="Arial" w:cs="Arial" w:eastAsia="Arial" w:hAnsi="Arial"/>
          <w:sz w:val="16"/>
          <w:szCs w:val="16"/>
          <w:color w:val="auto"/>
        </w:rPr>
        <w:t>Of our geographic regions, Greater China experienced the greatest improvement in demand compared to the 2020 second quarter, driven initially by domestic leisure travel with business transient and group business improving through the year, while demand in the rest of Asia Pacific has generally improved at a much slower pace. In our Europe, Middle East, and Africa region, leisure demand drove RevPAR improvements in the 2020 third quarter compared to the 2020 second quarter, though increases in COVID-19 cases in Europe and resulting increases in government restrictions began anew in September 2020, which negatively impacted the recovery in the 2020 fourth quarter. In U.S. &amp; Canada, demand improved during the remainder of 2020 from the lows seen in April 2020, primarily driven by leisure travel and by travelers within driving range of their destinations.</w:t>
      </w:r>
    </w:p>
    <w:p>
      <w:pPr>
        <w:spacing w:after="0" w:line="110"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We continue to take substantial measures to mitigate the negative financial and operational impacts for our hotel owners and our own business. Business contingency plans have been implemented around the world, and we continue to adjust these in response to the global situation. At the corporate level, our actions to date have substantially reduced the monthly run rate of corporate general and administrative costs compared to the monthly costs initially budgeted for 2020, excluding our provision for credit losses. We reduced spending on capital expenditures and other investments, and as previously announced, we suspended share repurchases and cash dividends.</w:t>
      </w:r>
    </w:p>
    <w:p>
      <w:pPr>
        <w:spacing w:after="0" w:line="134"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We have taken a number of steps to reorganize the Company in response to the decline in lodging demand caused by COVID-19. We implemented temporary furloughs and reduced work week schedules for both above-property and on-property associates, most of which ended in September 2020 for above-property associates. As part of the realignment of our organization, we implemented a voluntary transition program for certain associates, and we eliminated a significant number of positions. While we have substantially completed the programs related to our above-property organization, we are continuing to develop restructuring plans, which could result in additional on-property position eliminations, to achieve cost savings specific to each of our company-operated properties. See Note 3 for more information about our restructuring activities.</w:t>
      </w:r>
    </w:p>
    <w:p>
      <w:pPr>
        <w:spacing w:after="0" w:line="12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At the property level, we continue to work with owners and franchisees to lower their cash outlays. The steps we have taken to date include deferring renovations, certain hotel initiatives and brand standard audits for hotel owners and franchisees; reducing the amount of certain charges for systemwide programs and services; offering a delay in payment terms for certain charges in the 2020 second quarter; supporting owners and franchisees who are working with their lenders to utilize furniture, fixtures, and equipment (FF&amp;E) reserves to meet working capital needs; and waiving required FF&amp;E funding through 2021. We have significantly lowered the reimbursed expenses we incur on behalf of our owners and franchisees to provide centralized programs and services such as the Loyalty Program, reservations, marketing and sales, which we generally collect through cost reimbursement revenue on the basis of hotel revenue or program usage. In 2020, we applied for Employee Retention Tax Credit refunds from the U.S. Treasury under the Coronavirus Aid, Relief, and Economic Security Act (“CARES Act”) totaling $164 million. In the 2020 fourth quarter, we received $119 million, $94 million of which we passed through to the related hotels that we manage on behalf of owners. We expect to receive the remaining refund in 2021, the majority of which we expect will inure to the benefit of our hotel owners. We continue to evaluate the availability of credits and benefits under the CARES Act and other legislation.</w:t>
      </w:r>
    </w:p>
    <w:p>
      <w:pPr>
        <w:spacing w:after="0" w:line="128"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The impact of COVID-19 on the Company remains fluid, as does our corporate and property-level response, and we expect to continue to assess and may implement additional measures to adapt our operations and plans as we continue to evaluate the implications of COVID-19 on our business. The overall operational and financial impact is highly dependent 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breadth and duration of COVID-19, including the availability and distribution of effective vaccines or treatments, and could be affected by other factors we are not currently able to predict.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System Growth and Pipeline</w:t>
      </w:r>
    </w:p>
    <w:p>
      <w:pPr>
        <w:spacing w:after="0" w:line="171" w:lineRule="exact"/>
        <w:rPr>
          <w:sz w:val="20"/>
          <w:szCs w:val="20"/>
          <w:color w:val="auto"/>
        </w:rPr>
      </w:pPr>
    </w:p>
    <w:p>
      <w:pPr>
        <w:ind w:right="500" w:firstLine="405"/>
        <w:spacing w:after="0" w:line="263" w:lineRule="auto"/>
        <w:rPr>
          <w:sz w:val="20"/>
          <w:szCs w:val="20"/>
          <w:color w:val="auto"/>
        </w:rPr>
      </w:pPr>
      <w:r>
        <w:rPr>
          <w:rFonts w:ascii="Arial" w:cs="Arial" w:eastAsia="Arial" w:hAnsi="Arial"/>
          <w:sz w:val="18"/>
          <w:szCs w:val="18"/>
          <w:color w:val="auto"/>
        </w:rPr>
        <w:t>In 2020, our system grew from 7,349 properties (1,380,921 rooms) at year-end 2019 to 7,642 properties (1,423,044 rooms) at year-end 2020, reflecting the addition of 399 properties (62,776 rooms) and the exit of 106 properties (20,416 rooms). Approximately 45 percent of added rooms are located outside U.S. &amp; Canada, and 13 percent are conversions from competitor brands.</w:t>
      </w:r>
    </w:p>
    <w:p>
      <w:pPr>
        <w:spacing w:after="0" w:line="130"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At year-end 2020, we had more than 498,000 rooms in our development pipeline, which includes hotel rooms under construction, hotel rooms under signed contracts, and roughly 20,000 hotel rooms approved for development but not yet under signed contracts. Over 229,000 rooms in our development pipeline were under construction at year-end 2020. Over half of the rooms in our development pipeline are outside U.S. &amp; Canada. In 2020, we signed management and franchise agreements for 1,575 properties (248,660 rooms).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2021, we expect gross rooms growth of approximately 6.0 percent (3.0 to 3.5 percent, net of deletions).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 and Rooms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year-end 2020, we operated, franchised, and licensed the following properties and rooms: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60" w:type="dxa"/>
            <w:vAlign w:val="bottom"/>
          </w:tcPr>
          <w:p>
            <w:pPr>
              <w:spacing w:after="0"/>
              <w:rPr>
                <w:sz w:val="16"/>
                <w:szCs w:val="16"/>
                <w:color w:val="auto"/>
              </w:rPr>
            </w:pPr>
          </w:p>
        </w:tc>
        <w:tc>
          <w:tcPr>
            <w:tcW w:w="1340" w:type="dxa"/>
            <w:vAlign w:val="bottom"/>
            <w:gridSpan w:val="3"/>
          </w:tcPr>
          <w:p>
            <w:pPr>
              <w:ind w:left="740"/>
              <w:spacing w:after="0"/>
              <w:rPr>
                <w:sz w:val="20"/>
                <w:szCs w:val="20"/>
                <w:color w:val="auto"/>
              </w:rPr>
            </w:pPr>
            <w:r>
              <w:rPr>
                <w:rFonts w:ascii="Arial" w:cs="Arial" w:eastAsia="Arial" w:hAnsi="Arial"/>
                <w:sz w:val="14"/>
                <w:szCs w:val="14"/>
                <w:b w:val="1"/>
                <w:bCs w:val="1"/>
                <w:color w:val="auto"/>
                <w:w w:val="95"/>
              </w:rPr>
              <w:t>Managed</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4"/>
          </w:tcPr>
          <w:p>
            <w:pPr>
              <w:ind w:left="400"/>
              <w:spacing w:after="0"/>
              <w:rPr>
                <w:sz w:val="20"/>
                <w:szCs w:val="20"/>
                <w:color w:val="auto"/>
              </w:rPr>
            </w:pPr>
            <w:r>
              <w:rPr>
                <w:rFonts w:ascii="Arial" w:cs="Arial" w:eastAsia="Arial" w:hAnsi="Arial"/>
                <w:sz w:val="14"/>
                <w:szCs w:val="14"/>
                <w:b w:val="1"/>
                <w:bCs w:val="1"/>
                <w:color w:val="auto"/>
              </w:rPr>
              <w:t>Franchised/Licensed</w:t>
            </w:r>
          </w:p>
        </w:tc>
        <w:tc>
          <w:tcPr>
            <w:tcW w:w="2180" w:type="dxa"/>
            <w:vAlign w:val="bottom"/>
            <w:gridSpan w:val="4"/>
          </w:tcPr>
          <w:p>
            <w:pPr>
              <w:ind w:left="580"/>
              <w:spacing w:after="0"/>
              <w:rPr>
                <w:sz w:val="20"/>
                <w:szCs w:val="20"/>
                <w:color w:val="auto"/>
              </w:rPr>
            </w:pPr>
            <w:r>
              <w:rPr>
                <w:rFonts w:ascii="Arial" w:cs="Arial" w:eastAsia="Arial" w:hAnsi="Arial"/>
                <w:sz w:val="14"/>
                <w:szCs w:val="14"/>
                <w:b w:val="1"/>
                <w:bCs w:val="1"/>
                <w:color w:val="auto"/>
              </w:rPr>
              <w:t>Owned/Leased</w:t>
            </w:r>
          </w:p>
        </w:tc>
        <w:tc>
          <w:tcPr>
            <w:tcW w:w="1280" w:type="dxa"/>
            <w:vAlign w:val="bottom"/>
            <w:gridSpan w:val="3"/>
          </w:tcPr>
          <w:p>
            <w:pPr>
              <w:ind w:left="880"/>
              <w:spacing w:after="0"/>
              <w:rPr>
                <w:sz w:val="20"/>
                <w:szCs w:val="20"/>
                <w:color w:val="auto"/>
              </w:rPr>
            </w:pPr>
            <w:r>
              <w:rPr>
                <w:rFonts w:ascii="Arial" w:cs="Arial" w:eastAsia="Arial" w:hAnsi="Arial"/>
                <w:sz w:val="14"/>
                <w:szCs w:val="14"/>
                <w:b w:val="1"/>
                <w:bCs w:val="1"/>
                <w:color w:val="auto"/>
              </w:rPr>
              <w:t>Total</w:t>
            </w:r>
          </w:p>
        </w:tc>
        <w:tc>
          <w:tcPr>
            <w:tcW w:w="800" w:type="dxa"/>
            <w:vAlign w:val="bottom"/>
          </w:tcPr>
          <w:p>
            <w:pPr>
              <w:spacing w:after="0"/>
              <w:rPr>
                <w:sz w:val="16"/>
                <w:szCs w:val="16"/>
                <w:color w:val="auto"/>
              </w:rPr>
            </w:pPr>
          </w:p>
        </w:tc>
      </w:tr>
      <w:tr>
        <w:trPr>
          <w:trHeight w:val="187"/>
        </w:trPr>
        <w:tc>
          <w:tcPr>
            <w:tcW w:w="2660" w:type="dxa"/>
            <w:vAlign w:val="bottom"/>
          </w:tcPr>
          <w:p>
            <w:pPr>
              <w:spacing w:after="0"/>
              <w:rPr>
                <w:sz w:val="16"/>
                <w:szCs w:val="16"/>
                <w:color w:val="auto"/>
              </w:rPr>
            </w:pPr>
          </w:p>
        </w:tc>
        <w:tc>
          <w:tcPr>
            <w:tcW w:w="1340" w:type="dxa"/>
            <w:vAlign w:val="bottom"/>
            <w:tcBorders>
              <w:top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Properties</w:t>
            </w:r>
          </w:p>
        </w:tc>
        <w:tc>
          <w:tcPr>
            <w:tcW w:w="72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88"/>
              </w:rPr>
              <w:t>Rooms</w:t>
            </w:r>
          </w:p>
        </w:tc>
        <w:tc>
          <w:tcPr>
            <w:tcW w:w="100" w:type="dxa"/>
            <w:vAlign w:val="bottom"/>
          </w:tcPr>
          <w:p>
            <w:pPr>
              <w:spacing w:after="0"/>
              <w:rPr>
                <w:sz w:val="16"/>
                <w:szCs w:val="16"/>
                <w:color w:val="auto"/>
              </w:rPr>
            </w:pPr>
          </w:p>
        </w:tc>
        <w:tc>
          <w:tcPr>
            <w:tcW w:w="108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Properties</w:t>
            </w:r>
          </w:p>
        </w:tc>
        <w:tc>
          <w:tcPr>
            <w:tcW w:w="9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Rooms</w:t>
            </w:r>
          </w:p>
        </w:tc>
        <w:tc>
          <w:tcPr>
            <w:tcW w:w="100" w:type="dxa"/>
            <w:vAlign w:val="bottom"/>
          </w:tcPr>
          <w:p>
            <w:pPr>
              <w:spacing w:after="0"/>
              <w:rPr>
                <w:sz w:val="16"/>
                <w:szCs w:val="16"/>
                <w:color w:val="auto"/>
              </w:rPr>
            </w:pPr>
          </w:p>
        </w:tc>
        <w:tc>
          <w:tcPr>
            <w:tcW w:w="110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Properties</w:t>
            </w:r>
          </w:p>
        </w:tc>
        <w:tc>
          <w:tcPr>
            <w:tcW w:w="9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Rooms</w:t>
            </w:r>
          </w:p>
        </w:tc>
        <w:tc>
          <w:tcPr>
            <w:tcW w:w="100" w:type="dxa"/>
            <w:vAlign w:val="bottom"/>
          </w:tcPr>
          <w:p>
            <w:pPr>
              <w:spacing w:after="0"/>
              <w:rPr>
                <w:sz w:val="16"/>
                <w:szCs w:val="16"/>
                <w:color w:val="auto"/>
              </w:rPr>
            </w:pPr>
          </w:p>
        </w:tc>
        <w:tc>
          <w:tcPr>
            <w:tcW w:w="1280" w:type="dxa"/>
            <w:vAlign w:val="bottom"/>
            <w:tcBorders>
              <w:top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Properties</w:t>
            </w:r>
          </w:p>
        </w:tc>
        <w:tc>
          <w:tcPr>
            <w:tcW w:w="80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Rooms</w:t>
            </w:r>
          </w:p>
        </w:tc>
      </w:tr>
      <w:tr>
        <w:trPr>
          <w:trHeight w:val="332"/>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&amp; Canada</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788</w:t>
            </w: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240,487</w:t>
            </w:r>
          </w:p>
        </w:tc>
        <w:tc>
          <w:tcPr>
            <w:tcW w:w="100" w:type="dxa"/>
            <w:vAlign w:val="bottom"/>
            <w:tcBorders>
              <w:top w:val="single" w:sz="8" w:color="CCEEFF"/>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4,720</w:t>
            </w:r>
          </w:p>
        </w:tc>
        <w:tc>
          <w:tcPr>
            <w:tcW w:w="100" w:type="dxa"/>
            <w:vAlign w:val="bottom"/>
            <w:tcBorders>
              <w:top w:val="single" w:sz="8" w:color="CCEEFF"/>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677,120</w:t>
            </w:r>
          </w:p>
        </w:tc>
        <w:tc>
          <w:tcPr>
            <w:tcW w:w="10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top w:val="single" w:sz="8" w:color="CCEEFF"/>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6,483</w:t>
            </w:r>
          </w:p>
        </w:tc>
        <w:tc>
          <w:tcPr>
            <w:tcW w:w="100" w:type="dxa"/>
            <w:vAlign w:val="bottom"/>
            <w:tcBorders>
              <w:top w:val="single" w:sz="8" w:color="33CCCC"/>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5,534</w:t>
            </w: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924,090</w:t>
            </w:r>
          </w:p>
        </w:tc>
      </w:tr>
      <w:tr>
        <w:trPr>
          <w:trHeight w:val="345"/>
        </w:trPr>
        <w:tc>
          <w:tcPr>
            <w:tcW w:w="266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980" w:type="dxa"/>
            <w:vAlign w:val="bottom"/>
          </w:tcPr>
          <w:p>
            <w:pPr>
              <w:jc w:val="right"/>
              <w:spacing w:after="0"/>
              <w:rPr>
                <w:sz w:val="20"/>
                <w:szCs w:val="20"/>
                <w:color w:val="auto"/>
              </w:rPr>
            </w:pPr>
            <w:r>
              <w:rPr>
                <w:rFonts w:ascii="Arial" w:cs="Arial" w:eastAsia="Arial" w:hAnsi="Arial"/>
                <w:sz w:val="14"/>
                <w:szCs w:val="14"/>
                <w:color w:val="auto"/>
              </w:rPr>
              <w:t>698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199,040</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37,597</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843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237,044</w:t>
            </w:r>
          </w:p>
        </w:tc>
      </w:tr>
      <w:tr>
        <w:trPr>
          <w:trHeight w:val="357"/>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EMEA</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108,185</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72,827</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5,561</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186,573</w:t>
            </w:r>
          </w:p>
        </w:tc>
      </w:tr>
      <w:tr>
        <w:trPr>
          <w:trHeight w:val="186"/>
        </w:trPr>
        <w:tc>
          <w:tcPr>
            <w:tcW w:w="2660" w:type="dxa"/>
            <w:vAlign w:val="bottom"/>
          </w:tcPr>
          <w:p>
            <w:pPr>
              <w:ind w:left="20"/>
              <w:spacing w:after="0"/>
              <w:rPr>
                <w:sz w:val="20"/>
                <w:szCs w:val="20"/>
                <w:color w:val="auto"/>
              </w:rPr>
            </w:pPr>
            <w:r>
              <w:rPr>
                <w:rFonts w:ascii="Arial" w:cs="Arial" w:eastAsia="Arial" w:hAnsi="Arial"/>
                <w:sz w:val="14"/>
                <w:szCs w:val="14"/>
                <w:color w:val="auto"/>
              </w:rPr>
              <w:t>CALA</w:t>
            </w:r>
          </w:p>
        </w:tc>
        <w:tc>
          <w:tcPr>
            <w:tcW w:w="98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21,520</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27,613</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3,449</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52,582</w:t>
            </w:r>
          </w:p>
        </w:tc>
      </w:tr>
      <w:tr>
        <w:trPr>
          <w:trHeight w:val="189"/>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Timeshare</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22,755</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22,755</w:t>
            </w:r>
          </w:p>
        </w:tc>
      </w:tr>
      <w:tr>
        <w:trPr>
          <w:trHeight w:val="186"/>
        </w:trPr>
        <w:tc>
          <w:tcPr>
            <w:tcW w:w="266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2,083</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569,232</w:t>
            </w:r>
          </w:p>
        </w:tc>
        <w:tc>
          <w:tcPr>
            <w:tcW w:w="10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5,493</w:t>
            </w:r>
          </w:p>
        </w:tc>
        <w:tc>
          <w:tcPr>
            <w:tcW w:w="10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837,912</w:t>
            </w:r>
          </w:p>
        </w:tc>
        <w:tc>
          <w:tcPr>
            <w:tcW w:w="10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15,900</w:t>
            </w:r>
          </w:p>
        </w:tc>
        <w:tc>
          <w:tcPr>
            <w:tcW w:w="10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7,642</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1,423,044</w:t>
            </w:r>
          </w:p>
        </w:tc>
      </w:tr>
      <w:tr>
        <w:trPr>
          <w:trHeight w:val="20"/>
        </w:trPr>
        <w:tc>
          <w:tcPr>
            <w:tcW w:w="2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Lodging Statistics</w:t>
      </w:r>
    </w:p>
    <w:p>
      <w:pPr>
        <w:spacing w:after="0" w:line="175"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color w:val="auto"/>
        </w:rPr>
        <w:t>The following tables present RevPAR, occupancy, and ADR statistics for comparable properties for 2020 and 2020 compared to 2019. Systemwide statistics include data from our franchised properties, in addition to our company-operated properties.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tcPr>
          <w:p>
            <w:pPr>
              <w:ind w:left="700"/>
              <w:spacing w:after="0"/>
              <w:rPr>
                <w:sz w:val="20"/>
                <w:szCs w:val="20"/>
                <w:color w:val="auto"/>
              </w:rPr>
            </w:pPr>
            <w:r>
              <w:rPr>
                <w:rFonts w:ascii="Arial" w:cs="Arial" w:eastAsia="Arial" w:hAnsi="Arial"/>
                <w:sz w:val="14"/>
                <w:szCs w:val="14"/>
                <w:b w:val="1"/>
                <w:bCs w:val="1"/>
                <w:color w:val="auto"/>
              </w:rPr>
              <w:t>RevPAR</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gridSpan w:val="4"/>
          </w:tcPr>
          <w:p>
            <w:pPr>
              <w:ind w:left="1140"/>
              <w:spacing w:after="0"/>
              <w:rPr>
                <w:sz w:val="20"/>
                <w:szCs w:val="20"/>
                <w:color w:val="auto"/>
              </w:rPr>
            </w:pPr>
            <w:r>
              <w:rPr>
                <w:rFonts w:ascii="Arial" w:cs="Arial" w:eastAsia="Arial" w:hAnsi="Arial"/>
                <w:sz w:val="14"/>
                <w:szCs w:val="14"/>
                <w:b w:val="1"/>
                <w:bCs w:val="1"/>
                <w:color w:val="auto"/>
              </w:rPr>
              <w:t>Occupancy</w:t>
            </w:r>
          </w:p>
        </w:tc>
        <w:tc>
          <w:tcPr>
            <w:tcW w:w="260" w:type="dxa"/>
            <w:vAlign w:val="bottom"/>
          </w:tcPr>
          <w:p>
            <w:pPr>
              <w:spacing w:after="0"/>
              <w:rPr>
                <w:sz w:val="16"/>
                <w:szCs w:val="16"/>
                <w:color w:val="auto"/>
              </w:rPr>
            </w:pPr>
          </w:p>
        </w:tc>
        <w:tc>
          <w:tcPr>
            <w:tcW w:w="2220" w:type="dxa"/>
            <w:vAlign w:val="bottom"/>
            <w:gridSpan w:val="3"/>
          </w:tcPr>
          <w:p>
            <w:pPr>
              <w:jc w:val="right"/>
              <w:ind w:right="568"/>
              <w:spacing w:after="0"/>
              <w:rPr>
                <w:sz w:val="20"/>
                <w:szCs w:val="20"/>
                <w:color w:val="auto"/>
              </w:rPr>
            </w:pPr>
            <w:r>
              <w:rPr>
                <w:rFonts w:ascii="Arial" w:cs="Arial" w:eastAsia="Arial" w:hAnsi="Arial"/>
                <w:sz w:val="14"/>
                <w:szCs w:val="14"/>
                <w:b w:val="1"/>
                <w:bCs w:val="1"/>
                <w:color w:val="auto"/>
              </w:rPr>
              <w:t>Average Daily Rate</w:t>
            </w:r>
          </w:p>
        </w:tc>
      </w:tr>
      <w:tr>
        <w:trPr>
          <w:trHeight w:val="187"/>
        </w:trPr>
        <w:tc>
          <w:tcPr>
            <w:tcW w:w="3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95"/>
              </w:rPr>
              <w:t>vs. 2019</w:t>
            </w:r>
          </w:p>
        </w:tc>
        <w:tc>
          <w:tcPr>
            <w:tcW w:w="12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16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4"/>
                <w:szCs w:val="14"/>
                <w:b w:val="1"/>
                <w:bCs w:val="1"/>
                <w:color w:val="auto"/>
              </w:rPr>
              <w:t>vs. 2019</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vs. 2019</w:t>
            </w:r>
          </w:p>
        </w:tc>
      </w:tr>
      <w:tr>
        <w:trPr>
          <w:trHeight w:val="170"/>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Comparable Company-Operated Properties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345"/>
        </w:trPr>
        <w:tc>
          <w:tcPr>
            <w:tcW w:w="3120" w:type="dxa"/>
            <w:vAlign w:val="bottom"/>
          </w:tcPr>
          <w:p>
            <w:pPr>
              <w:ind w:left="20"/>
              <w:spacing w:after="0"/>
              <w:rPr>
                <w:sz w:val="20"/>
                <w:szCs w:val="20"/>
                <w:color w:val="auto"/>
              </w:rPr>
            </w:pPr>
            <w:r>
              <w:rPr>
                <w:rFonts w:ascii="Arial" w:cs="Arial" w:eastAsia="Arial" w:hAnsi="Arial"/>
                <w:sz w:val="14"/>
                <w:szCs w:val="14"/>
                <w:color w:val="auto"/>
              </w:rPr>
              <w:t>U.S. &amp; Canada</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50.73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(67.3)%</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28.6 %</w:t>
            </w:r>
          </w:p>
        </w:tc>
        <w:tc>
          <w:tcPr>
            <w:tcW w:w="120" w:type="dxa"/>
            <w:vAlign w:val="bottom"/>
          </w:tcPr>
          <w:p>
            <w:pPr>
              <w:spacing w:after="0"/>
              <w:rPr>
                <w:sz w:val="24"/>
                <w:szCs w:val="24"/>
                <w:color w:val="auto"/>
              </w:rPr>
            </w:pPr>
          </w:p>
        </w:tc>
        <w:tc>
          <w:tcPr>
            <w:tcW w:w="1740" w:type="dxa"/>
            <w:vAlign w:val="bottom"/>
            <w:gridSpan w:val="2"/>
          </w:tcPr>
          <w:p>
            <w:pPr>
              <w:ind w:left="720"/>
              <w:spacing w:after="0"/>
              <w:rPr>
                <w:sz w:val="20"/>
                <w:szCs w:val="20"/>
                <w:color w:val="auto"/>
              </w:rPr>
            </w:pPr>
            <w:r>
              <w:rPr>
                <w:rFonts w:ascii="Arial" w:cs="Arial" w:eastAsia="Arial" w:hAnsi="Arial"/>
                <w:sz w:val="14"/>
                <w:szCs w:val="14"/>
                <w:color w:val="auto"/>
              </w:rPr>
              <w:t>(47.2)% pts.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177.48</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(13.4)%</w:t>
            </w:r>
          </w:p>
        </w:tc>
      </w:tr>
      <w:tr>
        <w:trPr>
          <w:trHeight w:val="195"/>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 Pacific</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39.6 %</w:t>
            </w:r>
          </w:p>
        </w:tc>
        <w:tc>
          <w:tcPr>
            <w:tcW w:w="1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(31.7)% 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116.90</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r>
      <w:tr>
        <w:trPr>
          <w:trHeight w:val="186"/>
        </w:trPr>
        <w:tc>
          <w:tcPr>
            <w:tcW w:w="3120" w:type="dxa"/>
            <w:vAlign w:val="bottom"/>
          </w:tcPr>
          <w:p>
            <w:pPr>
              <w:ind w:left="20"/>
              <w:spacing w:after="0"/>
              <w:rPr>
                <w:sz w:val="20"/>
                <w:szCs w:val="20"/>
                <w:color w:val="auto"/>
              </w:rPr>
            </w:pPr>
            <w:r>
              <w:rPr>
                <w:rFonts w:ascii="Arial" w:cs="Arial" w:eastAsia="Arial" w:hAnsi="Arial"/>
                <w:sz w:val="14"/>
                <w:szCs w:val="14"/>
                <w:color w:val="auto"/>
              </w:rPr>
              <w:t>CALA</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52.55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(60.0)%</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26.7 %</w:t>
            </w:r>
          </w:p>
        </w:tc>
        <w:tc>
          <w:tcPr>
            <w:tcW w:w="120" w:type="dxa"/>
            <w:vAlign w:val="bottom"/>
          </w:tcPr>
          <w:p>
            <w:pPr>
              <w:spacing w:after="0"/>
              <w:rPr>
                <w:sz w:val="16"/>
                <w:szCs w:val="16"/>
                <w:color w:val="auto"/>
              </w:rPr>
            </w:pPr>
          </w:p>
        </w:tc>
        <w:tc>
          <w:tcPr>
            <w:tcW w:w="1740" w:type="dxa"/>
            <w:vAlign w:val="bottom"/>
            <w:gridSpan w:val="2"/>
          </w:tcPr>
          <w:p>
            <w:pPr>
              <w:ind w:left="720"/>
              <w:spacing w:after="0"/>
              <w:rPr>
                <w:sz w:val="20"/>
                <w:szCs w:val="20"/>
                <w:color w:val="auto"/>
              </w:rPr>
            </w:pPr>
            <w:r>
              <w:rPr>
                <w:rFonts w:ascii="Arial" w:cs="Arial" w:eastAsia="Arial" w:hAnsi="Arial"/>
                <w:sz w:val="14"/>
                <w:szCs w:val="14"/>
                <w:color w:val="auto"/>
              </w:rPr>
              <w:t>(37.8)% pts.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196.51</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192"/>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Europe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20.8 %</w:t>
            </w:r>
          </w:p>
        </w:tc>
        <w:tc>
          <w:tcPr>
            <w:tcW w:w="1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(53.3)% 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167.70</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r>
      <w:tr>
        <w:trPr>
          <w:trHeight w:val="186"/>
        </w:trPr>
        <w:tc>
          <w:tcPr>
            <w:tcW w:w="3120" w:type="dxa"/>
            <w:vAlign w:val="bottom"/>
          </w:tcPr>
          <w:p>
            <w:pPr>
              <w:ind w:left="140"/>
              <w:spacing w:after="0"/>
              <w:rPr>
                <w:sz w:val="20"/>
                <w:szCs w:val="20"/>
                <w:color w:val="auto"/>
              </w:rPr>
            </w:pPr>
            <w:r>
              <w:rPr>
                <w:rFonts w:ascii="Arial" w:cs="Arial" w:eastAsia="Arial" w:hAnsi="Arial"/>
                <w:sz w:val="14"/>
                <w:szCs w:val="14"/>
                <w:color w:val="auto"/>
              </w:rPr>
              <w:t>Middle East &amp; Africa</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48.97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(52.1)%</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34.9 %</w:t>
            </w:r>
          </w:p>
        </w:tc>
        <w:tc>
          <w:tcPr>
            <w:tcW w:w="120" w:type="dxa"/>
            <w:vAlign w:val="bottom"/>
          </w:tcPr>
          <w:p>
            <w:pPr>
              <w:spacing w:after="0"/>
              <w:rPr>
                <w:sz w:val="16"/>
                <w:szCs w:val="16"/>
                <w:color w:val="auto"/>
              </w:rPr>
            </w:pPr>
          </w:p>
        </w:tc>
        <w:tc>
          <w:tcPr>
            <w:tcW w:w="1740" w:type="dxa"/>
            <w:vAlign w:val="bottom"/>
            <w:gridSpan w:val="2"/>
          </w:tcPr>
          <w:p>
            <w:pPr>
              <w:ind w:left="720"/>
              <w:spacing w:after="0"/>
              <w:rPr>
                <w:sz w:val="20"/>
                <w:szCs w:val="20"/>
                <w:color w:val="auto"/>
              </w:rPr>
            </w:pPr>
            <w:r>
              <w:rPr>
                <w:rFonts w:ascii="Arial" w:cs="Arial" w:eastAsia="Arial" w:hAnsi="Arial"/>
                <w:sz w:val="14"/>
                <w:szCs w:val="14"/>
                <w:color w:val="auto"/>
              </w:rPr>
              <w:t>(32.9)% pts.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140.34</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192"/>
        </w:trPr>
        <w:tc>
          <w:tcPr>
            <w:tcW w:w="3120" w:type="dxa"/>
            <w:vAlign w:val="bottom"/>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EMEA </w:t>
            </w:r>
            <w:r>
              <w:rPr>
                <w:rFonts w:ascii="Arial" w:cs="Arial" w:eastAsia="Arial" w:hAnsi="Arial"/>
                <w:sz w:val="18"/>
                <w:szCs w:val="18"/>
                <w:color w:val="auto"/>
                <w:vertAlign w:val="superscript"/>
              </w:rPr>
              <w:t>(1)</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27.0 %</w:t>
            </w:r>
          </w:p>
        </w:tc>
        <w:tc>
          <w:tcPr>
            <w:tcW w:w="1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(44.3)% 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152.08</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r>
      <w:tr>
        <w:trPr>
          <w:trHeight w:val="189"/>
        </w:trPr>
        <w:tc>
          <w:tcPr>
            <w:tcW w:w="31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International - All </w:t>
            </w:r>
            <w:r>
              <w:rPr>
                <w:rFonts w:ascii="Arial" w:cs="Arial" w:eastAsia="Arial" w:hAnsi="Arial"/>
                <w:sz w:val="18"/>
                <w:szCs w:val="18"/>
                <w:color w:val="auto"/>
                <w:vertAlign w:val="superscript"/>
              </w:rPr>
              <w:t>(2)</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44.77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(60.6)%</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33.8 %</w:t>
            </w:r>
          </w:p>
        </w:tc>
        <w:tc>
          <w:tcPr>
            <w:tcW w:w="120" w:type="dxa"/>
            <w:vAlign w:val="bottom"/>
          </w:tcPr>
          <w:p>
            <w:pPr>
              <w:spacing w:after="0"/>
              <w:rPr>
                <w:sz w:val="16"/>
                <w:szCs w:val="16"/>
                <w:color w:val="auto"/>
              </w:rPr>
            </w:pPr>
          </w:p>
        </w:tc>
        <w:tc>
          <w:tcPr>
            <w:tcW w:w="1740" w:type="dxa"/>
            <w:vAlign w:val="bottom"/>
            <w:gridSpan w:val="2"/>
          </w:tcPr>
          <w:p>
            <w:pPr>
              <w:ind w:left="720"/>
              <w:spacing w:after="0"/>
              <w:rPr>
                <w:sz w:val="20"/>
                <w:szCs w:val="20"/>
                <w:color w:val="auto"/>
              </w:rPr>
            </w:pPr>
            <w:r>
              <w:rPr>
                <w:rFonts w:ascii="Arial" w:cs="Arial" w:eastAsia="Arial" w:hAnsi="Arial"/>
                <w:sz w:val="14"/>
                <w:szCs w:val="14"/>
                <w:color w:val="auto"/>
              </w:rPr>
              <w:t>(37.0)% pts.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132.56</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(17.4)%</w:t>
            </w:r>
          </w:p>
        </w:tc>
      </w:tr>
      <w:tr>
        <w:trPr>
          <w:trHeight w:val="189"/>
        </w:trPr>
        <w:tc>
          <w:tcPr>
            <w:tcW w:w="31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Worldwide </w:t>
            </w:r>
            <w:r>
              <w:rPr>
                <w:rFonts w:ascii="Arial" w:cs="Arial" w:eastAsia="Arial" w:hAnsi="Arial"/>
                <w:sz w:val="18"/>
                <w:szCs w:val="18"/>
                <w:color w:val="auto"/>
                <w:vertAlign w:val="superscript"/>
              </w:rPr>
              <w:t>(3)</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31.4 %</w:t>
            </w:r>
          </w:p>
        </w:tc>
        <w:tc>
          <w:tcPr>
            <w:tcW w:w="1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(41.7)% 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151.51</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r>
      <w:tr>
        <w:trPr>
          <w:trHeight w:val="186"/>
        </w:trPr>
        <w:tc>
          <w:tcPr>
            <w:tcW w:w="3120" w:type="dxa"/>
            <w:vAlign w:val="bottom"/>
          </w:tcPr>
          <w:p>
            <w:pPr>
              <w:ind w:left="140"/>
              <w:spacing w:after="0"/>
              <w:rPr>
                <w:sz w:val="20"/>
                <w:szCs w:val="20"/>
                <w:color w:val="auto"/>
              </w:rPr>
            </w:pPr>
            <w:r>
              <w:rPr>
                <w:rFonts w:ascii="Arial" w:cs="Arial" w:eastAsia="Arial" w:hAnsi="Arial"/>
                <w:sz w:val="14"/>
                <w:szCs w:val="14"/>
                <w:i w:val="1"/>
                <w:iCs w:val="1"/>
                <w:color w:val="auto"/>
              </w:rPr>
              <w:t>Comparable Systemwide Properties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54"/>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&amp; Canada</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37.2 %</w:t>
            </w:r>
          </w:p>
        </w:tc>
        <w:tc>
          <w:tcPr>
            <w:tcW w:w="12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(36.5)% 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r>
      <w:tr>
        <w:trPr>
          <w:trHeight w:val="186"/>
        </w:trPr>
        <w:tc>
          <w:tcPr>
            <w:tcW w:w="312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46.51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(54.2)%</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38.8 %</w:t>
            </w:r>
          </w:p>
        </w:tc>
        <w:tc>
          <w:tcPr>
            <w:tcW w:w="120" w:type="dxa"/>
            <w:vAlign w:val="bottom"/>
          </w:tcPr>
          <w:p>
            <w:pPr>
              <w:spacing w:after="0"/>
              <w:rPr>
                <w:sz w:val="16"/>
                <w:szCs w:val="16"/>
                <w:color w:val="auto"/>
              </w:rPr>
            </w:pPr>
          </w:p>
        </w:tc>
        <w:tc>
          <w:tcPr>
            <w:tcW w:w="1740" w:type="dxa"/>
            <w:vAlign w:val="bottom"/>
            <w:gridSpan w:val="2"/>
          </w:tcPr>
          <w:p>
            <w:pPr>
              <w:ind w:left="720"/>
              <w:spacing w:after="0"/>
              <w:rPr>
                <w:sz w:val="20"/>
                <w:szCs w:val="20"/>
                <w:color w:val="auto"/>
              </w:rPr>
            </w:pPr>
            <w:r>
              <w:rPr>
                <w:rFonts w:ascii="Arial" w:cs="Arial" w:eastAsia="Arial" w:hAnsi="Arial"/>
                <w:sz w:val="14"/>
                <w:szCs w:val="14"/>
                <w:color w:val="auto"/>
              </w:rPr>
              <w:t>(32.4)% pts.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119.89</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(16.0)%</w:t>
            </w:r>
          </w:p>
        </w:tc>
      </w:tr>
      <w:tr>
        <w:trPr>
          <w:trHeight w:val="192"/>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CALA</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24.4 %</w:t>
            </w:r>
          </w:p>
        </w:tc>
        <w:tc>
          <w:tcPr>
            <w:tcW w:w="1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(37.4)% 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159.12</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r>
      <w:tr>
        <w:trPr>
          <w:trHeight w:val="186"/>
        </w:trPr>
        <w:tc>
          <w:tcPr>
            <w:tcW w:w="3120" w:type="dxa"/>
            <w:vAlign w:val="bottom"/>
          </w:tcPr>
          <w:p>
            <w:pPr>
              <w:ind w:left="140"/>
              <w:spacing w:after="0"/>
              <w:rPr>
                <w:sz w:val="20"/>
                <w:szCs w:val="20"/>
                <w:color w:val="auto"/>
              </w:rPr>
            </w:pPr>
            <w:r>
              <w:rPr>
                <w:rFonts w:ascii="Arial" w:cs="Arial" w:eastAsia="Arial" w:hAnsi="Arial"/>
                <w:sz w:val="14"/>
                <w:szCs w:val="14"/>
                <w:color w:val="auto"/>
              </w:rPr>
              <w:t>Europe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32.53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(75.1)%</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21.7 %</w:t>
            </w:r>
          </w:p>
        </w:tc>
        <w:tc>
          <w:tcPr>
            <w:tcW w:w="120" w:type="dxa"/>
            <w:vAlign w:val="bottom"/>
          </w:tcPr>
          <w:p>
            <w:pPr>
              <w:spacing w:after="0"/>
              <w:rPr>
                <w:sz w:val="16"/>
                <w:szCs w:val="16"/>
                <w:color w:val="auto"/>
              </w:rPr>
            </w:pPr>
          </w:p>
        </w:tc>
        <w:tc>
          <w:tcPr>
            <w:tcW w:w="1740" w:type="dxa"/>
            <w:vAlign w:val="bottom"/>
            <w:gridSpan w:val="2"/>
          </w:tcPr>
          <w:p>
            <w:pPr>
              <w:ind w:left="720"/>
              <w:spacing w:after="0"/>
              <w:rPr>
                <w:sz w:val="20"/>
                <w:szCs w:val="20"/>
                <w:color w:val="auto"/>
              </w:rPr>
            </w:pPr>
            <w:r>
              <w:rPr>
                <w:rFonts w:ascii="Arial" w:cs="Arial" w:eastAsia="Arial" w:hAnsi="Arial"/>
                <w:sz w:val="14"/>
                <w:szCs w:val="14"/>
                <w:color w:val="auto"/>
              </w:rPr>
              <w:t>(51.2)% pts.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149.58</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(16.5)%</w:t>
            </w:r>
          </w:p>
        </w:tc>
      </w:tr>
      <w:tr>
        <w:trPr>
          <w:trHeight w:val="192"/>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Middle East &amp; Africa</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34.3 %</w:t>
            </w:r>
          </w:p>
        </w:tc>
        <w:tc>
          <w:tcPr>
            <w:tcW w:w="1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(33.2)% 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134.87</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189"/>
        </w:trPr>
        <w:tc>
          <w:tcPr>
            <w:tcW w:w="31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EMEA </w:t>
            </w:r>
            <w:r>
              <w:rPr>
                <w:rFonts w:ascii="Arial" w:cs="Arial" w:eastAsia="Arial" w:hAnsi="Arial"/>
                <w:sz w:val="18"/>
                <w:szCs w:val="18"/>
                <w:color w:val="auto"/>
                <w:vertAlign w:val="superscript"/>
              </w:rPr>
              <w:t>(1)</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36.91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(69.2)%</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25.8 %</w:t>
            </w:r>
          </w:p>
        </w:tc>
        <w:tc>
          <w:tcPr>
            <w:tcW w:w="120" w:type="dxa"/>
            <w:vAlign w:val="bottom"/>
          </w:tcPr>
          <w:p>
            <w:pPr>
              <w:spacing w:after="0"/>
              <w:rPr>
                <w:sz w:val="16"/>
                <w:szCs w:val="16"/>
                <w:color w:val="auto"/>
              </w:rPr>
            </w:pPr>
          </w:p>
        </w:tc>
        <w:tc>
          <w:tcPr>
            <w:tcW w:w="1740" w:type="dxa"/>
            <w:vAlign w:val="bottom"/>
            <w:gridSpan w:val="2"/>
          </w:tcPr>
          <w:p>
            <w:pPr>
              <w:ind w:left="720"/>
              <w:spacing w:after="0"/>
              <w:rPr>
                <w:sz w:val="20"/>
                <w:szCs w:val="20"/>
                <w:color w:val="auto"/>
              </w:rPr>
            </w:pPr>
            <w:r>
              <w:rPr>
                <w:rFonts w:ascii="Arial" w:cs="Arial" w:eastAsia="Arial" w:hAnsi="Arial"/>
                <w:sz w:val="14"/>
                <w:szCs w:val="14"/>
                <w:color w:val="auto"/>
              </w:rPr>
              <w:t>(45.4)% pts.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143.33</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189"/>
        </w:trPr>
        <w:tc>
          <w:tcPr>
            <w:tcW w:w="31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International - All </w:t>
            </w:r>
            <w:r>
              <w:rPr>
                <w:rFonts w:ascii="Arial" w:cs="Arial" w:eastAsia="Arial" w:hAnsi="Arial"/>
                <w:sz w:val="18"/>
                <w:szCs w:val="18"/>
                <w:color w:val="auto"/>
                <w:vertAlign w:val="superscript"/>
              </w:rPr>
              <w:t>(2)</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31.5 %</w:t>
            </w:r>
          </w:p>
        </w:tc>
        <w:tc>
          <w:tcPr>
            <w:tcW w:w="1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(38.5)% pts.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131.63</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r>
      <w:tr>
        <w:trPr>
          <w:trHeight w:val="244"/>
        </w:trPr>
        <w:tc>
          <w:tcPr>
            <w:tcW w:w="3120" w:type="dxa"/>
            <w:vAlign w:val="bottom"/>
          </w:tcPr>
          <w:p>
            <w:pPr>
              <w:ind w:left="20"/>
              <w:spacing w:after="0"/>
              <w:rPr>
                <w:sz w:val="20"/>
                <w:szCs w:val="20"/>
                <w:color w:val="auto"/>
              </w:rPr>
            </w:pPr>
            <w:r>
              <w:rPr>
                <w:rFonts w:ascii="Arial" w:cs="Arial" w:eastAsia="Arial" w:hAnsi="Arial"/>
                <w:sz w:val="14"/>
                <w:szCs w:val="14"/>
                <w:color w:val="auto"/>
              </w:rPr>
              <w:t xml:space="preserve">Worldwide </w:t>
            </w:r>
            <w:r>
              <w:rPr>
                <w:rFonts w:ascii="Arial" w:cs="Arial" w:eastAsia="Arial" w:hAnsi="Arial"/>
                <w:sz w:val="18"/>
                <w:szCs w:val="18"/>
                <w:color w:val="auto"/>
                <w:vertAlign w:val="superscript"/>
              </w:rPr>
              <w:t>(3)</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46.28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(60.2)%</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35.5 %</w:t>
            </w:r>
          </w:p>
        </w:tc>
        <w:tc>
          <w:tcPr>
            <w:tcW w:w="120" w:type="dxa"/>
            <w:vAlign w:val="bottom"/>
          </w:tcPr>
          <w:p>
            <w:pPr>
              <w:spacing w:after="0"/>
              <w:rPr>
                <w:sz w:val="21"/>
                <w:szCs w:val="21"/>
                <w:color w:val="auto"/>
              </w:rPr>
            </w:pPr>
          </w:p>
        </w:tc>
        <w:tc>
          <w:tcPr>
            <w:tcW w:w="1740" w:type="dxa"/>
            <w:vAlign w:val="bottom"/>
            <w:gridSpan w:val="2"/>
          </w:tcPr>
          <w:p>
            <w:pPr>
              <w:ind w:left="720"/>
              <w:spacing w:after="0"/>
              <w:rPr>
                <w:sz w:val="20"/>
                <w:szCs w:val="20"/>
                <w:color w:val="auto"/>
              </w:rPr>
            </w:pPr>
            <w:r>
              <w:rPr>
                <w:rFonts w:ascii="Arial" w:cs="Arial" w:eastAsia="Arial" w:hAnsi="Arial"/>
                <w:sz w:val="14"/>
                <w:szCs w:val="14"/>
                <w:color w:val="auto"/>
              </w:rPr>
              <w:t>(37.1)% pts.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130.40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(18.5)%</w:t>
            </w:r>
          </w:p>
        </w:tc>
      </w:tr>
    </w:tbl>
    <w:p>
      <w:pPr>
        <w:spacing w:after="0" w:line="213" w:lineRule="exact"/>
        <w:rPr>
          <w:sz w:val="20"/>
          <w:szCs w:val="20"/>
          <w:color w:val="auto"/>
        </w:rPr>
      </w:pPr>
    </w:p>
    <w:p>
      <w:pPr>
        <w:ind w:left="320" w:hanging="312"/>
        <w:spacing w:after="0"/>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4"/>
          <w:szCs w:val="14"/>
          <w:color w:val="auto"/>
        </w:rPr>
        <w:t>Includes Europe and Middle East &amp; Africa.</w:t>
      </w:r>
    </w:p>
    <w:p>
      <w:pPr>
        <w:ind w:left="320" w:hanging="312"/>
        <w:spacing w:after="0" w:line="187" w:lineRule="auto"/>
        <w:tabs>
          <w:tab w:leader="none" w:pos="320" w:val="left"/>
        </w:tabs>
        <w:numPr>
          <w:ilvl w:val="0"/>
          <w:numId w:val="9"/>
        </w:numPr>
        <w:rPr>
          <w:rFonts w:ascii="Arial" w:cs="Arial" w:eastAsia="Arial" w:hAnsi="Arial"/>
          <w:sz w:val="18"/>
          <w:szCs w:val="18"/>
          <w:color w:val="auto"/>
          <w:vertAlign w:val="superscript"/>
        </w:rPr>
      </w:pPr>
      <w:r>
        <w:rPr>
          <w:rFonts w:ascii="Arial" w:cs="Arial" w:eastAsia="Arial" w:hAnsi="Arial"/>
          <w:sz w:val="12"/>
          <w:szCs w:val="12"/>
          <w:color w:val="auto"/>
        </w:rPr>
        <w:t>Includes Asia Pacific, CALA, and EMEA.</w:t>
      </w:r>
    </w:p>
    <w:p>
      <w:pPr>
        <w:ind w:left="320" w:hanging="312"/>
        <w:spacing w:after="0" w:line="186" w:lineRule="auto"/>
        <w:tabs>
          <w:tab w:leader="none" w:pos="320" w:val="left"/>
        </w:tabs>
        <w:numPr>
          <w:ilvl w:val="0"/>
          <w:numId w:val="9"/>
        </w:numPr>
        <w:rPr>
          <w:rFonts w:ascii="Arial" w:cs="Arial" w:eastAsia="Arial" w:hAnsi="Arial"/>
          <w:sz w:val="19"/>
          <w:szCs w:val="19"/>
          <w:color w:val="auto"/>
          <w:vertAlign w:val="superscript"/>
        </w:rPr>
      </w:pPr>
      <w:r>
        <w:rPr>
          <w:rFonts w:ascii="Arial" w:cs="Arial" w:eastAsia="Arial" w:hAnsi="Arial"/>
          <w:sz w:val="12"/>
          <w:szCs w:val="12"/>
          <w:color w:val="auto"/>
        </w:rPr>
        <w:t>Includes U.S. &amp; Canada and International - All.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75" w:lineRule="exact"/>
        <w:rPr>
          <w:sz w:val="20"/>
          <w:szCs w:val="20"/>
          <w:color w:val="auto"/>
        </w:rPr>
      </w:pPr>
    </w:p>
    <w:p>
      <w:pPr>
        <w:jc w:val="both"/>
        <w:ind w:right="280" w:firstLine="405"/>
        <w:spacing w:after="0" w:line="263" w:lineRule="auto"/>
        <w:rPr>
          <w:sz w:val="20"/>
          <w:szCs w:val="20"/>
          <w:color w:val="auto"/>
        </w:rPr>
      </w:pPr>
      <w:r>
        <w:rPr>
          <w:rFonts w:ascii="Arial" w:cs="Arial" w:eastAsia="Arial" w:hAnsi="Arial"/>
          <w:sz w:val="18"/>
          <w:szCs w:val="18"/>
          <w:color w:val="auto"/>
        </w:rPr>
        <w:t>Our results declined in 2020 compared to 2019, primarily due to the impact of COVID-19. See the “Impact of COVID-19” section above for more information about the impact to our business during 2020, and the discussion below for additional analysis of our consolidated results of operations for 2020 and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Revenues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Change 2020 vs. 2019</w:t>
            </w:r>
          </w:p>
        </w:tc>
        <w:tc>
          <w:tcPr>
            <w:tcW w:w="880" w:type="dxa"/>
            <w:vAlign w:val="bottom"/>
            <w:tcBorders>
              <w:bottom w:val="single" w:sz="8" w:color="auto"/>
            </w:tcBorders>
          </w:tcPr>
          <w:p>
            <w:pPr>
              <w:spacing w:after="0"/>
              <w:rPr>
                <w:sz w:val="16"/>
                <w:szCs w:val="16"/>
                <w:color w:val="auto"/>
              </w:rPr>
            </w:pPr>
          </w:p>
        </w:tc>
      </w:tr>
      <w:tr>
        <w:trPr>
          <w:trHeight w:val="188"/>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Base management fees</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1,180</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1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186"/>
        </w:trPr>
        <w:tc>
          <w:tcPr>
            <w:tcW w:w="3220" w:type="dxa"/>
            <w:vAlign w:val="bottom"/>
          </w:tcPr>
          <w:p>
            <w:pPr>
              <w:ind w:left="20"/>
              <w:spacing w:after="0"/>
              <w:rPr>
                <w:sz w:val="20"/>
                <w:szCs w:val="20"/>
                <w:color w:val="auto"/>
              </w:rPr>
            </w:pPr>
            <w:r>
              <w:rPr>
                <w:rFonts w:ascii="Arial" w:cs="Arial" w:eastAsia="Arial" w:hAnsi="Arial"/>
                <w:sz w:val="14"/>
                <w:szCs w:val="14"/>
                <w:color w:val="auto"/>
              </w:rPr>
              <w:t>Franchise fees</w:t>
            </w:r>
          </w:p>
        </w:tc>
        <w:tc>
          <w:tcPr>
            <w:tcW w:w="44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1,153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2,006</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(853)</w:t>
            </w:r>
          </w:p>
        </w:tc>
        <w:tc>
          <w:tcPr>
            <w:tcW w:w="1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192"/>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Incentive management fees</w:t>
            </w:r>
          </w:p>
        </w:tc>
        <w:tc>
          <w:tcPr>
            <w:tcW w:w="4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w:t>
            </w:r>
          </w:p>
        </w:tc>
        <w:tc>
          <w:tcPr>
            <w:tcW w:w="12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1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r>
      <w:tr>
        <w:trPr>
          <w:trHeight w:val="179"/>
        </w:trPr>
        <w:tc>
          <w:tcPr>
            <w:tcW w:w="3220" w:type="dxa"/>
            <w:vAlign w:val="bottom"/>
          </w:tcPr>
          <w:p>
            <w:pPr>
              <w:ind w:left="220"/>
              <w:spacing w:after="0"/>
              <w:rPr>
                <w:sz w:val="20"/>
                <w:szCs w:val="20"/>
                <w:color w:val="auto"/>
              </w:rPr>
            </w:pPr>
            <w:r>
              <w:rPr>
                <w:rFonts w:ascii="Arial" w:cs="Arial" w:eastAsia="Arial" w:hAnsi="Arial"/>
                <w:sz w:val="14"/>
                <w:szCs w:val="14"/>
                <w:color w:val="auto"/>
              </w:rPr>
              <w:t>Gross fee revenues</w:t>
            </w:r>
          </w:p>
        </w:tc>
        <w:tc>
          <w:tcPr>
            <w:tcW w:w="440" w:type="dxa"/>
            <w:vAlign w:val="bottom"/>
          </w:tcPr>
          <w:p>
            <w:pPr>
              <w:spacing w:after="0"/>
              <w:rPr>
                <w:sz w:val="15"/>
                <w:szCs w:val="15"/>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1,683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3,823</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(2,140)</w:t>
            </w:r>
          </w:p>
        </w:tc>
        <w:tc>
          <w:tcPr>
            <w:tcW w:w="1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192"/>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investment amortization</w:t>
            </w:r>
          </w:p>
        </w:tc>
        <w:tc>
          <w:tcPr>
            <w:tcW w:w="4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113 %</w:t>
            </w:r>
          </w:p>
        </w:tc>
      </w:tr>
      <w:tr>
        <w:trPr>
          <w:trHeight w:val="176"/>
        </w:trPr>
        <w:tc>
          <w:tcPr>
            <w:tcW w:w="3220" w:type="dxa"/>
            <w:vAlign w:val="bottom"/>
          </w:tcPr>
          <w:p>
            <w:pPr>
              <w:ind w:left="220"/>
              <w:spacing w:after="0"/>
              <w:rPr>
                <w:sz w:val="20"/>
                <w:szCs w:val="20"/>
                <w:color w:val="auto"/>
              </w:rPr>
            </w:pPr>
            <w:r>
              <w:rPr>
                <w:rFonts w:ascii="Arial" w:cs="Arial" w:eastAsia="Arial" w:hAnsi="Arial"/>
                <w:sz w:val="14"/>
                <w:szCs w:val="14"/>
                <w:color w:val="auto"/>
              </w:rPr>
              <w:t>Net fee revenues</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1,551</w:t>
            </w:r>
          </w:p>
        </w:tc>
        <w:tc>
          <w:tcPr>
            <w:tcW w:w="100" w:type="dxa"/>
            <w:vAlign w:val="bottom"/>
          </w:tcPr>
          <w:p>
            <w:pPr>
              <w:spacing w:after="0"/>
              <w:rPr>
                <w:sz w:val="15"/>
                <w:szCs w:val="15"/>
                <w:color w:val="auto"/>
              </w:rPr>
            </w:pP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3,761</w:t>
            </w:r>
          </w:p>
        </w:tc>
        <w:tc>
          <w:tcPr>
            <w:tcW w:w="840" w:type="dxa"/>
            <w:vAlign w:val="bottom"/>
            <w:gridSpan w:val="2"/>
          </w:tcPr>
          <w:p>
            <w:pPr>
              <w:jc w:val="right"/>
              <w:ind w:right="5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(2,210)</w:t>
            </w:r>
          </w:p>
        </w:tc>
        <w:tc>
          <w:tcPr>
            <w:tcW w:w="1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w:t>
            </w:r>
          </w:p>
        </w:tc>
      </w:tr>
    </w:tbl>
    <w:p>
      <w:pPr>
        <w:spacing w:after="0" w:line="154"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The decrease in base management and franchise fees primarily reflected lower RevPAR and lower co-brand credit card fees of $84 million primarily due to COVID-19, as well as lower fees from properties that left the system of $32 million. The decrease in franchise fees was partially offset by unit growth ($37 million).</w:t>
      </w:r>
    </w:p>
    <w:p>
      <w:pPr>
        <w:spacing w:after="0" w:line="130"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The decrease in incentive management fees was primarily due to COVID-19. In 2020, we earned incentive management fees from 37 percent of our managed properties worldwide, compared to 72 percent in 2019. We earned incentive management fees from 3 percent of managed properties in U.S. &amp; Canada and 56 percent of managed properties outside U.S. &amp; Canada in 2020, compared to 57 percent in U.S. &amp; Canada and 81 percent outside U.S. &amp; Canada in 2019. In addition, 92 percent of our total incentive management fees in 2020 came from our managed properties outside U.S. &amp; Canada, primarily in Asia Pacific, versus 65 percent in 2019.</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Contract investment amortization increased primarily due to higher impairments of investments in management and franchise contracts, primarily due to COVID-19.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Owned, Leased, and Other</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Change 2020 vs. 2019</w:t>
            </w:r>
          </w:p>
        </w:tc>
        <w:tc>
          <w:tcPr>
            <w:tcW w:w="900" w:type="dxa"/>
            <w:vAlign w:val="bottom"/>
            <w:tcBorders>
              <w:bottom w:val="single" w:sz="8" w:color="auto"/>
            </w:tcBorders>
          </w:tcPr>
          <w:p>
            <w:pPr>
              <w:spacing w:after="0"/>
              <w:rPr>
                <w:sz w:val="16"/>
                <w:szCs w:val="16"/>
                <w:color w:val="auto"/>
              </w:rPr>
            </w:pPr>
          </w:p>
        </w:tc>
      </w:tr>
      <w:tr>
        <w:trPr>
          <w:trHeight w:val="188"/>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Owned, leased, and other revenue</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center"/>
              <w:ind w:left="1028"/>
              <w:spacing w:after="0"/>
              <w:rPr>
                <w:sz w:val="20"/>
                <w:szCs w:val="20"/>
                <w:color w:val="auto"/>
              </w:rPr>
            </w:pPr>
            <w:r>
              <w:rPr>
                <w:rFonts w:ascii="Arial" w:cs="Arial" w:eastAsia="Arial" w:hAnsi="Arial"/>
                <w:sz w:val="14"/>
                <w:szCs w:val="14"/>
                <w:color w:val="auto"/>
                <w:w w:val="85"/>
              </w:rPr>
              <w:t>568</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14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1,612</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(1,044)</w:t>
            </w:r>
          </w:p>
        </w:tc>
        <w:tc>
          <w:tcPr>
            <w:tcW w:w="1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186"/>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Owned, leased, and other - direct expenses</w:t>
            </w: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left="1028"/>
              <w:spacing w:after="0"/>
              <w:rPr>
                <w:sz w:val="20"/>
                <w:szCs w:val="20"/>
                <w:color w:val="auto"/>
              </w:rPr>
            </w:pPr>
            <w:r>
              <w:rPr>
                <w:rFonts w:ascii="Arial" w:cs="Arial" w:eastAsia="Arial" w:hAnsi="Arial"/>
                <w:sz w:val="14"/>
                <w:szCs w:val="14"/>
                <w:color w:val="auto"/>
                <w:w w:val="85"/>
              </w:rPr>
              <w:t>677</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1,316</w:t>
            </w: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w:t>
            </w:r>
          </w:p>
        </w:tc>
        <w:tc>
          <w:tcPr>
            <w:tcW w:w="12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(49)%</w:t>
            </w:r>
          </w:p>
        </w:tc>
      </w:tr>
      <w:tr>
        <w:trPr>
          <w:trHeight w:val="186"/>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Owned, leased, and other, net</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center"/>
              <w:ind w:left="1008"/>
              <w:spacing w:after="0"/>
              <w:rPr>
                <w:sz w:val="20"/>
                <w:szCs w:val="20"/>
                <w:color w:val="auto"/>
              </w:rPr>
            </w:pPr>
            <w:r>
              <w:rPr>
                <w:rFonts w:ascii="Arial" w:cs="Arial" w:eastAsia="Arial" w:hAnsi="Arial"/>
                <w:sz w:val="14"/>
                <w:szCs w:val="14"/>
                <w:color w:val="auto"/>
                <w:w w:val="91"/>
              </w:rPr>
              <w:t>(109)</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14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r>
    </w:tbl>
    <w:p>
      <w:pPr>
        <w:spacing w:after="0" w:line="148" w:lineRule="exact"/>
        <w:rPr>
          <w:sz w:val="20"/>
          <w:szCs w:val="20"/>
          <w:color w:val="auto"/>
        </w:rPr>
      </w:pPr>
    </w:p>
    <w:p>
      <w:pPr>
        <w:ind w:right="400" w:firstLine="405"/>
        <w:spacing w:after="0" w:line="263" w:lineRule="auto"/>
        <w:rPr>
          <w:sz w:val="20"/>
          <w:szCs w:val="20"/>
          <w:color w:val="auto"/>
        </w:rPr>
      </w:pPr>
      <w:r>
        <w:rPr>
          <w:rFonts w:ascii="Arial" w:cs="Arial" w:eastAsia="Arial" w:hAnsi="Arial"/>
          <w:sz w:val="18"/>
          <w:szCs w:val="18"/>
          <w:color w:val="auto"/>
        </w:rPr>
        <w:t>Owned, leased, and other revenue, net of direct expenses decreased primarily due to lower demand at and the temporary closure of certain of our owned and leased hotels due to COVID-19, as well as net lower owned and leased profits attributable to hotels sold in the 2019 fourth and 2020 first quarters ($19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Reimbursements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Change 2020 vs. 2019</w:t>
            </w:r>
          </w:p>
        </w:tc>
        <w:tc>
          <w:tcPr>
            <w:tcW w:w="880" w:type="dxa"/>
            <w:vAlign w:val="bottom"/>
            <w:tcBorders>
              <w:bottom w:val="single" w:sz="8" w:color="auto"/>
            </w:tcBorders>
          </w:tcPr>
          <w:p>
            <w:pPr>
              <w:spacing w:after="0"/>
              <w:rPr>
                <w:sz w:val="16"/>
                <w:szCs w:val="16"/>
                <w:color w:val="auto"/>
              </w:rPr>
            </w:pPr>
          </w:p>
        </w:tc>
      </w:tr>
      <w:tr>
        <w:trPr>
          <w:trHeight w:val="189"/>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reimbursement revenue</w:t>
            </w: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8,452</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15,599</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(7,147)</w:t>
            </w:r>
          </w:p>
        </w:tc>
        <w:tc>
          <w:tcPr>
            <w:tcW w:w="1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86"/>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Reimbursed expenses</w:t>
            </w: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8,435</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16,439</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(8,004)</w:t>
            </w:r>
          </w:p>
        </w:tc>
        <w:tc>
          <w:tcPr>
            <w:tcW w:w="12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(49)%</w:t>
            </w:r>
          </w:p>
        </w:tc>
      </w:tr>
      <w:tr>
        <w:trPr>
          <w:trHeight w:val="186"/>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reimbursements, net</w:t>
            </w: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w:t>
            </w:r>
          </w:p>
        </w:tc>
        <w:tc>
          <w:tcPr>
            <w:tcW w:w="1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102 %</w:t>
            </w:r>
          </w:p>
        </w:tc>
      </w:tr>
    </w:tbl>
    <w:p>
      <w:pPr>
        <w:spacing w:after="0" w:line="148" w:lineRule="exact"/>
        <w:rPr>
          <w:sz w:val="20"/>
          <w:szCs w:val="20"/>
          <w:color w:val="auto"/>
        </w:rPr>
      </w:pPr>
    </w:p>
    <w:p>
      <w:pPr>
        <w:ind w:right="60" w:firstLine="405"/>
        <w:spacing w:after="0" w:line="243" w:lineRule="auto"/>
        <w:rPr>
          <w:sz w:val="20"/>
          <w:szCs w:val="20"/>
          <w:color w:val="auto"/>
        </w:rPr>
      </w:pPr>
      <w:r>
        <w:rPr>
          <w:rFonts w:ascii="Arial" w:cs="Arial" w:eastAsia="Arial" w:hAnsi="Arial"/>
          <w:sz w:val="18"/>
          <w:szCs w:val="18"/>
          <w:color w:val="auto"/>
        </w:rPr>
        <w:t>Cost reimbursements, net (cost reimbursement revenue, net of reimbursed expenses) varies due to timing differences between the costs we incur for centralized programs and services and the related reimbursements we receive from hotel owners and franchisees, primarily driven by our Loyalty Program. Over the long term, our centralized programs and services are not designed to impact our economics, either positively or negatively. See Note 2 for more information about the accounting for our Loyalty Program.</w:t>
      </w:r>
    </w:p>
    <w:p>
      <w:pPr>
        <w:spacing w:after="0" w:line="134"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increase in cost reimbursements, net in 2020 primarily reflects the performance of the Loyalty Program, which had lower program expenses and redemptions.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Change 2020 vs. 2019</w:t>
            </w:r>
          </w:p>
        </w:tc>
        <w:tc>
          <w:tcPr>
            <w:tcW w:w="860" w:type="dxa"/>
            <w:vAlign w:val="bottom"/>
            <w:tcBorders>
              <w:bottom w:val="single" w:sz="8" w:color="auto"/>
            </w:tcBorders>
          </w:tcPr>
          <w:p>
            <w:pPr>
              <w:spacing w:after="0"/>
              <w:rPr>
                <w:sz w:val="16"/>
                <w:szCs w:val="16"/>
                <w:color w:val="auto"/>
              </w:rPr>
            </w:pPr>
          </w:p>
        </w:tc>
      </w:tr>
      <w:tr>
        <w:trPr>
          <w:trHeight w:val="188"/>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amortization, and other</w:t>
            </w: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w w:val="76"/>
              </w:rPr>
              <w:t>$</w:t>
            </w:r>
          </w:p>
        </w:tc>
        <w:tc>
          <w:tcPr>
            <w:tcW w:w="2440" w:type="dxa"/>
            <w:vAlign w:val="bottom"/>
            <w:shd w:val="clear" w:color="auto" w:fill="CCEEFF"/>
          </w:tcPr>
          <w:p>
            <w:pPr>
              <w:jc w:val="right"/>
              <w:ind w:right="1248"/>
              <w:spacing w:after="0"/>
              <w:rPr>
                <w:sz w:val="20"/>
                <w:szCs w:val="20"/>
                <w:color w:val="auto"/>
              </w:rPr>
            </w:pPr>
            <w:r>
              <w:rPr>
                <w:rFonts w:ascii="Arial" w:cs="Arial" w:eastAsia="Arial" w:hAnsi="Arial"/>
                <w:sz w:val="14"/>
                <w:szCs w:val="14"/>
                <w:color w:val="auto"/>
              </w:rPr>
              <w:t>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General, administrative, and other</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762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938</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40" w:type="dxa"/>
            <w:vAlign w:val="bottom"/>
          </w:tcPr>
          <w:p>
            <w:pPr>
              <w:jc w:val="right"/>
              <w:ind w:right="1208"/>
              <w:spacing w:after="0"/>
              <w:rPr>
                <w:sz w:val="20"/>
                <w:szCs w:val="20"/>
                <w:color w:val="auto"/>
              </w:rPr>
            </w:pPr>
            <w:r>
              <w:rPr>
                <w:rFonts w:ascii="Arial" w:cs="Arial" w:eastAsia="Arial" w:hAnsi="Arial"/>
                <w:sz w:val="14"/>
                <w:szCs w:val="14"/>
                <w:color w:val="auto"/>
              </w:rPr>
              <w:t>(176)</w:t>
            </w:r>
          </w:p>
        </w:tc>
        <w:tc>
          <w:tcPr>
            <w:tcW w:w="86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and merger-related charges</w:t>
            </w:r>
          </w:p>
        </w:tc>
        <w:tc>
          <w:tcPr>
            <w:tcW w:w="4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40" w:type="dxa"/>
            <w:vAlign w:val="bottom"/>
            <w:shd w:val="clear" w:color="auto" w:fill="CCEEFF"/>
          </w:tcPr>
          <w:p>
            <w:pPr>
              <w:jc w:val="right"/>
              <w:ind w:right="1248"/>
              <w:spacing w:after="0"/>
              <w:rPr>
                <w:sz w:val="20"/>
                <w:szCs w:val="20"/>
                <w:color w:val="auto"/>
              </w:rPr>
            </w:pPr>
            <w:r>
              <w:rPr>
                <w:rFonts w:ascii="Arial" w:cs="Arial" w:eastAsia="Arial" w:hAnsi="Arial"/>
                <w:sz w:val="14"/>
                <w:szCs w:val="14"/>
                <w:color w:val="auto"/>
              </w:rPr>
              <w:t>129</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93 %</w:t>
            </w:r>
          </w:p>
        </w:tc>
      </w:tr>
    </w:tbl>
    <w:p>
      <w:pPr>
        <w:spacing w:after="0" w:line="148"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Depreciation, amortization, and other expenses increased, primarily due to higher operating lease impairment charges ($16 million). See Note 9 for more information about the operating lease impairment charges.</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General, administrative, and other expenses decreased primarily due to lower administrative costs due to our cost reduction measures and $20 million of lower legal expenses. The decrease was partially offset by a higher provision for credit losses and higher guarantee reserves primarily due to the negative current and expected economic impact of COVID-19 ($105 million).</w:t>
      </w:r>
    </w:p>
    <w:p>
      <w:pPr>
        <w:spacing w:after="0" w:line="130" w:lineRule="exact"/>
        <w:rPr>
          <w:sz w:val="20"/>
          <w:szCs w:val="20"/>
          <w:color w:val="auto"/>
        </w:rPr>
      </w:pPr>
    </w:p>
    <w:p>
      <w:pPr>
        <w:ind w:right="300" w:firstLine="405"/>
        <w:spacing w:after="0" w:line="286" w:lineRule="auto"/>
        <w:rPr>
          <w:sz w:val="20"/>
          <w:szCs w:val="20"/>
          <w:color w:val="auto"/>
        </w:rPr>
      </w:pPr>
      <w:r>
        <w:rPr>
          <w:rFonts w:ascii="Arial" w:cs="Arial" w:eastAsia="Arial" w:hAnsi="Arial"/>
          <w:sz w:val="17"/>
          <w:szCs w:val="17"/>
          <w:color w:val="auto"/>
        </w:rPr>
        <w:t>Restructuring and merger-related charges increased primarily due to the increased put option liability discussed in Note 8 ($243 million) and 2020 restructuring charges ($56 million), partially offset by the ICO Fine discussed in Note 8 ($104 million, representing the 2019 accrual and the 2020 reversal), the 2019 impairment charge of a Legacy-Starwood office building ($34 million), and lower integration costs ($19 million).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Change 2020 vs. 2019</w:t>
            </w:r>
          </w:p>
        </w:tc>
        <w:tc>
          <w:tcPr>
            <w:tcW w:w="960" w:type="dxa"/>
            <w:vAlign w:val="bottom"/>
            <w:tcBorders>
              <w:bottom w:val="single" w:sz="8" w:color="auto"/>
            </w:tcBorders>
          </w:tcPr>
          <w:p>
            <w:pPr>
              <w:spacing w:after="0"/>
              <w:rPr>
                <w:sz w:val="16"/>
                <w:szCs w:val="16"/>
                <w:color w:val="auto"/>
              </w:rPr>
            </w:pPr>
          </w:p>
        </w:tc>
      </w:tr>
      <w:tr>
        <w:trPr>
          <w:trHeight w:val="188"/>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Gains and other income, net</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w w:val="76"/>
              </w:rPr>
              <w:t>$</w:t>
            </w:r>
          </w:p>
        </w:tc>
        <w:tc>
          <w:tcPr>
            <w:tcW w:w="2340" w:type="dxa"/>
            <w:vAlign w:val="bottom"/>
            <w:shd w:val="clear" w:color="auto" w:fill="CCEEFF"/>
          </w:tcPr>
          <w:p>
            <w:pPr>
              <w:jc w:val="right"/>
              <w:ind w:right="1128"/>
              <w:spacing w:after="0"/>
              <w:rPr>
                <w:sz w:val="20"/>
                <w:szCs w:val="20"/>
                <w:color w:val="auto"/>
              </w:rPr>
            </w:pPr>
            <w:r>
              <w:rPr>
                <w:rFonts w:ascii="Arial" w:cs="Arial" w:eastAsia="Arial" w:hAnsi="Arial"/>
                <w:sz w:val="14"/>
                <w:szCs w:val="14"/>
                <w:color w:val="auto"/>
              </w:rPr>
              <w:t>(145)</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r>
      <w:tr>
        <w:trPr>
          <w:trHeight w:val="186"/>
        </w:trPr>
        <w:tc>
          <w:tcPr>
            <w:tcW w:w="32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4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(394)</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340" w:type="dxa"/>
            <w:vAlign w:val="bottom"/>
          </w:tcPr>
          <w:p>
            <w:pPr>
              <w:jc w:val="right"/>
              <w:ind w:right="1168"/>
              <w:spacing w:after="0"/>
              <w:rPr>
                <w:sz w:val="20"/>
                <w:szCs w:val="20"/>
                <w:color w:val="auto"/>
              </w:rPr>
            </w:pPr>
            <w:r>
              <w:rPr>
                <w:rFonts w:ascii="Arial" w:cs="Arial" w:eastAsia="Arial" w:hAnsi="Arial"/>
                <w:sz w:val="14"/>
                <w:szCs w:val="14"/>
                <w:color w:val="auto"/>
              </w:rPr>
              <w:t>51</w:t>
            </w:r>
          </w:p>
        </w:tc>
        <w:tc>
          <w:tcPr>
            <w:tcW w:w="960" w:type="dxa"/>
            <w:vAlign w:val="bottom"/>
          </w:tcPr>
          <w:p>
            <w:pPr>
              <w:jc w:val="right"/>
              <w:spacing w:after="0"/>
              <w:rPr>
                <w:sz w:val="20"/>
                <w:szCs w:val="20"/>
                <w:color w:val="auto"/>
              </w:rPr>
            </w:pPr>
            <w:r>
              <w:rPr>
                <w:rFonts w:ascii="Arial" w:cs="Arial" w:eastAsia="Arial" w:hAnsi="Arial"/>
                <w:sz w:val="14"/>
                <w:szCs w:val="14"/>
                <w:color w:val="auto"/>
              </w:rPr>
              <w:t>13 %</w:t>
            </w:r>
          </w:p>
        </w:tc>
      </w:tr>
      <w:tr>
        <w:trPr>
          <w:trHeight w:val="192"/>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340" w:type="dxa"/>
            <w:vAlign w:val="bottom"/>
            <w:shd w:val="clear" w:color="auto" w:fill="CCEEFF"/>
          </w:tcPr>
          <w:p>
            <w:pPr>
              <w:jc w:val="right"/>
              <w:ind w:right="1168"/>
              <w:spacing w:after="0"/>
              <w:rPr>
                <w:sz w:val="20"/>
                <w:szCs w:val="20"/>
                <w:color w:val="auto"/>
              </w:rPr>
            </w:pPr>
            <w:r>
              <w:rPr>
                <w:rFonts w:ascii="Arial" w:cs="Arial" w:eastAsia="Arial" w:hAnsi="Arial"/>
                <w:sz w:val="14"/>
                <w:szCs w:val="14"/>
                <w:color w:val="auto"/>
              </w:rPr>
              <w:t>1</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r>
      <w:tr>
        <w:trPr>
          <w:trHeight w:val="182"/>
        </w:trPr>
        <w:tc>
          <w:tcPr>
            <w:tcW w:w="3220" w:type="dxa"/>
            <w:vAlign w:val="bottom"/>
          </w:tcPr>
          <w:p>
            <w:pPr>
              <w:ind w:left="20"/>
              <w:spacing w:after="0"/>
              <w:rPr>
                <w:sz w:val="20"/>
                <w:szCs w:val="20"/>
                <w:color w:val="auto"/>
              </w:rPr>
            </w:pPr>
            <w:r>
              <w:rPr>
                <w:rFonts w:ascii="Arial" w:cs="Arial" w:eastAsia="Arial" w:hAnsi="Arial"/>
                <w:sz w:val="14"/>
                <w:szCs w:val="14"/>
                <w:color w:val="auto"/>
              </w:rPr>
              <w:t>Equity in (losses) earnings</w:t>
            </w:r>
          </w:p>
        </w:tc>
        <w:tc>
          <w:tcPr>
            <w:tcW w:w="4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340" w:type="dxa"/>
            <w:vAlign w:val="bottom"/>
          </w:tcPr>
          <w:p>
            <w:pPr>
              <w:jc w:val="right"/>
              <w:ind w:right="1128"/>
              <w:spacing w:after="0"/>
              <w:rPr>
                <w:sz w:val="20"/>
                <w:szCs w:val="20"/>
                <w:color w:val="auto"/>
              </w:rPr>
            </w:pPr>
            <w:r>
              <w:rPr>
                <w:rFonts w:ascii="Arial" w:cs="Arial" w:eastAsia="Arial" w:hAnsi="Arial"/>
                <w:sz w:val="14"/>
                <w:szCs w:val="14"/>
                <w:color w:val="auto"/>
              </w:rPr>
              <w:t>(154)</w:t>
            </w:r>
          </w:p>
        </w:tc>
        <w:tc>
          <w:tcPr>
            <w:tcW w:w="960" w:type="dxa"/>
            <w:vAlign w:val="bottom"/>
          </w:tcPr>
          <w:p>
            <w:pPr>
              <w:jc w:val="right"/>
              <w:spacing w:after="0"/>
              <w:rPr>
                <w:sz w:val="20"/>
                <w:szCs w:val="20"/>
                <w:color w:val="auto"/>
              </w:rPr>
            </w:pPr>
            <w:r>
              <w:rPr>
                <w:rFonts w:ascii="Arial" w:cs="Arial" w:eastAsia="Arial" w:hAnsi="Arial"/>
                <w:sz w:val="14"/>
                <w:szCs w:val="14"/>
                <w:color w:val="auto"/>
              </w:rPr>
              <w:t>(1,185)%</w:t>
            </w: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Gains and other income, net decreased primarily due to the 2019 gains on our property sales ($134 million).</w:t>
      </w:r>
    </w:p>
    <w:p>
      <w:pPr>
        <w:spacing w:after="0" w:line="171"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Interest expense increased primarily due to higher interest on Senior Note issuances, net of maturities ($93 million), partially offset by lower commercial paper and Credit Facility interest rates and aggregate average borrowings ($24 million) and net lower interest rates on floating rate debt ($22 million).</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Equity in (losses) earnings decreased due to losses recorded by the investees and impairment charges ($77 million), primarily as a result of COVID-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Change 2020 vs. 2019</w:t>
            </w:r>
          </w:p>
        </w:tc>
        <w:tc>
          <w:tcPr>
            <w:tcW w:w="900" w:type="dxa"/>
            <w:vAlign w:val="bottom"/>
            <w:tcBorders>
              <w:bottom w:val="single" w:sz="8" w:color="auto"/>
            </w:tcBorders>
          </w:tcPr>
          <w:p>
            <w:pPr>
              <w:spacing w:after="0"/>
              <w:rPr>
                <w:sz w:val="16"/>
                <w:szCs w:val="16"/>
                <w:color w:val="auto"/>
              </w:rPr>
            </w:pPr>
          </w:p>
        </w:tc>
      </w:tr>
      <w:tr>
        <w:trPr>
          <w:trHeight w:val="188"/>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(provision) for income taxes</w:t>
            </w: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16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w w:val="76"/>
              </w:rPr>
              <w:t>$</w:t>
            </w:r>
          </w:p>
        </w:tc>
        <w:tc>
          <w:tcPr>
            <w:tcW w:w="2400" w:type="dxa"/>
            <w:vAlign w:val="bottom"/>
            <w:shd w:val="clear" w:color="auto" w:fill="CCEEFF"/>
          </w:tcPr>
          <w:p>
            <w:pPr>
              <w:jc w:val="right"/>
              <w:ind w:right="1168"/>
              <w:spacing w:after="0"/>
              <w:rPr>
                <w:sz w:val="20"/>
                <w:szCs w:val="20"/>
                <w:color w:val="auto"/>
              </w:rPr>
            </w:pPr>
            <w:r>
              <w:rPr>
                <w:rFonts w:ascii="Arial" w:cs="Arial" w:eastAsia="Arial" w:hAnsi="Arial"/>
                <w:sz w:val="14"/>
                <w:szCs w:val="14"/>
                <w:color w:val="auto"/>
              </w:rPr>
              <w:t>(525)</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r>
    </w:tbl>
    <w:p>
      <w:pPr>
        <w:spacing w:after="0" w:line="148" w:lineRule="exact"/>
        <w:rPr>
          <w:sz w:val="20"/>
          <w:szCs w:val="20"/>
          <w:color w:val="auto"/>
        </w:rPr>
      </w:pPr>
    </w:p>
    <w:p>
      <w:pPr>
        <w:ind w:right="120" w:firstLine="405"/>
        <w:spacing w:after="0" w:line="301" w:lineRule="auto"/>
        <w:rPr>
          <w:sz w:val="20"/>
          <w:szCs w:val="20"/>
          <w:color w:val="auto"/>
        </w:rPr>
      </w:pPr>
      <w:r>
        <w:rPr>
          <w:rFonts w:ascii="Arial" w:cs="Arial" w:eastAsia="Arial" w:hAnsi="Arial"/>
          <w:sz w:val="16"/>
          <w:szCs w:val="16"/>
          <w:color w:val="auto"/>
        </w:rPr>
        <w:t>Our tax benefit in 2020, compared to our tax provision in 2019, primarily reflected the decrease in operating income ($336 million), the tax benefit from the release of tax reserves due to audit closures during 2020 ($100 million), the tax benefit from the Sheraton Grand Chicago put option reserve ($61 million), the year-over-year tax benefit from impairment charges ($39 million), and the prior year tax expense incurred for U.S. tax on Global Intangible Low-Taxed Income ($35 million). The decrease was partially offset by a shift in earnings to jurisdictions with higher tax rates ($36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75" w:lineRule="exact"/>
        <w:rPr>
          <w:sz w:val="20"/>
          <w:szCs w:val="20"/>
          <w:color w:val="auto"/>
        </w:rPr>
      </w:pPr>
    </w:p>
    <w:p>
      <w:pPr>
        <w:ind w:right="100" w:firstLine="405"/>
        <w:spacing w:after="0" w:line="311" w:lineRule="auto"/>
        <w:rPr>
          <w:sz w:val="20"/>
          <w:szCs w:val="20"/>
          <w:color w:val="auto"/>
        </w:rPr>
      </w:pPr>
      <w:r>
        <w:rPr>
          <w:rFonts w:ascii="Arial" w:cs="Arial" w:eastAsia="Arial" w:hAnsi="Arial"/>
          <w:sz w:val="16"/>
          <w:szCs w:val="16"/>
          <w:color w:val="auto"/>
        </w:rPr>
        <w:t>Our segment results declined in 2020 compared to 2019 primarily due to the impact of COVID-19. See the “Impact of COVID-19” section above for more information about the impact to our business during 2020 and the discussion below for additional analysis of the operating results of our reportable business segments. Segment revenues and profits for EMEA, a new reportable segment in 2020, did not change significantly in 2019 compared to 2018.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Change 2020 vs. 2019</w:t>
            </w:r>
          </w:p>
        </w:tc>
        <w:tc>
          <w:tcPr>
            <w:tcW w:w="900" w:type="dxa"/>
            <w:vAlign w:val="bottom"/>
            <w:tcBorders>
              <w:bottom w:val="single" w:sz="8" w:color="auto"/>
            </w:tcBorders>
          </w:tcPr>
          <w:p>
            <w:pPr>
              <w:spacing w:after="0"/>
              <w:rPr>
                <w:sz w:val="16"/>
                <w:szCs w:val="16"/>
                <w:color w:val="auto"/>
              </w:rPr>
            </w:pPr>
          </w:p>
        </w:tc>
      </w:tr>
      <w:tr>
        <w:trPr>
          <w:trHeight w:val="337"/>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&amp; Canada</w:t>
            </w:r>
          </w:p>
        </w:tc>
        <w:tc>
          <w:tcPr>
            <w:tcW w:w="13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186"/>
        </w:trPr>
        <w:tc>
          <w:tcPr>
            <w:tcW w:w="3220" w:type="dxa"/>
            <w:vAlign w:val="bottom"/>
          </w:tcPr>
          <w:p>
            <w:pPr>
              <w:ind w:left="140"/>
              <w:spacing w:after="0"/>
              <w:rPr>
                <w:sz w:val="20"/>
                <w:szCs w:val="20"/>
                <w:color w:val="auto"/>
              </w:rPr>
            </w:pPr>
            <w:r>
              <w:rPr>
                <w:rFonts w:ascii="Arial" w:cs="Arial" w:eastAsia="Arial" w:hAnsi="Arial"/>
                <w:sz w:val="14"/>
                <w:szCs w:val="14"/>
                <w:color w:val="auto"/>
              </w:rPr>
              <w:t>Segment revenues</w:t>
            </w:r>
          </w:p>
        </w:tc>
        <w:tc>
          <w:tcPr>
            <w:tcW w:w="1300" w:type="dxa"/>
            <w:vAlign w:val="bottom"/>
          </w:tcPr>
          <w:p>
            <w:pPr>
              <w:jc w:val="right"/>
              <w:ind w:right="11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7,905</w:t>
            </w:r>
          </w:p>
        </w:tc>
        <w:tc>
          <w:tcPr>
            <w:tcW w:w="100" w:type="dxa"/>
            <w:vAlign w:val="bottom"/>
          </w:tcPr>
          <w:p>
            <w:pPr>
              <w:spacing w:after="0"/>
              <w:rPr>
                <w:sz w:val="16"/>
                <w:szCs w:val="16"/>
                <w:color w:val="auto"/>
              </w:rPr>
            </w:pPr>
          </w:p>
        </w:tc>
        <w:tc>
          <w:tcPr>
            <w:tcW w:w="1260" w:type="dxa"/>
            <w:vAlign w:val="bottom"/>
          </w:tcPr>
          <w:p>
            <w:pPr>
              <w:jc w:val="right"/>
              <w:ind w:right="110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16,833</w:t>
            </w:r>
          </w:p>
        </w:tc>
        <w:tc>
          <w:tcPr>
            <w:tcW w:w="120" w:type="dxa"/>
            <w:vAlign w:val="bottom"/>
          </w:tcPr>
          <w:p>
            <w:pPr>
              <w:spacing w:after="0"/>
              <w:rPr>
                <w:sz w:val="16"/>
                <w:szCs w:val="16"/>
                <w:color w:val="auto"/>
              </w:rPr>
            </w:pPr>
          </w:p>
        </w:tc>
        <w:tc>
          <w:tcPr>
            <w:tcW w:w="720" w:type="dxa"/>
            <w:vAlign w:val="bottom"/>
          </w:tcPr>
          <w:p>
            <w:pPr>
              <w:jc w:val="right"/>
              <w:ind w:right="568"/>
              <w:spacing w:after="0"/>
              <w:rPr>
                <w:sz w:val="20"/>
                <w:szCs w:val="20"/>
                <w:color w:val="auto"/>
              </w:rPr>
            </w:pPr>
            <w:r>
              <w:rPr>
                <w:rFonts w:ascii="Arial" w:cs="Arial" w:eastAsia="Arial" w:hAnsi="Arial"/>
                <w:sz w:val="14"/>
                <w:szCs w:val="14"/>
                <w:color w:val="auto"/>
                <w:w w:val="76"/>
              </w:rPr>
              <w:t>$</w:t>
            </w:r>
          </w:p>
        </w:tc>
        <w:tc>
          <w:tcPr>
            <w:tcW w:w="2400" w:type="dxa"/>
            <w:vAlign w:val="bottom"/>
          </w:tcPr>
          <w:p>
            <w:pPr>
              <w:jc w:val="right"/>
              <w:ind w:right="1168"/>
              <w:spacing w:after="0"/>
              <w:rPr>
                <w:sz w:val="20"/>
                <w:szCs w:val="20"/>
                <w:color w:val="auto"/>
              </w:rPr>
            </w:pPr>
            <w:r>
              <w:rPr>
                <w:rFonts w:ascii="Arial" w:cs="Arial" w:eastAsia="Arial" w:hAnsi="Arial"/>
                <w:sz w:val="14"/>
                <w:szCs w:val="14"/>
                <w:color w:val="auto"/>
              </w:rPr>
              <w:t>(8,928)</w:t>
            </w:r>
          </w:p>
        </w:tc>
        <w:tc>
          <w:tcPr>
            <w:tcW w:w="90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192"/>
        </w:trPr>
        <w:tc>
          <w:tcPr>
            <w:tcW w:w="3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Segment profits</w:t>
            </w:r>
          </w:p>
        </w:tc>
        <w:tc>
          <w:tcPr>
            <w:tcW w:w="13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0" w:type="dxa"/>
            <w:vAlign w:val="bottom"/>
            <w:shd w:val="clear" w:color="auto" w:fill="CCEEFF"/>
          </w:tcPr>
          <w:p>
            <w:pPr>
              <w:jc w:val="right"/>
              <w:ind w:right="1168"/>
              <w:spacing w:after="0"/>
              <w:rPr>
                <w:sz w:val="20"/>
                <w:szCs w:val="20"/>
                <w:color w:val="auto"/>
              </w:rPr>
            </w:pPr>
            <w:r>
              <w:rPr>
                <w:rFonts w:ascii="Arial" w:cs="Arial" w:eastAsia="Arial" w:hAnsi="Arial"/>
                <w:sz w:val="14"/>
                <w:szCs w:val="14"/>
                <w:color w:val="auto"/>
              </w:rPr>
              <w:t>(1,802)</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r>
      <w:tr>
        <w:trPr>
          <w:trHeight w:val="345"/>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Asia Pacific</w:t>
            </w: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5"/>
        </w:trPr>
        <w:tc>
          <w:tcPr>
            <w:tcW w:w="3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Segment revenues</w:t>
            </w:r>
          </w:p>
        </w:tc>
        <w:tc>
          <w:tcPr>
            <w:tcW w:w="13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612</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1,189</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0" w:type="dxa"/>
            <w:vAlign w:val="bottom"/>
            <w:shd w:val="clear" w:color="auto" w:fill="CCEEFF"/>
          </w:tcPr>
          <w:p>
            <w:pPr>
              <w:jc w:val="right"/>
              <w:ind w:right="1168"/>
              <w:spacing w:after="0"/>
              <w:rPr>
                <w:sz w:val="20"/>
                <w:szCs w:val="20"/>
                <w:color w:val="auto"/>
              </w:rPr>
            </w:pPr>
            <w:r>
              <w:rPr>
                <w:rFonts w:ascii="Arial" w:cs="Arial" w:eastAsia="Arial" w:hAnsi="Arial"/>
                <w:sz w:val="14"/>
                <w:szCs w:val="14"/>
                <w:color w:val="auto"/>
              </w:rPr>
              <w:t>(577)</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r>
      <w:tr>
        <w:trPr>
          <w:trHeight w:val="186"/>
        </w:trPr>
        <w:tc>
          <w:tcPr>
            <w:tcW w:w="3220" w:type="dxa"/>
            <w:vAlign w:val="bottom"/>
          </w:tcPr>
          <w:p>
            <w:pPr>
              <w:ind w:left="140"/>
              <w:spacing w:after="0"/>
              <w:rPr>
                <w:sz w:val="20"/>
                <w:szCs w:val="20"/>
                <w:color w:val="auto"/>
              </w:rPr>
            </w:pPr>
            <w:r>
              <w:rPr>
                <w:rFonts w:ascii="Arial" w:cs="Arial" w:eastAsia="Arial" w:hAnsi="Arial"/>
                <w:sz w:val="14"/>
                <w:szCs w:val="14"/>
                <w:color w:val="auto"/>
              </w:rPr>
              <w:t>Segment profits</w:t>
            </w:r>
          </w:p>
        </w:tc>
        <w:tc>
          <w:tcPr>
            <w:tcW w:w="13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369</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0" w:type="dxa"/>
            <w:vAlign w:val="bottom"/>
          </w:tcPr>
          <w:p>
            <w:pPr>
              <w:jc w:val="right"/>
              <w:ind w:right="1168"/>
              <w:spacing w:after="0"/>
              <w:rPr>
                <w:sz w:val="20"/>
                <w:szCs w:val="20"/>
                <w:color w:val="auto"/>
              </w:rPr>
            </w:pPr>
            <w:r>
              <w:rPr>
                <w:rFonts w:ascii="Arial" w:cs="Arial" w:eastAsia="Arial" w:hAnsi="Arial"/>
                <w:sz w:val="14"/>
                <w:szCs w:val="14"/>
                <w:color w:val="auto"/>
              </w:rPr>
              <w:t>(368)</w:t>
            </w:r>
          </w:p>
        </w:tc>
        <w:tc>
          <w:tcPr>
            <w:tcW w:w="90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354"/>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EMEA</w:t>
            </w:r>
          </w:p>
        </w:tc>
        <w:tc>
          <w:tcPr>
            <w:tcW w:w="13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186"/>
        </w:trPr>
        <w:tc>
          <w:tcPr>
            <w:tcW w:w="3220" w:type="dxa"/>
            <w:vAlign w:val="bottom"/>
          </w:tcPr>
          <w:p>
            <w:pPr>
              <w:ind w:left="140"/>
              <w:spacing w:after="0"/>
              <w:rPr>
                <w:sz w:val="20"/>
                <w:szCs w:val="20"/>
                <w:color w:val="auto"/>
              </w:rPr>
            </w:pPr>
            <w:r>
              <w:rPr>
                <w:rFonts w:ascii="Arial" w:cs="Arial" w:eastAsia="Arial" w:hAnsi="Arial"/>
                <w:sz w:val="14"/>
                <w:szCs w:val="14"/>
                <w:color w:val="auto"/>
              </w:rPr>
              <w:t>Segment revenues</w:t>
            </w:r>
          </w:p>
        </w:tc>
        <w:tc>
          <w:tcPr>
            <w:tcW w:w="13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758</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1,932</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0" w:type="dxa"/>
            <w:vAlign w:val="bottom"/>
          </w:tcPr>
          <w:p>
            <w:pPr>
              <w:jc w:val="right"/>
              <w:ind w:right="1168"/>
              <w:spacing w:after="0"/>
              <w:rPr>
                <w:sz w:val="20"/>
                <w:szCs w:val="20"/>
                <w:color w:val="auto"/>
              </w:rPr>
            </w:pPr>
            <w:r>
              <w:rPr>
                <w:rFonts w:ascii="Arial" w:cs="Arial" w:eastAsia="Arial" w:hAnsi="Arial"/>
                <w:sz w:val="14"/>
                <w:szCs w:val="14"/>
                <w:color w:val="auto"/>
              </w:rPr>
              <w:t>(1,174)</w:t>
            </w:r>
          </w:p>
        </w:tc>
        <w:tc>
          <w:tcPr>
            <w:tcW w:w="90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192"/>
        </w:trPr>
        <w:tc>
          <w:tcPr>
            <w:tcW w:w="3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Segment (loss) profits</w:t>
            </w:r>
          </w:p>
        </w:tc>
        <w:tc>
          <w:tcPr>
            <w:tcW w:w="13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0" w:type="dxa"/>
            <w:vAlign w:val="bottom"/>
            <w:shd w:val="clear" w:color="auto" w:fill="CCEEFF"/>
          </w:tcPr>
          <w:p>
            <w:pPr>
              <w:jc w:val="right"/>
              <w:ind w:right="1168"/>
              <w:spacing w:after="0"/>
              <w:rPr>
                <w:sz w:val="20"/>
                <w:szCs w:val="20"/>
                <w:color w:val="auto"/>
              </w:rPr>
            </w:pPr>
            <w:r>
              <w:rPr>
                <w:rFonts w:ascii="Arial" w:cs="Arial" w:eastAsia="Arial" w:hAnsi="Arial"/>
                <w:sz w:val="14"/>
                <w:szCs w:val="14"/>
                <w:color w:val="auto"/>
              </w:rPr>
              <w:t>(518)</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w w:val="92"/>
              </w:rPr>
              <w:t>Properties</w:t>
            </w:r>
          </w:p>
        </w:tc>
        <w:tc>
          <w:tcPr>
            <w:tcW w:w="1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rPr>
              <w:t>Rooms</w:t>
            </w:r>
          </w:p>
        </w:tc>
        <w:tc>
          <w:tcPr>
            <w:tcW w:w="1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26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December 31,</w:t>
            </w:r>
          </w:p>
        </w:tc>
        <w:tc>
          <w:tcPr>
            <w:tcW w:w="128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December 31,</w:t>
            </w:r>
          </w:p>
        </w:tc>
        <w:tc>
          <w:tcPr>
            <w:tcW w:w="196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vs. December 31, 2019</w:t>
            </w:r>
          </w:p>
        </w:tc>
        <w:tc>
          <w:tcPr>
            <w:tcW w:w="128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December 31,</w:t>
            </w:r>
          </w:p>
        </w:tc>
        <w:tc>
          <w:tcPr>
            <w:tcW w:w="128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December 31,</w:t>
            </w:r>
          </w:p>
        </w:tc>
        <w:tc>
          <w:tcPr>
            <w:tcW w:w="1860" w:type="dxa"/>
            <w:vAlign w:val="bottom"/>
            <w:gridSpan w:val="2"/>
            <w:vMerge w:val="restart"/>
          </w:tcPr>
          <w:p>
            <w:pPr>
              <w:jc w:val="right"/>
              <w:ind w:right="188"/>
              <w:spacing w:after="0"/>
              <w:rPr>
                <w:sz w:val="20"/>
                <w:szCs w:val="20"/>
                <w:color w:val="auto"/>
              </w:rPr>
            </w:pPr>
            <w:r>
              <w:rPr>
                <w:rFonts w:ascii="Arial" w:cs="Arial" w:eastAsia="Arial" w:hAnsi="Arial"/>
                <w:sz w:val="14"/>
                <w:szCs w:val="14"/>
                <w:b w:val="1"/>
                <w:bCs w:val="1"/>
                <w:color w:val="auto"/>
              </w:rPr>
              <w:t>vs. December 31, 2019</w:t>
            </w:r>
          </w:p>
        </w:tc>
        <w:tc>
          <w:tcPr>
            <w:tcW w:w="0" w:type="dxa"/>
            <w:vAlign w:val="bottom"/>
          </w:tcPr>
          <w:p>
            <w:pPr>
              <w:spacing w:after="0"/>
              <w:rPr>
                <w:sz w:val="1"/>
                <w:szCs w:val="1"/>
                <w:color w:val="auto"/>
              </w:rPr>
            </w:pPr>
          </w:p>
        </w:tc>
      </w:tr>
      <w:tr>
        <w:trPr>
          <w:trHeight w:val="188"/>
        </w:trPr>
        <w:tc>
          <w:tcPr>
            <w:tcW w:w="2320" w:type="dxa"/>
            <w:vAlign w:val="bottom"/>
          </w:tcPr>
          <w:p>
            <w:pPr>
              <w:spacing w:after="0"/>
              <w:rPr>
                <w:sz w:val="16"/>
                <w:szCs w:val="16"/>
                <w:color w:val="auto"/>
              </w:rPr>
            </w:pPr>
          </w:p>
        </w:tc>
        <w:tc>
          <w:tcPr>
            <w:tcW w:w="1160" w:type="dxa"/>
            <w:vAlign w:val="bottom"/>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160" w:type="dxa"/>
            <w:vAlign w:val="bottom"/>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960" w:type="dxa"/>
            <w:vAlign w:val="bottom"/>
            <w:gridSpan w:val="3"/>
            <w:vMerge w:val="continue"/>
          </w:tcPr>
          <w:p>
            <w:pPr>
              <w:spacing w:after="0"/>
              <w:rPr>
                <w:sz w:val="16"/>
                <w:szCs w:val="16"/>
                <w:color w:val="auto"/>
              </w:rPr>
            </w:pPr>
          </w:p>
        </w:tc>
        <w:tc>
          <w:tcPr>
            <w:tcW w:w="1160" w:type="dxa"/>
            <w:vAlign w:val="bottom"/>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160" w:type="dxa"/>
            <w:vAlign w:val="bottom"/>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2"/>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U.S. &amp; Canada</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5,534</w:t>
            </w:r>
          </w:p>
        </w:tc>
        <w:tc>
          <w:tcPr>
            <w:tcW w:w="100" w:type="dxa"/>
            <w:vAlign w:val="bottom"/>
            <w:tcBorders>
              <w:top w:val="single" w:sz="8" w:color="CCEEFF"/>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5,324</w:t>
            </w:r>
          </w:p>
        </w:tc>
        <w:tc>
          <w:tcPr>
            <w:tcW w:w="120" w:type="dxa"/>
            <w:vAlign w:val="bottom"/>
            <w:tcBorders>
              <w:top w:val="single" w:sz="8" w:color="CCEEFF"/>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210</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20" w:type="dxa"/>
            <w:vAlign w:val="bottom"/>
            <w:tcBorders>
              <w:top w:val="single" w:sz="8" w:color="CCEEFF"/>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924,090</w:t>
            </w:r>
          </w:p>
        </w:tc>
        <w:tc>
          <w:tcPr>
            <w:tcW w:w="120" w:type="dxa"/>
            <w:vAlign w:val="bottom"/>
            <w:tcBorders>
              <w:top w:val="single" w:sz="8" w:color="CCEEFF"/>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899,805</w:t>
            </w:r>
          </w:p>
        </w:tc>
        <w:tc>
          <w:tcPr>
            <w:tcW w:w="120" w:type="dxa"/>
            <w:vAlign w:val="bottom"/>
            <w:tcBorders>
              <w:top w:val="single" w:sz="8" w:color="CCEEFF"/>
            </w:tcBorders>
            <w:shd w:val="clear" w:color="auto" w:fill="CCEEFF"/>
          </w:tcPr>
          <w:p>
            <w:pPr>
              <w:spacing w:after="0"/>
              <w:rPr>
                <w:sz w:val="24"/>
                <w:szCs w:val="24"/>
                <w:color w:val="auto"/>
              </w:rPr>
            </w:pPr>
          </w:p>
        </w:tc>
        <w:tc>
          <w:tcPr>
            <w:tcW w:w="1180" w:type="dxa"/>
            <w:vAlign w:val="bottom"/>
            <w:tcBorders>
              <w:top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24,285</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345"/>
        </w:trPr>
        <w:tc>
          <w:tcPr>
            <w:tcW w:w="2320" w:type="dxa"/>
            <w:vAlign w:val="bottom"/>
          </w:tcPr>
          <w:p>
            <w:pPr>
              <w:ind w:left="20"/>
              <w:spacing w:after="0"/>
              <w:rPr>
                <w:sz w:val="20"/>
                <w:szCs w:val="20"/>
                <w:color w:val="auto"/>
              </w:rPr>
            </w:pPr>
            <w:r>
              <w:rPr>
                <w:rFonts w:ascii="Arial" w:cs="Arial" w:eastAsia="Arial" w:hAnsi="Arial"/>
                <w:sz w:val="14"/>
                <w:szCs w:val="14"/>
                <w:b w:val="1"/>
                <w:bCs w:val="1"/>
                <w:color w:val="auto"/>
              </w:rPr>
              <w:t>Asia Pacific</w:t>
            </w:r>
          </w:p>
        </w:tc>
        <w:tc>
          <w:tcPr>
            <w:tcW w:w="1160" w:type="dxa"/>
            <w:vAlign w:val="bottom"/>
          </w:tcPr>
          <w:p>
            <w:pPr>
              <w:jc w:val="right"/>
              <w:spacing w:after="0"/>
              <w:rPr>
                <w:sz w:val="20"/>
                <w:szCs w:val="20"/>
                <w:color w:val="auto"/>
              </w:rPr>
            </w:pPr>
            <w:r>
              <w:rPr>
                <w:rFonts w:ascii="Arial" w:cs="Arial" w:eastAsia="Arial" w:hAnsi="Arial"/>
                <w:sz w:val="14"/>
                <w:szCs w:val="14"/>
                <w:color w:val="auto"/>
              </w:rPr>
              <w:t>843</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782</w:t>
            </w:r>
          </w:p>
        </w:tc>
        <w:tc>
          <w:tcPr>
            <w:tcW w:w="120" w:type="dxa"/>
            <w:vAlign w:val="bottom"/>
          </w:tcPr>
          <w:p>
            <w:pPr>
              <w:spacing w:after="0"/>
              <w:rPr>
                <w:sz w:val="24"/>
                <w:szCs w:val="24"/>
                <w:color w:val="auto"/>
              </w:rPr>
            </w:pPr>
          </w:p>
        </w:tc>
        <w:tc>
          <w:tcPr>
            <w:tcW w:w="1160" w:type="dxa"/>
            <w:vAlign w:val="bottom"/>
          </w:tcPr>
          <w:p>
            <w:pPr>
              <w:jc w:val="right"/>
              <w:ind w:right="348"/>
              <w:spacing w:after="0"/>
              <w:rPr>
                <w:sz w:val="20"/>
                <w:szCs w:val="20"/>
                <w:color w:val="auto"/>
              </w:rPr>
            </w:pPr>
            <w:r>
              <w:rPr>
                <w:rFonts w:ascii="Arial" w:cs="Arial" w:eastAsia="Arial" w:hAnsi="Arial"/>
                <w:sz w:val="14"/>
                <w:szCs w:val="14"/>
                <w:color w:val="auto"/>
              </w:rPr>
              <w:t>61</w:t>
            </w:r>
          </w:p>
        </w:tc>
        <w:tc>
          <w:tcPr>
            <w:tcW w:w="680" w:type="dxa"/>
            <w:vAlign w:val="bottom"/>
          </w:tcPr>
          <w:p>
            <w:pPr>
              <w:jc w:val="right"/>
              <w:spacing w:after="0"/>
              <w:rPr>
                <w:sz w:val="20"/>
                <w:szCs w:val="20"/>
                <w:color w:val="auto"/>
              </w:rPr>
            </w:pPr>
            <w:r>
              <w:rPr>
                <w:rFonts w:ascii="Arial" w:cs="Arial" w:eastAsia="Arial" w:hAnsi="Arial"/>
                <w:sz w:val="14"/>
                <w:szCs w:val="14"/>
                <w:color w:val="auto"/>
              </w:rPr>
              <w:t>8 %</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237,044</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221,772</w:t>
            </w:r>
          </w:p>
        </w:tc>
        <w:tc>
          <w:tcPr>
            <w:tcW w:w="120" w:type="dxa"/>
            <w:vAlign w:val="bottom"/>
          </w:tcPr>
          <w:p>
            <w:pPr>
              <w:spacing w:after="0"/>
              <w:rPr>
                <w:sz w:val="24"/>
                <w:szCs w:val="24"/>
                <w:color w:val="auto"/>
              </w:rPr>
            </w:pPr>
          </w:p>
        </w:tc>
        <w:tc>
          <w:tcPr>
            <w:tcW w:w="1180" w:type="dxa"/>
            <w:vAlign w:val="bottom"/>
          </w:tcPr>
          <w:p>
            <w:pPr>
              <w:jc w:val="right"/>
              <w:ind w:right="348"/>
              <w:spacing w:after="0"/>
              <w:rPr>
                <w:sz w:val="20"/>
                <w:szCs w:val="20"/>
                <w:color w:val="auto"/>
              </w:rPr>
            </w:pPr>
            <w:r>
              <w:rPr>
                <w:rFonts w:ascii="Arial" w:cs="Arial" w:eastAsia="Arial" w:hAnsi="Arial"/>
                <w:sz w:val="14"/>
                <w:szCs w:val="14"/>
                <w:color w:val="auto"/>
              </w:rPr>
              <w:t>15,272</w:t>
            </w:r>
          </w:p>
        </w:tc>
        <w:tc>
          <w:tcPr>
            <w:tcW w:w="680" w:type="dxa"/>
            <w:vAlign w:val="bottom"/>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357"/>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EMEA</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23</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186,573</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184,091</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2,482</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&amp; Canada</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U.S. &amp; Canada segment profits decreased primarily due to the following:</w:t>
      </w:r>
    </w:p>
    <w:p>
      <w:pPr>
        <w:spacing w:after="0" w:line="171" w:lineRule="exact"/>
        <w:rPr>
          <w:sz w:val="20"/>
          <w:szCs w:val="20"/>
          <w:color w:val="auto"/>
        </w:rPr>
      </w:pPr>
    </w:p>
    <w:p>
      <w:pPr>
        <w:ind w:left="660" w:right="80" w:hanging="328"/>
        <w:spacing w:after="0" w:line="308"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$1,351 million of lower gross fee revenues (primarily reflecting lower comparable systemwide RevPAR and net house profits driven by decreases in both occupancy and ADR due to lower demand resulting from COVID-19, partially offset by unit growth of $32 million);</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$60 million of higher contract investment amortization costs (primarily reflecting higher contract impairment charges);</w:t>
      </w:r>
    </w:p>
    <w:p>
      <w:pPr>
        <w:spacing w:after="0" w:line="171"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$158 million of lower owned, leased, and other revenue, net of direct expenses (including $19 million from hotels sold in the 2019 fourth and 2020 first quarters);</w:t>
      </w:r>
    </w:p>
    <w:p>
      <w:pPr>
        <w:spacing w:after="0" w:line="116" w:lineRule="exact"/>
        <w:rPr>
          <w:rFonts w:ascii="Arial" w:cs="Arial" w:eastAsia="Arial" w:hAnsi="Arial"/>
          <w:sz w:val="18"/>
          <w:szCs w:val="18"/>
          <w:color w:val="auto"/>
        </w:rPr>
      </w:pPr>
    </w:p>
    <w:p>
      <w:pPr>
        <w:ind w:left="660" w:right="600" w:hanging="328"/>
        <w:spacing w:after="0" w:line="308"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$22 million of higher general, administrative, and other expenses (primarily reflecting $75 million of higher provision for credit losses and reserves for guarantee funding, partially offset by $48 million of lower administrative costs due to our cost reduction measures);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$141 million of lower gains and other income, net (primarily reflecting a $134 million gain on the sale of two properties in 2019);</w:t>
      </w:r>
    </w:p>
    <w:p>
      <w:pPr>
        <w:spacing w:after="0" w:line="184" w:lineRule="exact"/>
        <w:rPr>
          <w:rFonts w:ascii="Arial" w:cs="Arial" w:eastAsia="Arial" w:hAnsi="Arial"/>
          <w:sz w:val="18"/>
          <w:szCs w:val="18"/>
          <w:color w:val="auto"/>
        </w:rPr>
      </w:pPr>
    </w:p>
    <w:p>
      <w:pPr>
        <w:ind w:left="660" w:hanging="328"/>
        <w:spacing w:after="0" w:line="250" w:lineRule="auto"/>
        <w:tabs>
          <w:tab w:leader="none" w:pos="648" w:val="left"/>
        </w:tabs>
        <w:numPr>
          <w:ilvl w:val="0"/>
          <w:numId w:val="11"/>
        </w:numPr>
        <w:rPr>
          <w:rFonts w:ascii="Arial" w:cs="Arial" w:eastAsia="Arial" w:hAnsi="Arial"/>
          <w:sz w:val="20"/>
          <w:szCs w:val="20"/>
          <w:b w:val="1"/>
          <w:bCs w:val="1"/>
          <w:i w:val="1"/>
          <w:iCs w:val="1"/>
          <w:color w:val="auto"/>
        </w:rPr>
      </w:pPr>
      <w:r>
        <w:rPr>
          <w:rFonts w:ascii="Arial" w:cs="Arial" w:eastAsia="Arial" w:hAnsi="Arial"/>
          <w:sz w:val="18"/>
          <w:szCs w:val="18"/>
          <w:color w:val="auto"/>
        </w:rPr>
        <w:t>$101 million of lower equity in (losses) earnings due to impairment charges ($60 million) and losses recorded by investees, primarily as a result of COVID-19; and</w:t>
      </w:r>
    </w:p>
    <w:p>
      <w:pPr>
        <w:spacing w:after="0" w:line="138" w:lineRule="exact"/>
        <w:rPr>
          <w:rFonts w:ascii="Arial" w:cs="Arial" w:eastAsia="Arial" w:hAnsi="Arial"/>
          <w:sz w:val="20"/>
          <w:szCs w:val="20"/>
          <w:b w:val="1"/>
          <w:bCs w:val="1"/>
          <w:i w:val="1"/>
          <w:iCs w:val="1"/>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$27 million of higher restructuring and merger-related charges;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partially offset by:</w:t>
      </w:r>
    </w:p>
    <w:p>
      <w:pPr>
        <w:spacing w:after="0" w:line="17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$49 million of higher cost reimbursement revenue, net of reimbursed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$294 million of lower gross fee revenues (primarily reflecting lower comparable systemwide RevPAR and net house profits driven by decreases in both occupancy and ADR due to lower demand resulting from COVID-19);</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$39 million of lower owned, leased, and other revenue, net of direct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$9 million of lower cost reimbursement revenue, net of reimbursed expenses;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$25 million of lower equity in (losses) earnings;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partially offset by:</w:t>
      </w:r>
    </w:p>
    <w:p>
      <w:pPr>
        <w:spacing w:after="0" w:line="17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$13 million of lower general, administrative, and other expenses (primarily reflecting lower expenses due to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$308 million of lower gross fee revenues (primarily reflecting lower comparable systemwide RevPAR and net house profits driven by decreases in both occupancy and ADR due to lower demand resulting from COVID-19);</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$171 million of lower owned, leased, and other revenue, net of direct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$25 million of lower cost reimbursement revenue, net of reimbursed expenses;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$11 million of lower equity in (losses) earnings;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partially offset by:</w:t>
      </w:r>
    </w:p>
    <w:p>
      <w:pPr>
        <w:spacing w:after="0" w:line="171" w:lineRule="exact"/>
        <w:rPr>
          <w:sz w:val="20"/>
          <w:szCs w:val="20"/>
          <w:color w:val="auto"/>
        </w:rPr>
      </w:pPr>
    </w:p>
    <w:p>
      <w:pPr>
        <w:ind w:left="660" w:right="10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$13 million of lower general, administrative, and other expenses (primarily reflecting lower expenses due to COVID-19, partially offset by a $24 million higher provision for credit losses).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6 for more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2 for information on our adoption of new accounting standards.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Our long-term financial objectives include diversifying our financing sources, optimizing the mix and maturity of our long-term debt, and reducing our working capital. At year-end 2020, our long-term debt had a weighted average interest rate of 3.7 percent and a weighted average maturity of approximately 6.0 years. Including the effect of interest rate swaps, the ratio of our fixed-rate long-term debt to our total long-term debt was 0.8 to 1.0 at year-end 2020.</w:t>
      </w:r>
    </w:p>
    <w:p>
      <w:pPr>
        <w:spacing w:after="0" w:line="133" w:lineRule="exact"/>
        <w:rPr>
          <w:sz w:val="20"/>
          <w:szCs w:val="20"/>
          <w:color w:val="auto"/>
        </w:rPr>
      </w:pPr>
    </w:p>
    <w:p>
      <w:pPr>
        <w:ind w:right="260" w:firstLine="405"/>
        <w:spacing w:after="0" w:line="342" w:lineRule="auto"/>
        <w:rPr>
          <w:sz w:val="20"/>
          <w:szCs w:val="20"/>
          <w:color w:val="auto"/>
        </w:rPr>
      </w:pPr>
      <w:r>
        <w:rPr>
          <w:rFonts w:ascii="Arial" w:cs="Arial" w:eastAsia="Arial" w:hAnsi="Arial"/>
          <w:sz w:val="16"/>
          <w:szCs w:val="16"/>
          <w:color w:val="auto"/>
        </w:rPr>
        <w:t>In response to the negative impact COVID-19 had on our cash from operations in 2020, which we expect to continue to be negatively impacted as discussed above, we have taken numerous actions to preserve our financial flexibility and manage our debt maturities, which include:</w:t>
      </w:r>
    </w:p>
    <w:p>
      <w:pPr>
        <w:spacing w:after="0" w:line="70" w:lineRule="exact"/>
        <w:rPr>
          <w:sz w:val="20"/>
          <w:szCs w:val="20"/>
          <w:color w:val="auto"/>
        </w:rPr>
      </w:pPr>
    </w:p>
    <w:p>
      <w:pPr>
        <w:ind w:left="820" w:right="40" w:hanging="488"/>
        <w:spacing w:after="0" w:line="263"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Substantially reducing our corporate general and administrative costs, reimbursed expenses we incur on behalf of our owners and franchisees, and our capital expenditures and other investment spending, and implementing restructuring plans, as we discuss under the “Impact of COVID-19” section above;</w:t>
      </w:r>
    </w:p>
    <w:p>
      <w:pPr>
        <w:spacing w:after="0" w:line="129" w:lineRule="exact"/>
        <w:rPr>
          <w:rFonts w:ascii="Arial" w:cs="Arial" w:eastAsia="Arial" w:hAnsi="Arial"/>
          <w:sz w:val="18"/>
          <w:szCs w:val="18"/>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Suspending share repurchases and dividends until conditions improve and until permitted under our Credit Facility;</w:t>
      </w:r>
    </w:p>
    <w:p>
      <w:pPr>
        <w:spacing w:after="0" w:line="171" w:lineRule="exact"/>
        <w:rPr>
          <w:rFonts w:ascii="Arial" w:cs="Arial" w:eastAsia="Arial" w:hAnsi="Arial"/>
          <w:sz w:val="18"/>
          <w:szCs w:val="18"/>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Drawing under the Credit Facility, as we discuss under the “Sources of Liquidity-Our Credit Facility” section below;</w:t>
      </w:r>
    </w:p>
    <w:p>
      <w:pPr>
        <w:spacing w:after="0" w:line="171" w:lineRule="exact"/>
        <w:rPr>
          <w:rFonts w:ascii="Arial" w:cs="Arial" w:eastAsia="Arial" w:hAnsi="Arial"/>
          <w:sz w:val="18"/>
          <w:szCs w:val="18"/>
          <w:color w:val="auto"/>
        </w:rPr>
      </w:pPr>
    </w:p>
    <w:p>
      <w:pPr>
        <w:ind w:left="820" w:right="120" w:hanging="488"/>
        <w:spacing w:after="0" w:line="277"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Amending the Credit Facility to, among other things, waive the quarterly-tested leverage covenant in the Credit Facility through and including the fourth quarter of 2021, as we discuss under the “Sources of Liquidity-Our Credit Facility” section below;</w:t>
      </w:r>
    </w:p>
    <w:p>
      <w:pPr>
        <w:spacing w:after="0" w:line="116" w:lineRule="exact"/>
        <w:rPr>
          <w:rFonts w:ascii="Arial" w:cs="Arial" w:eastAsia="Arial" w:hAnsi="Arial"/>
          <w:sz w:val="18"/>
          <w:szCs w:val="18"/>
          <w:color w:val="auto"/>
        </w:rPr>
      </w:pPr>
    </w:p>
    <w:p>
      <w:pPr>
        <w:ind w:left="820" w:right="180" w:hanging="488"/>
        <w:spacing w:after="0" w:line="263"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Issuing $3.6 billion aggregate principal amount of senior notes, and repurchasing and retiring approximately $853 million aggregate principal amount of the Company’s outstanding senior notes maturing in 2022, which we discuss under the “Sources of Liquidity - Senior Notes Issuances and Repurchases” section below; and</w:t>
      </w:r>
    </w:p>
    <w:p>
      <w:pPr>
        <w:spacing w:after="0" w:line="129" w:lineRule="exact"/>
        <w:rPr>
          <w:rFonts w:ascii="Arial" w:cs="Arial" w:eastAsia="Arial" w:hAnsi="Arial"/>
          <w:sz w:val="18"/>
          <w:szCs w:val="18"/>
          <w:color w:val="auto"/>
        </w:rPr>
      </w:pPr>
    </w:p>
    <w:p>
      <w:pPr>
        <w:ind w:left="820" w:right="480" w:hanging="488"/>
        <w:spacing w:after="0" w:line="277"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Raising $920 million of cash by entering into amendments to the existing agreements for our U.S.-issued co-brand credit cards, which we discuss under the “Co-brand Credit Card Agreements” section below.</w:t>
      </w:r>
    </w:p>
    <w:p>
      <w:pPr>
        <w:spacing w:after="0" w:line="116"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We monitor the status of the capital markets and regularly evaluate the effect that changes in capital market conditions may have on our ability to fund our liquidity needs. We currently believe the Credit Facility, our cash on hand, and our access to capital markets remain adequate to meet our liquidity requirements.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Liquidity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Credit Facility</w:t>
      </w:r>
    </w:p>
    <w:p>
      <w:pPr>
        <w:spacing w:after="0" w:line="171"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Our Credit Facility provides for up to $4.5 billion of aggregate borrowings for general corporate needs, including to support our commercial paper program if and when we resume issuing commercial paper. Borrowings under the Credit Facility generally bear interest at LIBOR (the London Interbank Offered Rate) plus a spread, based on our public debt rating. We also pay quarterly fees on the Credit Facility at a rate based on our public debt rating. We classify outstanding borrowings under the Credit Facility and outstanding commercial paper borrowings as long-term based on our ability and intent to refinance the outstanding borrowings on a long-term basis. The Credit Facility expires on June 28, 2024. In 2020, we made borrowings of $4.5 billion and repayments of $3.6 billion, resulting in total outstanding borrowings under the Credit Facility of $0.9 billion as of December 31, 2020.</w:t>
      </w:r>
    </w:p>
    <w:p>
      <w:pPr>
        <w:spacing w:after="0" w:line="110"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The Credit Facility contains certain covenants, including a financial covenant that limits our maximum Leverage Ratio (as defined in the Credit Facility, and generally consisting of the ratio of Adjusted Total Debt to EBITDA, each as defined in the Credit Facility, and subject to additional adjustments as described therein). On April 13, 2020, we entered into an amendment to the Credit Facility (the “First Credit Facility Amendment”) under which the covenant governing the permitted Leverage Ratio is waived through and including the first quarter of 2021 (the “Covenant Waiver Period”), which waiver period may end sooner at our election, and the required leverage levels for such covenant are adjusted once re-imposed at the end of the Covenant Waiver Period (starting at 5.50 to 1.00 when the leverage test is first re-imposed and gradually stepping down to 4.00 to 1.00 over the succeeding seven fiscal quarters, as further described in the Credit Facility). The First Credit Facility Amendment also imposes a monthly-tested minimum liquidity covenant for the duration of the Covenant Waiver Period and makes certain other amendments to the terms of the Credit Facility, including increasing the interest and fees payable on the Credit Facility for the duration of the Covenant Waiver Period, tightening certain existing covenants and imposing additional covenants for the duration of the Covenant Waiver Period, including restricting dividends and share repurchases.</w:t>
      </w:r>
    </w:p>
    <w:p>
      <w:pPr>
        <w:spacing w:after="0" w:line="114"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On January 26, 2021, we entered into two more amendments to the Credit Facility (the “New Credit Facility Amendments,” and together with the First Credit Facility Amendment, the “Credit Facility Amendments”), which extend the</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Covenant Waiver Period through and including the fourth quarter of 2021 (which waiver period may end sooner at our election), revise the required leverage levels for such covenant when it is re-imposed at the end of the Covenant Waiver Period (starting at 5.50 to 1.00 when the leverage test is first re-imposed and gradually stepping down to 4.00 to 1.00 over the succeeding five fiscal quarters, as further described in the Credit Facility), and increase the minimum liquidity amount under the liquidity covenant that is tested monthly for the duration of the Covenant Waiver Period. The New Credit Facility Amendments also make certain other amendments to the terms of the Credit Facility, including reducing the rate floor for the LIBOR Daily Floating Rate and the Eurocurrency Rate.</w:t>
      </w:r>
    </w:p>
    <w:p>
      <w:pPr>
        <w:spacing w:after="0" w:line="138"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Our outstanding public debt does not contain a corresponding financial covenant or a requirement that we maintain certain financial ratios. We currently satisfy the covenants in our Credit Facility, including the liquidity covenant under the Credit Facility.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Issuances and Repurchases</w:t>
      </w:r>
    </w:p>
    <w:p>
      <w:pPr>
        <w:spacing w:after="0" w:line="17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On April 16, 2020, we issued $1.6 billion aggregate principal amount of 5.750 percent Series EE Notes due May 1, 2025 (the “Series EE Notes”). We pay interest on the Series EE Notes in May and November of each year, commencing in November 2020. We received net proceeds of approximately $1.581 billion from the offering of the Series EE Notes, after deducting the underwriting discount and estimated expenses, which were made available for general corporate purposes.</w:t>
      </w:r>
    </w:p>
    <w:p>
      <w:pPr>
        <w:spacing w:after="0" w:line="133" w:lineRule="exact"/>
        <w:rPr>
          <w:sz w:val="20"/>
          <w:szCs w:val="20"/>
          <w:color w:val="auto"/>
        </w:rPr>
      </w:pPr>
    </w:p>
    <w:p>
      <w:pPr>
        <w:jc w:val="both"/>
        <w:ind w:right="20" w:firstLine="405"/>
        <w:spacing w:after="0" w:line="279" w:lineRule="auto"/>
        <w:rPr>
          <w:sz w:val="20"/>
          <w:szCs w:val="20"/>
          <w:color w:val="auto"/>
        </w:rPr>
      </w:pPr>
      <w:r>
        <w:rPr>
          <w:rFonts w:ascii="Arial" w:cs="Arial" w:eastAsia="Arial" w:hAnsi="Arial"/>
          <w:sz w:val="17"/>
          <w:szCs w:val="17"/>
          <w:color w:val="auto"/>
        </w:rPr>
        <w:t>On June 1, 2020, we issued $1.0 billion aggregate principal amount of 4.625 percent Series FF Notes due June 15, 2030 (the “Series FF Notes”). We pay interest on the Series FF Notes in June and December of each year, commencing in December 2020. We received net proceeds of approximately $985 million from the offering of the Series FF Notes, after deducting the underwriting discount and estimated expenses. We used the majority of these proceeds to repurchase Senior Notes with near term maturities, as discussed below and in Note 10.</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June 2020, we completed a tender offer (the “Tender Offer”) and retired $853 million aggregate principal amount of our Senior Notes consisting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157" w:lineRule="exact"/>
        <w:rPr>
          <w:sz w:val="20"/>
          <w:szCs w:val="20"/>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$351 million of our 2.3% Series Q Notes maturing January 15, 2022;</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$176 million of our 3.3% Series L Notes maturing September 15, 2022;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$326 million of our 2.1% Series DD Notes maturing October 3, 2022.</w:t>
      </w:r>
    </w:p>
    <w:p>
      <w:pPr>
        <w:spacing w:after="0" w:line="171"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We used proceeds from our Series FF Notes offering to complete the repurchase of such notes, including the payment of accrued interest and other costs incurred.</w:t>
      </w:r>
    </w:p>
    <w:p>
      <w:pPr>
        <w:spacing w:after="0" w:line="116"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On August 14, 2020, we issued $1.0 billion aggregate principal amount of 3.500 percent Series GG Notes due October 15, 2032 (the “Series GG Notes”). We will pay interest on the Series GG Notes in April and October of each year, commencing in April 2021. We received net proceeds of approximately $984 million from the offering of the Series GG Notes, after deducting the underwriting discount and estimated expenses, which were made available for general corporate purposes, including the repayment of a portion of our outstanding borrowings under the Credit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Paper</w:t>
      </w:r>
    </w:p>
    <w:p>
      <w:pPr>
        <w:spacing w:after="0" w:line="171" w:lineRule="exact"/>
        <w:rPr>
          <w:sz w:val="20"/>
          <w:szCs w:val="20"/>
          <w:color w:val="auto"/>
        </w:rPr>
      </w:pPr>
    </w:p>
    <w:p>
      <w:pPr>
        <w:ind w:right="420" w:firstLine="405"/>
        <w:spacing w:after="0" w:line="263" w:lineRule="auto"/>
        <w:rPr>
          <w:sz w:val="20"/>
          <w:szCs w:val="20"/>
          <w:color w:val="auto"/>
        </w:rPr>
      </w:pPr>
      <w:r>
        <w:rPr>
          <w:rFonts w:ascii="Arial" w:cs="Arial" w:eastAsia="Arial" w:hAnsi="Arial"/>
          <w:sz w:val="18"/>
          <w:szCs w:val="18"/>
          <w:color w:val="auto"/>
        </w:rPr>
        <w:t>Due to changes to our credit ratings as a result of the impact of COVID-19 on our business, we currently are not issuing commercial paper. As a result, we have had to rely more on borrowings under the Credit Facility and issuance of senior notes, which carry higher interest costs than our commercial paper.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Co-brand Credit Card Agreements</w:t>
      </w:r>
    </w:p>
    <w:p>
      <w:pPr>
        <w:spacing w:after="0" w:line="171"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In May 2020, we signed amendments to the existing agreements for our U.S.-issued co-brand credit cards associated with our Loyalty Program. These amendments provided the Company with $920 million of cash from the prepayment of certain future revenues, the early payment of a previously committed signing bonus, and the pre-purchase of Marriott Bonvoy points and other consideration. We recorded the amount of cash received primarily in the deferred revenue caption, and the remainder in the liability for guest loyalty program captions, on our Balance Sheet.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Uses of Cash</w:t>
      </w:r>
    </w:p>
    <w:p>
      <w:pPr>
        <w:spacing w:after="0" w:line="175"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Cash, cash equivalents, and restricted cash totaled $894 million at December 31, 2020, an increase of $641 million from year-end 2019, primarily reflecting Senior Notes issuances, net of repayments ($1,797 million), Credit Facility borrowings, net of repayments ($900 million), net cash provided by operating activities ($1,639 million), and dispositions ($260 million). The following cash outflows partially offset these cash inflows: commercial paper repayments, net of borrowings ($3,190 million),</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dividend payments ($156 million), purchase of treasury stock ($150 million), capital and technology expenditures ($135 million), other debt repayments, net of borrowings ($123 million), and financing outflows for employee stock-based compensation withholding taxes ($103 million).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Operations</w:t>
      </w:r>
    </w:p>
    <w:p>
      <w:pPr>
        <w:spacing w:after="0" w:line="171"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color w:val="auto"/>
        </w:rPr>
        <w:t>Net cash provided by operating activities decreased by $46 million in 2020 compared to 2019, primarily due to the net loss that we recorded in 2020 (adjusted for non-cash items) due to COVID-19, partially offset by net cash inflows from our Loyalty Program, including the one-time cash payments as a result of the amendments to our co-brand credit card agreements discussed in Note 2, a cash benefit from working capital changes, and lower cash paid for income taxes. Working capital changes primarily reflect lower accounts receivable due to lower fee and cost reimbursement revenues and a higher allowance for credit losses, lower accounts payable due to lower purchasing activity, and lower bonus accruals.</w:t>
      </w:r>
    </w:p>
    <w:p>
      <w:pPr>
        <w:spacing w:after="0" w:line="122"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Our ratio of current assets to current liabilities was 0.5 to 1.0 at both year-end 2020 and year-end 2019. We have significant borrowing capacity under our Credit Facility should we need additional working capital.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 Cash Flows</w:t>
      </w:r>
    </w:p>
    <w:p>
      <w:pPr>
        <w:spacing w:after="0" w:line="167" w:lineRule="exact"/>
        <w:rPr>
          <w:sz w:val="20"/>
          <w:szCs w:val="20"/>
          <w:color w:val="auto"/>
        </w:rPr>
      </w:pPr>
    </w:p>
    <w:p>
      <w:pPr>
        <w:ind w:firstLine="405"/>
        <w:spacing w:after="0" w:line="314" w:lineRule="auto"/>
        <w:rPr>
          <w:sz w:val="20"/>
          <w:szCs w:val="20"/>
          <w:color w:val="auto"/>
        </w:rPr>
      </w:pPr>
      <w:r>
        <w:rPr>
          <w:rFonts w:ascii="Arial" w:cs="Arial" w:eastAsia="Arial" w:hAnsi="Arial"/>
          <w:sz w:val="16"/>
          <w:szCs w:val="16"/>
          <w:b w:val="1"/>
          <w:bCs w:val="1"/>
          <w:color w:val="auto"/>
        </w:rPr>
        <w:t xml:space="preserve">Capital Expenditures and Other Investments. </w:t>
      </w:r>
      <w:r>
        <w:rPr>
          <w:rFonts w:ascii="Arial" w:cs="Arial" w:eastAsia="Arial" w:hAnsi="Arial"/>
          <w:sz w:val="16"/>
          <w:szCs w:val="16"/>
          <w:color w:val="auto"/>
        </w:rPr>
        <w:t>We made capital expenditures, including expenditures on technology, of $135 million in 2020 and</w:t>
      </w:r>
      <w:r>
        <w:rPr>
          <w:rFonts w:ascii="Arial" w:cs="Arial" w:eastAsia="Arial" w:hAnsi="Arial"/>
          <w:sz w:val="16"/>
          <w:szCs w:val="16"/>
          <w:b w:val="1"/>
          <w:bCs w:val="1"/>
          <w:color w:val="auto"/>
        </w:rPr>
        <w:t xml:space="preserve"> </w:t>
      </w:r>
      <w:r>
        <w:rPr>
          <w:rFonts w:ascii="Arial" w:cs="Arial" w:eastAsia="Arial" w:hAnsi="Arial"/>
          <w:sz w:val="16"/>
          <w:szCs w:val="16"/>
          <w:color w:val="auto"/>
        </w:rPr>
        <w:t>$653 million in 2019. Capital expenditures in 2020 decreased by $518 million compared to 2019, primarily reflecting the net lower spending on owned and leased properties and our worldwide systems and the 2019 acquisitions of a U.S. &amp; Canada property and Elegant Hotels Group plc (“Elegant”).</w:t>
      </w:r>
    </w:p>
    <w:p>
      <w:pPr>
        <w:spacing w:after="0" w:line="92"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We expect spending on capital expenditures and other investments will total approximately $575 million to $650 million for 2021, including contract acquisition costs, equity and other investments, loan advances, and various capital expenditures (including approximately $220 million for maintenance capital spending and our new headquarters).</w:t>
      </w:r>
    </w:p>
    <w:p>
      <w:pPr>
        <w:spacing w:after="0" w:line="130"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Over time, we have sold lodging properties, both completed and under development, subject to long-term management agreements. The ability of third-party purchasers to raise the debt and equity capital necessary to acquire such properties depends in part on the perceived risks in the lodging industry and other constraints inherent in the capital markets. We monitor the status of the capital markets and regularly evaluate the potential impact of changes in capital market conditions on our business operations. In the Starwood Combination, we acquired various hotels and equity interests in various hotels, many of which we have sold or are seeking to sell. We have made, and expect to continue making, selective and opportunistic investments to add units to our lodging business, which may include property acquisitions and renovations (such as our 2019 acquisitions of the W New York - Union Square and Elegant), new construction, loans, guarantees, and noncontrolling equity investments. Over time, we seek to minimize capital invested in our business through asset sales subject to long-term management or franchise agreements.</w:t>
      </w:r>
    </w:p>
    <w:p>
      <w:pPr>
        <w:spacing w:after="0" w:line="120" w:lineRule="exact"/>
        <w:rPr>
          <w:sz w:val="20"/>
          <w:szCs w:val="20"/>
          <w:color w:val="auto"/>
        </w:rPr>
      </w:pPr>
    </w:p>
    <w:p>
      <w:pPr>
        <w:ind w:right="120" w:firstLine="445"/>
        <w:spacing w:after="0" w:line="282" w:lineRule="auto"/>
        <w:rPr>
          <w:sz w:val="20"/>
          <w:szCs w:val="20"/>
          <w:color w:val="auto"/>
        </w:rPr>
      </w:pPr>
      <w:r>
        <w:rPr>
          <w:rFonts w:ascii="Arial" w:cs="Arial" w:eastAsia="Arial" w:hAnsi="Arial"/>
          <w:sz w:val="18"/>
          <w:szCs w:val="18"/>
          <w:b w:val="1"/>
          <w:bCs w:val="1"/>
          <w:color w:val="auto"/>
        </w:rPr>
        <w:t xml:space="preserve">Dispositions. </w:t>
      </w:r>
      <w:r>
        <w:rPr>
          <w:rFonts w:ascii="Arial" w:cs="Arial" w:eastAsia="Arial" w:hAnsi="Arial"/>
          <w:sz w:val="18"/>
          <w:szCs w:val="18"/>
          <w:color w:val="auto"/>
        </w:rPr>
        <w:t>Property and asset sales generated $260 million cash proceeds in 2020 and $395 million in 2019. See Note 4 for more information on</w:t>
      </w:r>
      <w:r>
        <w:rPr>
          <w:rFonts w:ascii="Arial" w:cs="Arial" w:eastAsia="Arial" w:hAnsi="Arial"/>
          <w:sz w:val="18"/>
          <w:szCs w:val="18"/>
          <w:b w:val="1"/>
          <w:bCs w:val="1"/>
          <w:color w:val="auto"/>
        </w:rPr>
        <w:t xml:space="preserve"> </w:t>
      </w:r>
      <w:r>
        <w:rPr>
          <w:rFonts w:ascii="Arial" w:cs="Arial" w:eastAsia="Arial" w:hAnsi="Arial"/>
          <w:sz w:val="18"/>
          <w:szCs w:val="18"/>
          <w:color w:val="auto"/>
        </w:rPr>
        <w:t>dispositions.</w:t>
      </w:r>
    </w:p>
    <w:p>
      <w:pPr>
        <w:spacing w:after="0" w:line="108" w:lineRule="exact"/>
        <w:rPr>
          <w:sz w:val="20"/>
          <w:szCs w:val="20"/>
          <w:color w:val="auto"/>
        </w:rPr>
      </w:pPr>
    </w:p>
    <w:p>
      <w:pPr>
        <w:ind w:right="40" w:firstLine="445"/>
        <w:spacing w:after="0" w:line="266" w:lineRule="auto"/>
        <w:rPr>
          <w:sz w:val="20"/>
          <w:szCs w:val="20"/>
          <w:color w:val="auto"/>
        </w:rPr>
      </w:pPr>
      <w:r>
        <w:rPr>
          <w:rFonts w:ascii="Arial" w:cs="Arial" w:eastAsia="Arial" w:hAnsi="Arial"/>
          <w:sz w:val="18"/>
          <w:szCs w:val="18"/>
          <w:b w:val="1"/>
          <w:bCs w:val="1"/>
          <w:color w:val="auto"/>
        </w:rPr>
        <w:t xml:space="preserve">Loan Activity. </w:t>
      </w:r>
      <w:r>
        <w:rPr>
          <w:rFonts w:ascii="Arial" w:cs="Arial" w:eastAsia="Arial" w:hAnsi="Arial"/>
          <w:sz w:val="18"/>
          <w:szCs w:val="18"/>
          <w:color w:val="auto"/>
        </w:rPr>
        <w:t>From time to time, we make loans to owners of hotels that we operate or franchise. Loan advances, net of loan collections, amounted</w:t>
      </w:r>
      <w:r>
        <w:rPr>
          <w:rFonts w:ascii="Arial" w:cs="Arial" w:eastAsia="Arial" w:hAnsi="Arial"/>
          <w:sz w:val="18"/>
          <w:szCs w:val="18"/>
          <w:b w:val="1"/>
          <w:bCs w:val="1"/>
          <w:color w:val="auto"/>
        </w:rPr>
        <w:t xml:space="preserve"> </w:t>
      </w:r>
      <w:r>
        <w:rPr>
          <w:rFonts w:ascii="Arial" w:cs="Arial" w:eastAsia="Arial" w:hAnsi="Arial"/>
          <w:sz w:val="18"/>
          <w:szCs w:val="18"/>
          <w:color w:val="auto"/>
        </w:rPr>
        <w:t>to $33 million in 2020, compared to net collections of $21 million in 2019. At year-end 2020, we had $163 million of senior, mezzanine, and other loans outstanding, compared to $126 million outstanding at year-end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 Cash Flows</w:t>
      </w:r>
    </w:p>
    <w:p>
      <w:pPr>
        <w:spacing w:after="0" w:line="167" w:lineRule="exact"/>
        <w:rPr>
          <w:sz w:val="20"/>
          <w:szCs w:val="20"/>
          <w:color w:val="auto"/>
        </w:rPr>
      </w:pPr>
    </w:p>
    <w:p>
      <w:pPr>
        <w:jc w:val="both"/>
        <w:ind w:right="620" w:firstLine="445"/>
        <w:spacing w:after="0" w:line="266" w:lineRule="auto"/>
        <w:rPr>
          <w:sz w:val="20"/>
          <w:szCs w:val="20"/>
          <w:color w:val="auto"/>
        </w:rPr>
      </w:pPr>
      <w:r>
        <w:rPr>
          <w:rFonts w:ascii="Arial" w:cs="Arial" w:eastAsia="Arial" w:hAnsi="Arial"/>
          <w:sz w:val="18"/>
          <w:szCs w:val="18"/>
          <w:b w:val="1"/>
          <w:bCs w:val="1"/>
          <w:color w:val="auto"/>
        </w:rPr>
        <w:t xml:space="preserve">Debt. </w:t>
      </w:r>
      <w:r>
        <w:rPr>
          <w:rFonts w:ascii="Arial" w:cs="Arial" w:eastAsia="Arial" w:hAnsi="Arial"/>
          <w:sz w:val="18"/>
          <w:szCs w:val="18"/>
          <w:color w:val="auto"/>
        </w:rPr>
        <w:t>Debt decreased by $564 million in 2020, to $10,376 million at year-end 2020 from $10,940 million at year-end 2019. See “Sources of</w:t>
      </w:r>
      <w:r>
        <w:rPr>
          <w:rFonts w:ascii="Arial" w:cs="Arial" w:eastAsia="Arial" w:hAnsi="Arial"/>
          <w:sz w:val="18"/>
          <w:szCs w:val="18"/>
          <w:b w:val="1"/>
          <w:bCs w:val="1"/>
          <w:color w:val="auto"/>
        </w:rPr>
        <w:t xml:space="preserve"> </w:t>
      </w:r>
      <w:r>
        <w:rPr>
          <w:rFonts w:ascii="Arial" w:cs="Arial" w:eastAsia="Arial" w:hAnsi="Arial"/>
          <w:sz w:val="18"/>
          <w:szCs w:val="18"/>
          <w:color w:val="auto"/>
        </w:rPr>
        <w:t>Liquidity,” caption in this “Liquidity and Capital Resources” section and Note 10 for additional information on the Senior Note and Credit Facility transactions in 2020.</w:t>
      </w:r>
    </w:p>
    <w:p>
      <w:pPr>
        <w:spacing w:after="0" w:line="122" w:lineRule="exact"/>
        <w:rPr>
          <w:sz w:val="20"/>
          <w:szCs w:val="20"/>
          <w:color w:val="auto"/>
        </w:rPr>
      </w:pPr>
    </w:p>
    <w:p>
      <w:pPr>
        <w:ind w:firstLine="445"/>
        <w:spacing w:after="0" w:line="258" w:lineRule="auto"/>
        <w:rPr>
          <w:sz w:val="20"/>
          <w:szCs w:val="20"/>
          <w:color w:val="auto"/>
        </w:rPr>
      </w:pPr>
      <w:r>
        <w:rPr>
          <w:rFonts w:ascii="Arial" w:cs="Arial" w:eastAsia="Arial" w:hAnsi="Arial"/>
          <w:sz w:val="18"/>
          <w:szCs w:val="18"/>
          <w:b w:val="1"/>
          <w:bCs w:val="1"/>
          <w:color w:val="auto"/>
        </w:rPr>
        <w:t xml:space="preserve">Share Repurchases. </w:t>
      </w:r>
      <w:r>
        <w:rPr>
          <w:rFonts w:ascii="Arial" w:cs="Arial" w:eastAsia="Arial" w:hAnsi="Arial"/>
          <w:sz w:val="18"/>
          <w:szCs w:val="18"/>
          <w:color w:val="auto"/>
        </w:rPr>
        <w:t>We purchased 1.0 million shares of our common stock in 2020 (in the 2020 first quarter) at an average price of $145.42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and 17.3 million shares in 2019 at an average price of $130.79 per share. At year-end 2020, 17.4 million shares remained available for repurchase under Board approved authorizations. We do not anticipate repurchasing additional shares until business conditions improve, and are prohibited from doing so for the duration of the Covenant Waiver Period under our Credit Facility, with certain exceptions. For additional information, see “Fourth Quarter 2020 Issuer Purchases of Equity Securities” in Part II, Item 5.</w:t>
      </w:r>
    </w:p>
    <w:p>
      <w:pPr>
        <w:spacing w:after="0" w:line="129" w:lineRule="exact"/>
        <w:rPr>
          <w:sz w:val="20"/>
          <w:szCs w:val="20"/>
          <w:color w:val="auto"/>
        </w:rPr>
      </w:pPr>
    </w:p>
    <w:p>
      <w:pPr>
        <w:ind w:right="340" w:firstLine="445"/>
        <w:spacing w:after="0" w:line="266"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On February 14, 2020, our Board of Directors declared a cash dividend of $0.48 per share payable to stockholders of record on</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28, 2020, which we paid on March 31, 2020. We do not anticipate declaring further cash dividends until business conditions improve and are prohibited from doing so for the duration of the Covenant Waiver Period under our Credit Facility.</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obligations at year-end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94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 in millions)</w:t>
            </w:r>
          </w:p>
        </w:tc>
        <w:tc>
          <w:tcPr>
            <w:tcW w:w="220" w:type="dxa"/>
            <w:vAlign w:val="bottom"/>
          </w:tcPr>
          <w:p>
            <w:pPr>
              <w:spacing w:after="0"/>
              <w:rPr>
                <w:sz w:val="11"/>
                <w:szCs w:val="11"/>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Less Than</w:t>
            </w:r>
          </w:p>
        </w:tc>
        <w:tc>
          <w:tcPr>
            <w:tcW w:w="160" w:type="dxa"/>
            <w:vAlign w:val="bottom"/>
          </w:tcPr>
          <w:p>
            <w:pPr>
              <w:spacing w:after="0"/>
              <w:rPr>
                <w:sz w:val="11"/>
                <w:szCs w:val="11"/>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1-3 Years</w:t>
            </w:r>
          </w:p>
        </w:tc>
        <w:tc>
          <w:tcPr>
            <w:tcW w:w="180" w:type="dxa"/>
            <w:vAlign w:val="bottom"/>
          </w:tcPr>
          <w:p>
            <w:pPr>
              <w:spacing w:after="0"/>
              <w:rPr>
                <w:sz w:val="11"/>
                <w:szCs w:val="11"/>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3-5 Years</w:t>
            </w:r>
          </w:p>
        </w:tc>
        <w:tc>
          <w:tcPr>
            <w:tcW w:w="200" w:type="dxa"/>
            <w:vAlign w:val="bottom"/>
          </w:tcPr>
          <w:p>
            <w:pPr>
              <w:spacing w:after="0"/>
              <w:rPr>
                <w:sz w:val="11"/>
                <w:szCs w:val="11"/>
                <w:color w:val="auto"/>
              </w:rPr>
            </w:pPr>
          </w:p>
        </w:tc>
        <w:tc>
          <w:tcPr>
            <w:tcW w:w="880" w:type="dxa"/>
            <w:vAlign w:val="bottom"/>
          </w:tcPr>
          <w:p>
            <w:pPr>
              <w:jc w:val="right"/>
              <w:ind w:right="308"/>
              <w:spacing w:after="0" w:line="135"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88"/>
        </w:trPr>
        <w:tc>
          <w:tcPr>
            <w:tcW w:w="49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1 Year</w:t>
            </w: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84"/>
        </w:trPr>
        <w:tc>
          <w:tcPr>
            <w:tcW w:w="4940" w:type="dxa"/>
            <w:vAlign w:val="bottom"/>
            <w:tcBorders>
              <w:top w:val="single" w:sz="8" w:color="CCEEFF"/>
            </w:tcBorders>
            <w:gridSpan w:val="2"/>
            <w:shd w:val="clear" w:color="auto" w:fill="CCEEFF"/>
          </w:tcPr>
          <w:p>
            <w:pPr>
              <w:ind w:left="20"/>
              <w:spacing w:after="0" w:line="184" w:lineRule="exact"/>
              <w:rPr>
                <w:sz w:val="20"/>
                <w:szCs w:val="20"/>
                <w:color w:val="auto"/>
              </w:rPr>
            </w:pPr>
            <w:r>
              <w:rPr>
                <w:rFonts w:ascii="Arial" w:cs="Arial" w:eastAsia="Arial" w:hAnsi="Arial"/>
                <w:sz w:val="14"/>
                <w:szCs w:val="14"/>
                <w:color w:val="auto"/>
              </w:rPr>
              <w:t xml:space="preserve">Debt </w:t>
            </w:r>
            <w:r>
              <w:rPr>
                <w:rFonts w:ascii="Arial" w:cs="Arial" w:eastAsia="Arial" w:hAnsi="Arial"/>
                <w:sz w:val="18"/>
                <w:szCs w:val="18"/>
                <w:color w:val="auto"/>
                <w:vertAlign w:val="superscript"/>
              </w:rPr>
              <w:t>(1)</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12,453</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1,542</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4,281</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4,487</w:t>
            </w: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Finance lease obligations </w:t>
            </w:r>
            <w:r>
              <w:rPr>
                <w:rFonts w:ascii="Arial" w:cs="Arial" w:eastAsia="Arial" w:hAnsi="Arial"/>
                <w:sz w:val="18"/>
                <w:szCs w:val="18"/>
                <w:color w:val="auto"/>
                <w:vertAlign w:val="superscript"/>
              </w:rPr>
              <w:t>(1)</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89"/>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leases where we are the primary obligor</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w:t>
            </w:r>
          </w:p>
        </w:tc>
        <w:tc>
          <w:tcPr>
            <w:tcW w:w="0" w:type="dxa"/>
            <w:vAlign w:val="bottom"/>
          </w:tcPr>
          <w:p>
            <w:pPr>
              <w:spacing w:after="0"/>
              <w:rPr>
                <w:sz w:val="1"/>
                <w:szCs w:val="1"/>
                <w:color w:val="auto"/>
              </w:rPr>
            </w:pPr>
          </w:p>
        </w:tc>
      </w:tr>
      <w:tr>
        <w:trPr>
          <w:trHeight w:val="186"/>
        </w:trPr>
        <w:tc>
          <w:tcPr>
            <w:tcW w:w="4940" w:type="dxa"/>
            <w:vAlign w:val="bottom"/>
            <w:gridSpan w:val="2"/>
          </w:tcPr>
          <w:p>
            <w:pPr>
              <w:ind w:left="20"/>
              <w:spacing w:after="0"/>
              <w:rPr>
                <w:sz w:val="20"/>
                <w:szCs w:val="20"/>
                <w:color w:val="auto"/>
              </w:rPr>
            </w:pPr>
            <w:r>
              <w:rPr>
                <w:rFonts w:ascii="Arial" w:cs="Arial" w:eastAsia="Arial" w:hAnsi="Arial"/>
                <w:sz w:val="14"/>
                <w:szCs w:val="14"/>
                <w:color w:val="auto"/>
              </w:rPr>
              <w:t>Purchase obligations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4720" w:type="dxa"/>
            <w:vAlign w:val="bottom"/>
          </w:tcPr>
          <w:p>
            <w:pPr>
              <w:ind w:left="140"/>
              <w:spacing w:after="0"/>
              <w:rPr>
                <w:sz w:val="20"/>
                <w:szCs w:val="20"/>
                <w:color w:val="auto"/>
              </w:rPr>
            </w:pPr>
            <w:r>
              <w:rPr>
                <w:rFonts w:ascii="Arial" w:cs="Arial" w:eastAsia="Arial" w:hAnsi="Arial"/>
                <w:sz w:val="14"/>
                <w:szCs w:val="14"/>
                <w:color w:val="auto"/>
              </w:rPr>
              <w:t>Total contractual obligations</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15,164</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1,925</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2,801</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4,687</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5,751</w:t>
            </w:r>
          </w:p>
        </w:tc>
        <w:tc>
          <w:tcPr>
            <w:tcW w:w="0" w:type="dxa"/>
            <w:vAlign w:val="bottom"/>
          </w:tcPr>
          <w:p>
            <w:pPr>
              <w:spacing w:after="0"/>
              <w:rPr>
                <w:sz w:val="1"/>
                <w:szCs w:val="1"/>
                <w:color w:val="auto"/>
              </w:rPr>
            </w:pPr>
          </w:p>
        </w:tc>
      </w:tr>
      <w:tr>
        <w:trPr>
          <w:trHeight w:val="27"/>
        </w:trPr>
        <w:tc>
          <w:tcPr>
            <w:tcW w:w="220" w:type="dxa"/>
            <w:vAlign w:val="bottom"/>
            <w:vMerge w:val="restart"/>
          </w:tcPr>
          <w:p>
            <w:pPr>
              <w:spacing w:after="0"/>
              <w:rPr>
                <w:sz w:val="20"/>
                <w:szCs w:val="20"/>
                <w:color w:val="auto"/>
              </w:rPr>
            </w:pPr>
            <w:r>
              <w:rPr>
                <w:rFonts w:ascii="Arial" w:cs="Arial" w:eastAsia="Arial" w:hAnsi="Arial"/>
                <w:sz w:val="9"/>
                <w:szCs w:val="9"/>
                <w:color w:val="auto"/>
              </w:rPr>
              <w:t>(1)</w:t>
            </w:r>
          </w:p>
        </w:tc>
        <w:tc>
          <w:tcPr>
            <w:tcW w:w="4720" w:type="dxa"/>
            <w:vAlign w:val="bottom"/>
            <w:vMerge w:val="restart"/>
          </w:tcPr>
          <w:p>
            <w:pPr>
              <w:ind w:left="100"/>
              <w:spacing w:after="0"/>
              <w:rPr>
                <w:sz w:val="20"/>
                <w:szCs w:val="20"/>
                <w:color w:val="auto"/>
              </w:rPr>
            </w:pPr>
            <w:r>
              <w:rPr>
                <w:rFonts w:ascii="Arial" w:cs="Arial" w:eastAsia="Arial" w:hAnsi="Arial"/>
                <w:sz w:val="14"/>
                <w:szCs w:val="14"/>
                <w:color w:val="auto"/>
              </w:rPr>
              <w:t>Includes principal as well as interest.</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220" w:type="dxa"/>
            <w:vAlign w:val="bottom"/>
            <w:vMerge w:val="continue"/>
          </w:tcPr>
          <w:p>
            <w:pPr>
              <w:spacing w:after="0"/>
              <w:rPr>
                <w:sz w:val="17"/>
                <w:szCs w:val="17"/>
                <w:color w:val="auto"/>
              </w:rPr>
            </w:pPr>
          </w:p>
        </w:tc>
        <w:tc>
          <w:tcPr>
            <w:tcW w:w="47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20" w:type="dxa"/>
            <w:vAlign w:val="bottom"/>
          </w:tcPr>
          <w:p>
            <w:pPr>
              <w:spacing w:after="0"/>
              <w:rPr>
                <w:sz w:val="5"/>
                <w:szCs w:val="5"/>
                <w:color w:val="auto"/>
              </w:rPr>
            </w:pPr>
          </w:p>
        </w:tc>
        <w:tc>
          <w:tcPr>
            <w:tcW w:w="47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The preceding table does not reflect projected Deemed Repatriation Transition Tax payments totaling $395 million at year-end 2020 as a result of the U.S. tax legislation enacted on December 22, 2017, commonly referred to as the 2017 Tax Cuts and Jobs Act. In addition, the table does not reflect unrecognized tax benefits, including interest and penalties, at year-end 2020 of $508 million.</w:t>
      </w:r>
    </w:p>
    <w:p>
      <w:pPr>
        <w:spacing w:after="0" w:line="130"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In addition to the purchase obligations noted in the preceding table, in the normal course of business we enter into purchase commitments to manage the daily operating needs of the hotels that we manage. Since we are reimbursed from the cash flows of the hotels or by working capital calls to the hotel owners, these obligations have minimal impact on our net income and cash flow.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guarantee, investment, and loan commitments at year-end 2020:</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4"/>
                <w:szCs w:val="1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Less Than</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35"/>
        </w:trPr>
        <w:tc>
          <w:tcPr>
            <w:tcW w:w="49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in millions)</w:t>
            </w: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Amounts</w:t>
            </w:r>
          </w:p>
        </w:tc>
        <w:tc>
          <w:tcPr>
            <w:tcW w:w="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1-3 Years</w:t>
            </w:r>
          </w:p>
        </w:tc>
        <w:tc>
          <w:tcPr>
            <w:tcW w:w="180" w:type="dxa"/>
            <w:vAlign w:val="bottom"/>
          </w:tcPr>
          <w:p>
            <w:pPr>
              <w:spacing w:after="0"/>
              <w:rPr>
                <w:sz w:val="11"/>
                <w:szCs w:val="11"/>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3-5 Years</w:t>
            </w:r>
          </w:p>
        </w:tc>
        <w:tc>
          <w:tcPr>
            <w:tcW w:w="2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Committed</w:t>
            </w: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1 Year</w:t>
            </w: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84"/>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Guarantee commitments (expiration by period)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86"/>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Investment and loan commitments (expected funding by period)</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other commitments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45"/>
        <w:spacing w:after="0" w:line="308" w:lineRule="auto"/>
        <w:rPr>
          <w:sz w:val="20"/>
          <w:szCs w:val="20"/>
          <w:color w:val="auto"/>
        </w:rPr>
      </w:pPr>
      <w:r>
        <w:rPr>
          <w:rFonts w:ascii="Arial" w:cs="Arial" w:eastAsia="Arial" w:hAnsi="Arial"/>
          <w:sz w:val="17"/>
          <w:szCs w:val="17"/>
          <w:color w:val="auto"/>
        </w:rPr>
        <w:t>In conjunction with financing obtained for specific projects or properties owned by entities in which we have an equity investment, we may provide industry standard indemnifications to the lender for loss, liability, or damage occurring as a result of our actions or the actions of the entity.</w:t>
      </w:r>
    </w:p>
    <w:p>
      <w:pPr>
        <w:spacing w:after="0" w:line="92"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Additionally, in 2017, we granted a hotel owner a one-time right, exercisable in 2022, to require us to purchase the leasehold interest in the land and hotel for $300 million in cash (the “put option”). If the owner exercises the put option, we have the option to purchase, at the same time the put transaction closes, the fee simple interest in the underlying land for an additional $200 million in cash (the “call option”). We also have the right to defer the closing on the put and call options, if exercised, to December 2024. We account for the put option as a guarantee and as of December 31, 2020, believe it is probable the hotel owner will exercise the put option and we will exercise the call option.</w:t>
      </w:r>
    </w:p>
    <w:p>
      <w:pPr>
        <w:spacing w:after="0" w:line="122" w:lineRule="exact"/>
        <w:rPr>
          <w:sz w:val="20"/>
          <w:szCs w:val="20"/>
          <w:color w:val="auto"/>
        </w:rPr>
      </w:pPr>
    </w:p>
    <w:p>
      <w:pPr>
        <w:ind w:right="1380" w:firstLine="445"/>
        <w:spacing w:after="0" w:line="438" w:lineRule="auto"/>
        <w:rPr>
          <w:sz w:val="20"/>
          <w:szCs w:val="20"/>
          <w:color w:val="auto"/>
        </w:rPr>
      </w:pPr>
      <w:r>
        <w:rPr>
          <w:rFonts w:ascii="Arial" w:cs="Arial" w:eastAsia="Arial" w:hAnsi="Arial"/>
          <w:sz w:val="18"/>
          <w:szCs w:val="18"/>
          <w:color w:val="auto"/>
        </w:rPr>
        <w:t xml:space="preserve">For further information, including the nature of the commitments and their expirations, see the “Commitments” caption in Note 8. </w:t>
      </w:r>
      <w:r>
        <w:rPr>
          <w:rFonts w:ascii="Arial" w:cs="Arial" w:eastAsia="Arial" w:hAnsi="Arial"/>
          <w:sz w:val="18"/>
          <w:szCs w:val="18"/>
          <w:b w:val="1"/>
          <w:bCs w:val="1"/>
          <w:color w:val="auto"/>
        </w:rPr>
        <w:t>Letters of Credit</w:t>
      </w:r>
    </w:p>
    <w:p>
      <w:pPr>
        <w:spacing w:after="0" w:line="1" w:lineRule="exact"/>
        <w:rPr>
          <w:sz w:val="20"/>
          <w:szCs w:val="20"/>
          <w:color w:val="auto"/>
        </w:rPr>
      </w:pPr>
    </w:p>
    <w:p>
      <w:pPr>
        <w:jc w:val="both"/>
        <w:ind w:right="60" w:firstLine="445"/>
        <w:spacing w:after="0" w:line="263" w:lineRule="auto"/>
        <w:rPr>
          <w:sz w:val="20"/>
          <w:szCs w:val="20"/>
          <w:color w:val="auto"/>
        </w:rPr>
      </w:pPr>
      <w:r>
        <w:rPr>
          <w:rFonts w:ascii="Arial" w:cs="Arial" w:eastAsia="Arial" w:hAnsi="Arial"/>
          <w:sz w:val="18"/>
          <w:szCs w:val="18"/>
          <w:color w:val="auto"/>
        </w:rPr>
        <w:t>At year-end 2020, we had $156 million of letters of credit outstanding (all outside the Credit Facility, as defined in Note 10), most of which were for our self-insurance programs. Surety bonds issued as of year-end 2020 totaled $163 million, most of which state governments requested in connection with our self-insurance programs.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Our preparation of financial statements in accordance with GAAP requires management to make estimates and assumptions that affect reported amounts and related disclosures. Management considers an accounting policy and estimate to be critical if: (1) we must make assumptions that were uncertain when the estimate was made; and (2) changes in the estimate, or selection of a different estimate methodology could have a material effect on our consolidated results of operations or financial condition. Management has discussed the development and selection of its critical accounting policies and estimates with the Audit Committee of our Board of Directors.</w:t>
      </w:r>
    </w:p>
    <w:p>
      <w:pPr>
        <w:spacing w:after="0" w:line="134"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While we believe that our estimates, assumptions, and judgments are reasonable, they are based on information available when the estimate or assumption was made. Actual results may differ significantly. Additionally, changes in our assumptions, estimates or assessments due to unforeseen events or otherwise could have a material impact on our financial position or results of operations.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2 for further information related to our critical accounting policies and estimates, which are as follows:</w:t>
      </w:r>
    </w:p>
    <w:p>
      <w:pPr>
        <w:spacing w:after="0" w:line="171" w:lineRule="exact"/>
        <w:rPr>
          <w:sz w:val="20"/>
          <w:szCs w:val="20"/>
          <w:color w:val="auto"/>
        </w:rPr>
      </w:pPr>
    </w:p>
    <w:p>
      <w:pPr>
        <w:ind w:left="660"/>
        <w:spacing w:after="0" w:line="311" w:lineRule="auto"/>
        <w:rPr>
          <w:sz w:val="20"/>
          <w:szCs w:val="20"/>
          <w:color w:val="auto"/>
        </w:rPr>
      </w:pPr>
      <w:r>
        <w:rPr>
          <w:rFonts w:ascii="Arial" w:cs="Arial" w:eastAsia="Arial" w:hAnsi="Arial"/>
          <w:sz w:val="16"/>
          <w:szCs w:val="16"/>
          <w:i w:val="1"/>
          <w:iCs w:val="1"/>
          <w:color w:val="auto"/>
        </w:rPr>
        <w:t>Loyalty Program</w:t>
      </w:r>
      <w:r>
        <w:rPr>
          <w:rFonts w:ascii="Arial" w:cs="Arial" w:eastAsia="Arial" w:hAnsi="Arial"/>
          <w:sz w:val="16"/>
          <w:szCs w:val="16"/>
          <w:color w:val="auto"/>
        </w:rPr>
        <w:t>, including how we estimate the breakage of hotel points, credit card points, and free night certificates, the volume of points and</w:t>
      </w:r>
      <w:r>
        <w:rPr>
          <w:rFonts w:ascii="Arial" w:cs="Arial" w:eastAsia="Arial" w:hAnsi="Arial"/>
          <w:sz w:val="16"/>
          <w:szCs w:val="16"/>
          <w:i w:val="1"/>
          <w:iCs w:val="1"/>
          <w:color w:val="auto"/>
        </w:rPr>
        <w:t xml:space="preserve"> </w:t>
      </w:r>
      <w:r>
        <w:rPr>
          <w:rFonts w:ascii="Arial" w:cs="Arial" w:eastAsia="Arial" w:hAnsi="Arial"/>
          <w:sz w:val="16"/>
          <w:szCs w:val="16"/>
          <w:color w:val="auto"/>
        </w:rPr>
        <w:t>free night certificates that will be issued under our co-brand credit card agreements, the amount of consideration to which we will be entitled under our co-brand credit card agreements, and the stand-alone selling prices of goods and services provided under our co-brand credit card agreements;</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 including how we evaluate the fair value of reporting units and when we record an impairment loss on goodwill;</w:t>
      </w:r>
    </w:p>
    <w:p>
      <w:pPr>
        <w:spacing w:after="0" w:line="17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i w:val="1"/>
          <w:iCs w:val="1"/>
          <w:color w:val="auto"/>
        </w:rPr>
        <w:t>Intangibles and Long-Lived Assets</w:t>
      </w:r>
      <w:r>
        <w:rPr>
          <w:rFonts w:ascii="Arial" w:cs="Arial" w:eastAsia="Arial" w:hAnsi="Arial"/>
          <w:sz w:val="18"/>
          <w:szCs w:val="18"/>
          <w:color w:val="auto"/>
        </w:rPr>
        <w:t>, including how we evaluate the fair value of intangibles and long-lived assets and when we record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losses on intangibles and long-lived assets;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Investments</w:t>
      </w:r>
      <w:r>
        <w:rPr>
          <w:rFonts w:ascii="Arial" w:cs="Arial" w:eastAsia="Arial" w:hAnsi="Arial"/>
          <w:sz w:val="16"/>
          <w:szCs w:val="16"/>
          <w:color w:val="auto"/>
        </w:rPr>
        <w:t>, including information on how we evaluate the fair value of investments and when we record impairment losses on investments; and</w:t>
      </w:r>
    </w:p>
    <w:p>
      <w:pPr>
        <w:spacing w:after="0" w:line="194"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i w:val="1"/>
          <w:iCs w:val="1"/>
          <w:color w:val="auto"/>
        </w:rPr>
        <w:t>Business Combinations</w:t>
      </w:r>
      <w:r>
        <w:rPr>
          <w:rFonts w:ascii="Arial" w:cs="Arial" w:eastAsia="Arial" w:hAnsi="Arial"/>
          <w:sz w:val="18"/>
          <w:szCs w:val="18"/>
          <w:color w:val="auto"/>
        </w:rPr>
        <w:t>, including the assumptions that we make to estimate the fair values of assets acquired and liabilities assumed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 rates, royalty rates, and the amount and timing of future cash flows.</w:t>
      </w:r>
    </w:p>
    <w:p>
      <w:pPr>
        <w:spacing w:after="0" w:line="20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75" w:lineRule="exact"/>
        <w:rPr>
          <w:sz w:val="20"/>
          <w:szCs w:val="20"/>
          <w:color w:val="auto"/>
        </w:rPr>
      </w:pPr>
    </w:p>
    <w:p>
      <w:pPr>
        <w:ind w:right="180" w:firstLine="445"/>
        <w:spacing w:after="0" w:line="259" w:lineRule="auto"/>
        <w:rPr>
          <w:sz w:val="20"/>
          <w:szCs w:val="20"/>
          <w:color w:val="auto"/>
        </w:rPr>
      </w:pPr>
      <w:r>
        <w:rPr>
          <w:rFonts w:ascii="Arial" w:cs="Arial" w:eastAsia="Arial" w:hAnsi="Arial"/>
          <w:sz w:val="18"/>
          <w:szCs w:val="18"/>
          <w:color w:val="auto"/>
        </w:rPr>
        <w:t>We are exposed to market risk from changes in interest rates, stock prices, currency exchange rates, and debt prices. We manage our exposure to these risks by monitoring available financing alternatives, through development and application of credit granting policies and by entering into derivative arrangements. We do not foresee any significant changes in either our exposure to fluctuations in interest rates or currency rates or how we manage such exposure in the future.</w:t>
      </w:r>
    </w:p>
    <w:p>
      <w:pPr>
        <w:spacing w:after="0" w:line="133"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We are exposed to interest rate risk on our floating-rate notes receivable and floating-rate debt. Changes in interest rates also impact the fair value of our fixed-rate notes receivable and the fair value of our fixed-rate long-term debt.</w:t>
      </w:r>
    </w:p>
    <w:p>
      <w:pPr>
        <w:spacing w:after="0" w:line="116"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We are also subject to risk from changes in debt prices from our investments in debt securities and fluctuations in stock price from our investments in publicly traded companies. Changes in the price of the underlying stock can impact the fair value of our investment.</w:t>
      </w:r>
    </w:p>
    <w:p>
      <w:pPr>
        <w:spacing w:after="0" w:line="116" w:lineRule="exact"/>
        <w:rPr>
          <w:sz w:val="20"/>
          <w:szCs w:val="20"/>
          <w:color w:val="auto"/>
        </w:rPr>
      </w:pPr>
    </w:p>
    <w:p>
      <w:pPr>
        <w:ind w:right="360" w:firstLine="445"/>
        <w:spacing w:after="0" w:line="279" w:lineRule="auto"/>
        <w:rPr>
          <w:sz w:val="20"/>
          <w:szCs w:val="20"/>
          <w:color w:val="auto"/>
        </w:rPr>
      </w:pPr>
      <w:r>
        <w:rPr>
          <w:rFonts w:ascii="Arial" w:cs="Arial" w:eastAsia="Arial" w:hAnsi="Arial"/>
          <w:sz w:val="17"/>
          <w:szCs w:val="17"/>
          <w:color w:val="auto"/>
        </w:rPr>
        <w:t>We use derivative instruments, including cash flow hedges, fair value hedges, net investment in non-U.S. operations hedges, and other derivative instruments, as part of our overall strategy to manage our exposure to market risks associated with fluctuations in interest rates and currency exchange rates. As a matter of policy, we only enter into transactions that we believe will be highly effective at offsetting the underlying risk, and we do not use derivatives for trading or speculative purposes. See Note 2 for more information on derivative instruments.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The following table sets forth the scheduled maturities and the total fair value as of year-end 2020 for our financial instruments that are impacted by market risks:</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7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Maturities by Period</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3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There-</w:t>
            </w:r>
          </w:p>
        </w:tc>
        <w:tc>
          <w:tcPr>
            <w:tcW w:w="1040" w:type="dxa"/>
            <w:vAlign w:val="bottom"/>
            <w:gridSpan w:val="2"/>
          </w:tcPr>
          <w:p>
            <w:pPr>
              <w:jc w:val="center"/>
              <w:ind w:right="100"/>
              <w:spacing w:after="0" w:line="122" w:lineRule="exact"/>
              <w:rPr>
                <w:sz w:val="20"/>
                <w:szCs w:val="20"/>
                <w:color w:val="auto"/>
              </w:rPr>
            </w:pPr>
            <w:r>
              <w:rPr>
                <w:rFonts w:ascii="Arial" w:cs="Arial" w:eastAsia="Arial" w:hAnsi="Arial"/>
                <w:sz w:val="14"/>
                <w:szCs w:val="14"/>
                <w:b w:val="1"/>
                <w:bCs w:val="1"/>
                <w:color w:val="auto"/>
                <w:w w:val="89"/>
              </w:rPr>
              <w:t>Total</w:t>
            </w:r>
          </w:p>
        </w:tc>
        <w:tc>
          <w:tcPr>
            <w:tcW w:w="840" w:type="dxa"/>
            <w:vAlign w:val="bottom"/>
          </w:tcPr>
          <w:p>
            <w:pPr>
              <w:jc w:val="center"/>
              <w:spacing w:after="0" w:line="122"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720" w:type="dxa"/>
            <w:vAlign w:val="bottom"/>
            <w:vMerge w:val="restart"/>
          </w:tcPr>
          <w:p>
            <w:pPr>
              <w:spacing w:after="0"/>
              <w:rPr>
                <w:sz w:val="20"/>
                <w:szCs w:val="20"/>
                <w:color w:val="auto"/>
              </w:rPr>
            </w:pPr>
            <w:r>
              <w:rPr>
                <w:rFonts w:ascii="Arial" w:cs="Arial" w:eastAsia="Arial" w:hAnsi="Arial"/>
                <w:sz w:val="14"/>
                <w:szCs w:val="14"/>
                <w:i w:val="1"/>
                <w:iCs w:val="1"/>
                <w:color w:val="auto"/>
              </w:rPr>
              <w:t>($ in millions)</w:t>
            </w:r>
          </w:p>
        </w:tc>
        <w:tc>
          <w:tcPr>
            <w:tcW w:w="8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8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1"/>
                <w:szCs w:val="11"/>
                <w:color w:val="auto"/>
              </w:rPr>
            </w:pPr>
          </w:p>
        </w:tc>
        <w:tc>
          <w:tcPr>
            <w:tcW w:w="8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8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1"/>
                <w:szCs w:val="11"/>
                <w:color w:val="auto"/>
              </w:rPr>
            </w:pPr>
          </w:p>
        </w:tc>
        <w:tc>
          <w:tcPr>
            <w:tcW w:w="8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Carrying</w:t>
            </w: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8"/>
        </w:trPr>
        <w:tc>
          <w:tcPr>
            <w:tcW w:w="3720" w:type="dxa"/>
            <w:vAlign w:val="bottom"/>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after</w:t>
            </w:r>
          </w:p>
        </w:tc>
        <w:tc>
          <w:tcPr>
            <w:tcW w:w="12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3003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300355"/>
                    </a:xfrm>
                    <a:prstGeom prst="rect">
                      <a:avLst/>
                    </a:prstGeom>
                    <a:noFill/>
                  </pic:spPr>
                </pic:pic>
              </a:graphicData>
            </a:graphic>
          </wp:anchor>
        </w:drawing>
      </w:r>
    </w:p>
    <w:p>
      <w:pPr>
        <w:spacing w:after="0" w:line="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Assets </w:t>
      </w:r>
      <w:r>
        <w:rPr>
          <w:rFonts w:ascii="Arial" w:cs="Arial" w:eastAsia="Arial" w:hAnsi="Arial"/>
          <w:sz w:val="14"/>
          <w:szCs w:val="14"/>
          <w:color w:val="auto"/>
        </w:rPr>
        <w:t>- Maturities represent expected principal receipts, fair values represent assets.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60" w:type="dxa"/>
            <w:vAlign w:val="bottom"/>
          </w:tcPr>
          <w:p>
            <w:pPr>
              <w:ind w:left="20"/>
              <w:spacing w:after="0"/>
              <w:rPr>
                <w:sz w:val="20"/>
                <w:szCs w:val="20"/>
                <w:color w:val="auto"/>
              </w:rPr>
            </w:pPr>
            <w:r>
              <w:rPr>
                <w:rFonts w:ascii="Arial" w:cs="Arial" w:eastAsia="Arial" w:hAnsi="Arial"/>
                <w:sz w:val="14"/>
                <w:szCs w:val="14"/>
                <w:color w:val="auto"/>
              </w:rPr>
              <w:t>Fixed-rate notes receivable</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42</w:t>
            </w:r>
          </w:p>
        </w:tc>
        <w:tc>
          <w:tcPr>
            <w:tcW w:w="5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95"/>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Average interest rate</w:t>
            </w:r>
          </w:p>
        </w:tc>
        <w:tc>
          <w:tcPr>
            <w:tcW w:w="13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0.83</w:t>
            </w:r>
          </w:p>
        </w:tc>
        <w:tc>
          <w:tcPr>
            <w:tcW w:w="5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w w:val="96"/>
              </w:rPr>
              <w:t>%</w:t>
            </w:r>
          </w:p>
        </w:tc>
        <w:tc>
          <w:tcPr>
            <w:tcW w:w="520" w:type="dxa"/>
            <w:vAlign w:val="bottom"/>
            <w:shd w:val="clear" w:color="auto" w:fill="CCEEFF"/>
          </w:tcPr>
          <w:p>
            <w:pPr>
              <w:spacing w:after="0"/>
              <w:rPr>
                <w:sz w:val="16"/>
                <w:szCs w:val="16"/>
                <w:color w:val="auto"/>
              </w:rPr>
            </w:pPr>
          </w:p>
        </w:tc>
      </w:tr>
      <w:tr>
        <w:trPr>
          <w:trHeight w:val="186"/>
        </w:trPr>
        <w:tc>
          <w:tcPr>
            <w:tcW w:w="2760" w:type="dxa"/>
            <w:vAlign w:val="bottom"/>
          </w:tcPr>
          <w:p>
            <w:pPr>
              <w:ind w:left="20"/>
              <w:spacing w:after="0"/>
              <w:rPr>
                <w:sz w:val="20"/>
                <w:szCs w:val="20"/>
                <w:color w:val="auto"/>
              </w:rPr>
            </w:pPr>
            <w:r>
              <w:rPr>
                <w:rFonts w:ascii="Arial" w:cs="Arial" w:eastAsia="Arial" w:hAnsi="Arial"/>
                <w:sz w:val="14"/>
                <w:szCs w:val="14"/>
                <w:color w:val="auto"/>
              </w:rPr>
              <w:t>Floating-rate notes receivable</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83</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121</w:t>
            </w:r>
          </w:p>
        </w:tc>
        <w:tc>
          <w:tcPr>
            <w:tcW w:w="5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192"/>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Average interest rate</w:t>
            </w:r>
          </w:p>
        </w:tc>
        <w:tc>
          <w:tcPr>
            <w:tcW w:w="13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5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w w:val="96"/>
              </w:rPr>
              <w:t>%</w:t>
            </w:r>
          </w:p>
        </w:tc>
        <w:tc>
          <w:tcPr>
            <w:tcW w:w="520" w:type="dxa"/>
            <w:vAlign w:val="bottom"/>
            <w:shd w:val="clear" w:color="auto" w:fill="CCEEFF"/>
          </w:tcPr>
          <w:p>
            <w:pPr>
              <w:spacing w:after="0"/>
              <w:rPr>
                <w:sz w:val="16"/>
                <w:szCs w:val="16"/>
                <w:color w:val="auto"/>
              </w:rPr>
            </w:pPr>
          </w:p>
        </w:tc>
      </w:tr>
    </w:tbl>
    <w:p>
      <w:pPr>
        <w:spacing w:after="0" w:line="1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Liabilities </w:t>
      </w:r>
      <w:r>
        <w:rPr>
          <w:rFonts w:ascii="Arial" w:cs="Arial" w:eastAsia="Arial" w:hAnsi="Arial"/>
          <w:sz w:val="14"/>
          <w:szCs w:val="14"/>
          <w:color w:val="auto"/>
        </w:rPr>
        <w:t>- Maturities represent expected principal payments, fair values represent liabilities.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Fixed-rate debt</w:t>
            </w:r>
          </w:p>
        </w:tc>
        <w:tc>
          <w:tcPr>
            <w:tcW w:w="15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(849)</w:t>
            </w:r>
          </w:p>
        </w:tc>
        <w:tc>
          <w:tcPr>
            <w:tcW w:w="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(572)</w:t>
            </w:r>
          </w:p>
        </w:tc>
        <w:tc>
          <w:tcPr>
            <w:tcW w:w="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(674)</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(2,293)</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(3,804)</w:t>
            </w:r>
          </w:p>
        </w:tc>
        <w:tc>
          <w:tcPr>
            <w:tcW w:w="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(8,192)</w:t>
            </w: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(9,100)</w:t>
            </w: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Average interest rate</w:t>
            </w:r>
          </w:p>
        </w:tc>
        <w:tc>
          <w:tcPr>
            <w:tcW w:w="1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4.06</w:t>
            </w:r>
          </w:p>
        </w:tc>
        <w:tc>
          <w:tcPr>
            <w:tcW w:w="480" w:type="dxa"/>
            <w:vAlign w:val="bottom"/>
          </w:tcPr>
          <w:p>
            <w:pPr>
              <w:jc w:val="right"/>
              <w:ind w:right="288"/>
              <w:spacing w:after="0"/>
              <w:rPr>
                <w:sz w:val="20"/>
                <w:szCs w:val="20"/>
                <w:color w:val="auto"/>
              </w:rPr>
            </w:pPr>
            <w:r>
              <w:rPr>
                <w:rFonts w:ascii="Arial" w:cs="Arial" w:eastAsia="Arial" w:hAnsi="Arial"/>
                <w:sz w:val="14"/>
                <w:szCs w:val="14"/>
                <w:color w:val="auto"/>
                <w:w w:val="79"/>
              </w:rPr>
              <w:t>%</w:t>
            </w:r>
          </w:p>
        </w:tc>
        <w:tc>
          <w:tcPr>
            <w:tcW w:w="600" w:type="dxa"/>
            <w:vAlign w:val="bottom"/>
          </w:tcPr>
          <w:p>
            <w:pPr>
              <w:spacing w:after="0"/>
              <w:rPr>
                <w:sz w:val="16"/>
                <w:szCs w:val="16"/>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Floating-rate debt</w:t>
            </w:r>
          </w:p>
        </w:tc>
        <w:tc>
          <w:tcPr>
            <w:tcW w:w="15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(317)</w:t>
            </w:r>
          </w:p>
        </w:tc>
        <w:tc>
          <w:tcPr>
            <w:tcW w:w="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(228)</w:t>
            </w:r>
          </w:p>
        </w:tc>
        <w:tc>
          <w:tcPr>
            <w:tcW w:w="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(1,486)</w:t>
            </w:r>
          </w:p>
        </w:tc>
        <w:tc>
          <w:tcPr>
            <w:tcW w:w="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w:t>
            </w: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w:t>
            </w:r>
          </w:p>
        </w:tc>
      </w:tr>
      <w:tr>
        <w:trPr>
          <w:trHeight w:val="182"/>
        </w:trPr>
        <w:tc>
          <w:tcPr>
            <w:tcW w:w="2480" w:type="dxa"/>
            <w:vAlign w:val="bottom"/>
          </w:tcPr>
          <w:p>
            <w:pPr>
              <w:ind w:left="20"/>
              <w:spacing w:after="0"/>
              <w:rPr>
                <w:sz w:val="20"/>
                <w:szCs w:val="20"/>
                <w:color w:val="auto"/>
              </w:rPr>
            </w:pPr>
            <w:r>
              <w:rPr>
                <w:rFonts w:ascii="Arial" w:cs="Arial" w:eastAsia="Arial" w:hAnsi="Arial"/>
                <w:sz w:val="14"/>
                <w:szCs w:val="14"/>
                <w:color w:val="auto"/>
              </w:rPr>
              <w:t>Average interest rate</w:t>
            </w: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1.63</w:t>
            </w:r>
          </w:p>
        </w:tc>
        <w:tc>
          <w:tcPr>
            <w:tcW w:w="480" w:type="dxa"/>
            <w:vAlign w:val="bottom"/>
          </w:tcPr>
          <w:p>
            <w:pPr>
              <w:jc w:val="right"/>
              <w:ind w:right="288"/>
              <w:spacing w:after="0"/>
              <w:rPr>
                <w:sz w:val="20"/>
                <w:szCs w:val="20"/>
                <w:color w:val="auto"/>
              </w:rPr>
            </w:pPr>
            <w:r>
              <w:rPr>
                <w:rFonts w:ascii="Arial" w:cs="Arial" w:eastAsia="Arial" w:hAnsi="Arial"/>
                <w:sz w:val="14"/>
                <w:szCs w:val="14"/>
                <w:color w:val="auto"/>
                <w:w w:val="79"/>
              </w:rPr>
              <w:t>%</w:t>
            </w:r>
          </w:p>
        </w:tc>
        <w:tc>
          <w:tcPr>
            <w:tcW w:w="6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0"/>
        </w:trPr>
        <w:tc>
          <w:tcPr>
            <w:tcW w:w="9580" w:type="dxa"/>
            <w:vAlign w:val="bottom"/>
            <w:gridSpan w:val="3"/>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660" w:type="dxa"/>
            <w:vAlign w:val="bottom"/>
          </w:tcPr>
          <w:p>
            <w:pPr>
              <w:spacing w:after="0"/>
              <w:rPr>
                <w:sz w:val="20"/>
                <w:szCs w:val="20"/>
                <w:color w:val="auto"/>
              </w:rPr>
            </w:pPr>
          </w:p>
        </w:tc>
      </w:tr>
      <w:tr>
        <w:trPr>
          <w:trHeight w:val="769"/>
        </w:trPr>
        <w:tc>
          <w:tcPr>
            <w:tcW w:w="9580" w:type="dxa"/>
            <w:vAlign w:val="bottom"/>
            <w:gridSpan w:val="3"/>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660" w:type="dxa"/>
            <w:vAlign w:val="bottom"/>
          </w:tcPr>
          <w:p>
            <w:pPr>
              <w:spacing w:after="0"/>
              <w:rPr>
                <w:sz w:val="24"/>
                <w:szCs w:val="24"/>
                <w:color w:val="auto"/>
              </w:rPr>
            </w:pPr>
          </w:p>
        </w:tc>
      </w:tr>
      <w:tr>
        <w:trPr>
          <w:trHeight w:val="378"/>
        </w:trPr>
        <w:tc>
          <w:tcPr>
            <w:tcW w:w="9580" w:type="dxa"/>
            <w:vAlign w:val="bottom"/>
            <w:gridSpan w:val="3"/>
          </w:tcPr>
          <w:p>
            <w:pPr>
              <w:ind w:left="460"/>
              <w:spacing w:after="0"/>
              <w:rPr>
                <w:sz w:val="20"/>
                <w:szCs w:val="20"/>
                <w:color w:val="auto"/>
              </w:rPr>
            </w:pPr>
            <w:r>
              <w:rPr>
                <w:rFonts w:ascii="Arial" w:cs="Arial" w:eastAsia="Arial" w:hAnsi="Arial"/>
                <w:sz w:val="18"/>
                <w:szCs w:val="18"/>
                <w:color w:val="auto"/>
              </w:rPr>
              <w:t>The following financial information is included on the pages indicated:</w:t>
            </w:r>
          </w:p>
        </w:tc>
        <w:tc>
          <w:tcPr>
            <w:tcW w:w="660" w:type="dxa"/>
            <w:vAlign w:val="bottom"/>
          </w:tcPr>
          <w:p>
            <w:pPr>
              <w:spacing w:after="0"/>
              <w:rPr>
                <w:sz w:val="24"/>
                <w:szCs w:val="24"/>
                <w:color w:val="auto"/>
              </w:rPr>
            </w:pPr>
          </w:p>
        </w:tc>
      </w:tr>
      <w:tr>
        <w:trPr>
          <w:trHeight w:val="540"/>
        </w:trPr>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Page</w:t>
            </w:r>
          </w:p>
        </w:tc>
      </w:tr>
      <w:tr>
        <w:trPr>
          <w:trHeight w:val="237"/>
        </w:trPr>
        <w:tc>
          <w:tcPr>
            <w:tcW w:w="9580" w:type="dxa"/>
            <w:vAlign w:val="bottom"/>
            <w:gridSpan w:val="3"/>
          </w:tcPr>
          <w:p>
            <w:pPr>
              <w:ind w:left="104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Management’s Report on Internal Control Over Financial Reporting</w:t>
              </w:r>
            </w:hyperlink>
          </w:p>
        </w:tc>
        <w:tc>
          <w:tcPr>
            <w:tcW w:w="66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40</w:t>
              </w:r>
            </w:hyperlink>
          </w:p>
        </w:tc>
      </w:tr>
      <w:tr>
        <w:trPr>
          <w:trHeight w:val="311"/>
        </w:trPr>
        <w:tc>
          <w:tcPr>
            <w:tcW w:w="9580" w:type="dxa"/>
            <w:vAlign w:val="bottom"/>
            <w:gridSpan w:val="3"/>
          </w:tcPr>
          <w:p>
            <w:pPr>
              <w:ind w:left="104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Report of Independent Registered Public Accounting Firm</w:t>
              </w:r>
            </w:hyperlink>
          </w:p>
        </w:tc>
        <w:tc>
          <w:tcPr>
            <w:tcW w:w="66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41</w:t>
              </w:r>
            </w:hyperlink>
          </w:p>
        </w:tc>
      </w:tr>
      <w:tr>
        <w:trPr>
          <w:trHeight w:val="310"/>
        </w:trPr>
        <w:tc>
          <w:tcPr>
            <w:tcW w:w="9580" w:type="dxa"/>
            <w:vAlign w:val="bottom"/>
            <w:gridSpan w:val="3"/>
          </w:tcPr>
          <w:p>
            <w:pPr>
              <w:ind w:left="104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Report of Independent Registered Public Accounting Firm</w:t>
              </w:r>
            </w:hyperlink>
          </w:p>
        </w:tc>
        <w:tc>
          <w:tcPr>
            <w:tcW w:w="66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42</w:t>
              </w:r>
            </w:hyperlink>
          </w:p>
        </w:tc>
      </w:tr>
      <w:tr>
        <w:trPr>
          <w:trHeight w:val="311"/>
        </w:trPr>
        <w:tc>
          <w:tcPr>
            <w:tcW w:w="9580" w:type="dxa"/>
            <w:vAlign w:val="bottom"/>
            <w:gridSpan w:val="3"/>
          </w:tcPr>
          <w:p>
            <w:pPr>
              <w:ind w:left="104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Consolidated Statements of (Loss) Income</w:t>
              </w:r>
            </w:hyperlink>
          </w:p>
        </w:tc>
        <w:tc>
          <w:tcPr>
            <w:tcW w:w="660" w:type="dxa"/>
            <w:vAlign w:val="bottom"/>
          </w:tcPr>
          <w:p>
            <w:pPr>
              <w:jc w:val="right"/>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46</w:t>
              </w:r>
            </w:hyperlink>
          </w:p>
        </w:tc>
      </w:tr>
      <w:tr>
        <w:trPr>
          <w:trHeight w:val="311"/>
        </w:trPr>
        <w:tc>
          <w:tcPr>
            <w:tcW w:w="9580" w:type="dxa"/>
            <w:vAlign w:val="bottom"/>
            <w:gridSpan w:val="3"/>
          </w:tcPr>
          <w:p>
            <w:pPr>
              <w:ind w:left="104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Consolidated Statements of Comprehensive (Loss) Income</w:t>
              </w:r>
            </w:hyperlink>
          </w:p>
        </w:tc>
        <w:tc>
          <w:tcPr>
            <w:tcW w:w="66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47</w:t>
              </w:r>
            </w:hyperlink>
          </w:p>
        </w:tc>
      </w:tr>
      <w:tr>
        <w:trPr>
          <w:trHeight w:val="310"/>
        </w:trPr>
        <w:tc>
          <w:tcPr>
            <w:tcW w:w="9580" w:type="dxa"/>
            <w:vAlign w:val="bottom"/>
            <w:gridSpan w:val="3"/>
          </w:tcPr>
          <w:p>
            <w:pPr>
              <w:ind w:left="104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Consolidated Balance Sheets</w:t>
              </w:r>
            </w:hyperlink>
          </w:p>
        </w:tc>
        <w:tc>
          <w:tcPr>
            <w:tcW w:w="660" w:type="dxa"/>
            <w:vAlign w:val="bottom"/>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48</w:t>
              </w:r>
            </w:hyperlink>
          </w:p>
        </w:tc>
      </w:tr>
      <w:tr>
        <w:trPr>
          <w:trHeight w:val="311"/>
        </w:trPr>
        <w:tc>
          <w:tcPr>
            <w:tcW w:w="9580" w:type="dxa"/>
            <w:vAlign w:val="bottom"/>
            <w:gridSpan w:val="3"/>
          </w:tcPr>
          <w:p>
            <w:pPr>
              <w:ind w:left="104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Consolidated Statements of Cash Flows</w:t>
              </w:r>
            </w:hyperlink>
          </w:p>
        </w:tc>
        <w:tc>
          <w:tcPr>
            <w:tcW w:w="660" w:type="dxa"/>
            <w:vAlign w:val="bottom"/>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49</w:t>
              </w:r>
            </w:hyperlink>
          </w:p>
        </w:tc>
      </w:tr>
      <w:tr>
        <w:trPr>
          <w:trHeight w:val="310"/>
        </w:trPr>
        <w:tc>
          <w:tcPr>
            <w:tcW w:w="9580" w:type="dxa"/>
            <w:vAlign w:val="bottom"/>
            <w:gridSpan w:val="3"/>
          </w:tcPr>
          <w:p>
            <w:pPr>
              <w:ind w:left="104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Consolidated Statements of Stockholders’ Equity</w:t>
              </w:r>
            </w:hyperlink>
          </w:p>
        </w:tc>
        <w:tc>
          <w:tcPr>
            <w:tcW w:w="66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50</w:t>
              </w:r>
            </w:hyperlink>
          </w:p>
        </w:tc>
      </w:tr>
      <w:tr>
        <w:trPr>
          <w:trHeight w:val="311"/>
        </w:trPr>
        <w:tc>
          <w:tcPr>
            <w:tcW w:w="9580" w:type="dxa"/>
            <w:vAlign w:val="bottom"/>
            <w:gridSpan w:val="3"/>
          </w:tcPr>
          <w:p>
            <w:pPr>
              <w:ind w:left="104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Notes to Consolidated Financial Statements</w:t>
              </w:r>
            </w:hyperlink>
          </w:p>
        </w:tc>
        <w:tc>
          <w:tcPr>
            <w:tcW w:w="660" w:type="dxa"/>
            <w:vAlign w:val="bottom"/>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51</w:t>
              </w:r>
            </w:hyperlink>
          </w:p>
        </w:tc>
      </w:tr>
      <w:tr>
        <w:trPr>
          <w:trHeight w:val="256"/>
        </w:trPr>
        <w:tc>
          <w:tcPr>
            <w:tcW w:w="1360" w:type="dxa"/>
            <w:vAlign w:val="bottom"/>
          </w:tcPr>
          <w:p>
            <w:pPr>
              <w:spacing w:after="0"/>
              <w:rPr>
                <w:sz w:val="22"/>
                <w:szCs w:val="22"/>
                <w:color w:val="auto"/>
              </w:rPr>
            </w:pPr>
          </w:p>
        </w:tc>
        <w:tc>
          <w:tcPr>
            <w:tcW w:w="8220" w:type="dxa"/>
            <w:vAlign w:val="bottom"/>
            <w:gridSpan w:val="2"/>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Basis of Presentation</w:t>
              </w:r>
            </w:hyperlink>
          </w:p>
        </w:tc>
        <w:tc>
          <w:tcPr>
            <w:tcW w:w="66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51</w:t>
              </w:r>
            </w:hyperlink>
          </w:p>
        </w:tc>
      </w:tr>
      <w:tr>
        <w:trPr>
          <w:trHeight w:val="256"/>
        </w:trPr>
        <w:tc>
          <w:tcPr>
            <w:tcW w:w="1360" w:type="dxa"/>
            <w:vAlign w:val="bottom"/>
          </w:tcPr>
          <w:p>
            <w:pPr>
              <w:spacing w:after="0"/>
              <w:rPr>
                <w:sz w:val="22"/>
                <w:szCs w:val="22"/>
                <w:color w:val="auto"/>
              </w:rPr>
            </w:pPr>
          </w:p>
        </w:tc>
        <w:tc>
          <w:tcPr>
            <w:tcW w:w="8220" w:type="dxa"/>
            <w:vAlign w:val="bottom"/>
            <w:gridSpan w:val="2"/>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Summary of Significant Accounting Policies</w:t>
              </w:r>
            </w:hyperlink>
          </w:p>
        </w:tc>
        <w:tc>
          <w:tcPr>
            <w:tcW w:w="66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51</w:t>
              </w:r>
            </w:hyperlink>
          </w:p>
        </w:tc>
      </w:tr>
      <w:tr>
        <w:trPr>
          <w:trHeight w:val="257"/>
        </w:trPr>
        <w:tc>
          <w:tcPr>
            <w:tcW w:w="1360" w:type="dxa"/>
            <w:vAlign w:val="bottom"/>
          </w:tcPr>
          <w:p>
            <w:pPr>
              <w:spacing w:after="0"/>
              <w:rPr>
                <w:sz w:val="22"/>
                <w:szCs w:val="22"/>
                <w:color w:val="auto"/>
              </w:rPr>
            </w:pPr>
          </w:p>
        </w:tc>
        <w:tc>
          <w:tcPr>
            <w:tcW w:w="8220" w:type="dxa"/>
            <w:vAlign w:val="bottom"/>
            <w:gridSpan w:val="2"/>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Restructuring Charges</w:t>
              </w:r>
            </w:hyperlink>
          </w:p>
        </w:tc>
        <w:tc>
          <w:tcPr>
            <w:tcW w:w="660" w:type="dxa"/>
            <w:vAlign w:val="bottom"/>
          </w:tcPr>
          <w:p>
            <w:pPr>
              <w:jc w:val="right"/>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59</w:t>
              </w:r>
            </w:hyperlink>
          </w:p>
        </w:tc>
      </w:tr>
      <w:tr>
        <w:trPr>
          <w:trHeight w:val="257"/>
        </w:trPr>
        <w:tc>
          <w:tcPr>
            <w:tcW w:w="1360" w:type="dxa"/>
            <w:vAlign w:val="bottom"/>
          </w:tcPr>
          <w:p>
            <w:pPr>
              <w:spacing w:after="0"/>
              <w:rPr>
                <w:sz w:val="22"/>
                <w:szCs w:val="22"/>
                <w:color w:val="auto"/>
              </w:rPr>
            </w:pPr>
          </w:p>
        </w:tc>
        <w:tc>
          <w:tcPr>
            <w:tcW w:w="8220" w:type="dxa"/>
            <w:vAlign w:val="bottom"/>
            <w:gridSpan w:val="2"/>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Dispositions and Acquisitions</w:t>
              </w:r>
            </w:hyperlink>
          </w:p>
        </w:tc>
        <w:tc>
          <w:tcPr>
            <w:tcW w:w="660" w:type="dxa"/>
            <w:vAlign w:val="bottom"/>
          </w:tcPr>
          <w:p>
            <w:pPr>
              <w:jc w:val="right"/>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59</w:t>
              </w:r>
            </w:hyperlink>
          </w:p>
        </w:tc>
      </w:tr>
      <w:tr>
        <w:trPr>
          <w:trHeight w:val="257"/>
        </w:trPr>
        <w:tc>
          <w:tcPr>
            <w:tcW w:w="1360" w:type="dxa"/>
            <w:vAlign w:val="bottom"/>
          </w:tcPr>
          <w:p>
            <w:pPr>
              <w:spacing w:after="0"/>
              <w:rPr>
                <w:sz w:val="22"/>
                <w:szCs w:val="22"/>
                <w:color w:val="auto"/>
              </w:rPr>
            </w:pPr>
          </w:p>
        </w:tc>
        <w:tc>
          <w:tcPr>
            <w:tcW w:w="8220" w:type="dxa"/>
            <w:vAlign w:val="bottom"/>
            <w:gridSpan w:val="2"/>
          </w:tcPr>
          <w:p>
            <w:pPr>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Earnings Per Share</w:t>
              </w:r>
            </w:hyperlink>
          </w:p>
        </w:tc>
        <w:tc>
          <w:tcPr>
            <w:tcW w:w="660" w:type="dxa"/>
            <w:vAlign w:val="bottom"/>
          </w:tcPr>
          <w:p>
            <w:pPr>
              <w:jc w:val="right"/>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60</w:t>
              </w:r>
            </w:hyperlink>
          </w:p>
        </w:tc>
      </w:tr>
      <w:tr>
        <w:trPr>
          <w:trHeight w:val="190"/>
        </w:trPr>
        <w:tc>
          <w:tcPr>
            <w:tcW w:w="1360" w:type="dxa"/>
            <w:vAlign w:val="bottom"/>
          </w:tcPr>
          <w:p>
            <w:pPr>
              <w:spacing w:after="0"/>
              <w:rPr>
                <w:sz w:val="16"/>
                <w:szCs w:val="16"/>
                <w:color w:val="auto"/>
              </w:rPr>
            </w:pPr>
          </w:p>
        </w:tc>
        <w:tc>
          <w:tcPr>
            <w:tcW w:w="400" w:type="dxa"/>
            <w:vAlign w:val="bottom"/>
            <w:tcBorders>
              <w:bottom w:val="single" w:sz="8" w:color="0000FF"/>
            </w:tcBorders>
          </w:tcPr>
          <w:p>
            <w:pPr>
              <w:spacing w:after="0" w:line="170" w:lineRule="exact"/>
              <w:rPr>
                <w:rFonts w:ascii="Arial" w:cs="Arial" w:eastAsia="Arial" w:hAnsi="Arial"/>
                <w:sz w:val="18"/>
                <w:szCs w:val="18"/>
                <w:color w:val="0000FF"/>
                <w:w w:val="84"/>
              </w:rPr>
            </w:pPr>
            <w:hyperlink w:anchor="page60">
              <w:r>
                <w:rPr>
                  <w:rFonts w:ascii="Arial" w:cs="Arial" w:eastAsia="Arial" w:hAnsi="Arial"/>
                  <w:sz w:val="18"/>
                  <w:szCs w:val="18"/>
                  <w:color w:val="0000FF"/>
                  <w:w w:val="84"/>
                </w:rPr>
                <w:t>Stock</w:t>
              </w:r>
            </w:hyperlink>
          </w:p>
        </w:tc>
        <w:tc>
          <w:tcPr>
            <w:tcW w:w="7820" w:type="dxa"/>
            <w:vAlign w:val="bottom"/>
          </w:tcPr>
          <w:p>
            <w:pPr>
              <w:spacing w:after="0" w:line="183" w:lineRule="exact"/>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-Based Compensation</w:t>
              </w:r>
            </w:hyperlink>
          </w:p>
        </w:tc>
        <w:tc>
          <w:tcPr>
            <w:tcW w:w="660" w:type="dxa"/>
            <w:vAlign w:val="bottom"/>
          </w:tcPr>
          <w:p>
            <w:pPr>
              <w:jc w:val="right"/>
              <w:spacing w:after="0" w:line="183" w:lineRule="exact"/>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60</w:t>
              </w:r>
            </w:hyperlink>
          </w:p>
        </w:tc>
      </w:tr>
      <w:tr>
        <w:trPr>
          <w:trHeight w:val="303"/>
        </w:trPr>
        <w:tc>
          <w:tcPr>
            <w:tcW w:w="1360" w:type="dxa"/>
            <w:vAlign w:val="bottom"/>
          </w:tcPr>
          <w:p>
            <w:pPr>
              <w:spacing w:after="0"/>
              <w:rPr>
                <w:sz w:val="24"/>
                <w:szCs w:val="24"/>
                <w:color w:val="auto"/>
              </w:rPr>
            </w:pPr>
          </w:p>
        </w:tc>
        <w:tc>
          <w:tcPr>
            <w:tcW w:w="8220" w:type="dxa"/>
            <w:vAlign w:val="bottom"/>
            <w:gridSpan w:val="2"/>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Income Taxes</w:t>
              </w:r>
            </w:hyperlink>
          </w:p>
        </w:tc>
        <w:tc>
          <w:tcPr>
            <w:tcW w:w="660" w:type="dxa"/>
            <w:vAlign w:val="bottom"/>
          </w:tcPr>
          <w:p>
            <w:pPr>
              <w:jc w:val="right"/>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61</w:t>
              </w:r>
            </w:hyperlink>
          </w:p>
        </w:tc>
      </w:tr>
      <w:tr>
        <w:trPr>
          <w:trHeight w:val="257"/>
        </w:trPr>
        <w:tc>
          <w:tcPr>
            <w:tcW w:w="1360" w:type="dxa"/>
            <w:vAlign w:val="bottom"/>
          </w:tcPr>
          <w:p>
            <w:pPr>
              <w:spacing w:after="0"/>
              <w:rPr>
                <w:sz w:val="22"/>
                <w:szCs w:val="22"/>
                <w:color w:val="auto"/>
              </w:rPr>
            </w:pPr>
          </w:p>
        </w:tc>
        <w:tc>
          <w:tcPr>
            <w:tcW w:w="8220" w:type="dxa"/>
            <w:vAlign w:val="bottom"/>
            <w:gridSpan w:val="2"/>
          </w:tcPr>
          <w:p>
            <w:pPr>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Commitments and Contingencies</w:t>
              </w:r>
            </w:hyperlink>
          </w:p>
        </w:tc>
        <w:tc>
          <w:tcPr>
            <w:tcW w:w="660" w:type="dxa"/>
            <w:vAlign w:val="bottom"/>
          </w:tcPr>
          <w:p>
            <w:pPr>
              <w:jc w:val="right"/>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64</w:t>
              </w:r>
            </w:hyperlink>
          </w:p>
        </w:tc>
      </w:tr>
      <w:tr>
        <w:trPr>
          <w:trHeight w:val="257"/>
        </w:trPr>
        <w:tc>
          <w:tcPr>
            <w:tcW w:w="1360" w:type="dxa"/>
            <w:vAlign w:val="bottom"/>
          </w:tcPr>
          <w:p>
            <w:pPr>
              <w:spacing w:after="0"/>
              <w:rPr>
                <w:sz w:val="22"/>
                <w:szCs w:val="22"/>
                <w:color w:val="auto"/>
              </w:rPr>
            </w:pPr>
          </w:p>
        </w:tc>
        <w:tc>
          <w:tcPr>
            <w:tcW w:w="8220" w:type="dxa"/>
            <w:vAlign w:val="bottom"/>
            <w:gridSpan w:val="2"/>
          </w:tcPr>
          <w:p>
            <w:pPr>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Leases</w:t>
              </w:r>
            </w:hyperlink>
          </w:p>
        </w:tc>
        <w:tc>
          <w:tcPr>
            <w:tcW w:w="660" w:type="dxa"/>
            <w:vAlign w:val="bottom"/>
          </w:tcPr>
          <w:p>
            <w:pPr>
              <w:jc w:val="right"/>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67</w:t>
              </w:r>
            </w:hyperlink>
          </w:p>
        </w:tc>
      </w:tr>
      <w:tr>
        <w:trPr>
          <w:trHeight w:val="256"/>
        </w:trPr>
        <w:tc>
          <w:tcPr>
            <w:tcW w:w="1360" w:type="dxa"/>
            <w:vAlign w:val="bottom"/>
          </w:tcPr>
          <w:p>
            <w:pPr>
              <w:spacing w:after="0"/>
              <w:rPr>
                <w:sz w:val="22"/>
                <w:szCs w:val="22"/>
                <w:color w:val="auto"/>
              </w:rPr>
            </w:pPr>
          </w:p>
        </w:tc>
        <w:tc>
          <w:tcPr>
            <w:tcW w:w="8220" w:type="dxa"/>
            <w:vAlign w:val="bottom"/>
            <w:gridSpan w:val="2"/>
          </w:tcPr>
          <w:p>
            <w:pPr>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Long-Term Debt</w:t>
              </w:r>
            </w:hyperlink>
          </w:p>
        </w:tc>
        <w:tc>
          <w:tcPr>
            <w:tcW w:w="660" w:type="dxa"/>
            <w:vAlign w:val="bottom"/>
          </w:tcPr>
          <w:p>
            <w:pPr>
              <w:jc w:val="right"/>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69</w:t>
              </w:r>
            </w:hyperlink>
          </w:p>
        </w:tc>
      </w:tr>
      <w:tr>
        <w:trPr>
          <w:trHeight w:val="257"/>
        </w:trPr>
        <w:tc>
          <w:tcPr>
            <w:tcW w:w="1360" w:type="dxa"/>
            <w:vAlign w:val="bottom"/>
          </w:tcPr>
          <w:p>
            <w:pPr>
              <w:spacing w:after="0"/>
              <w:rPr>
                <w:sz w:val="22"/>
                <w:szCs w:val="22"/>
                <w:color w:val="auto"/>
              </w:rPr>
            </w:pPr>
          </w:p>
        </w:tc>
        <w:tc>
          <w:tcPr>
            <w:tcW w:w="8220" w:type="dxa"/>
            <w:vAlign w:val="bottom"/>
            <w:gridSpan w:val="2"/>
          </w:tcPr>
          <w:p>
            <w:pPr>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Intangible Assets and Goodwill</w:t>
              </w:r>
            </w:hyperlink>
          </w:p>
        </w:tc>
        <w:tc>
          <w:tcPr>
            <w:tcW w:w="660" w:type="dxa"/>
            <w:vAlign w:val="bottom"/>
          </w:tcPr>
          <w:p>
            <w:pPr>
              <w:jc w:val="right"/>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71</w:t>
              </w:r>
            </w:hyperlink>
          </w:p>
        </w:tc>
      </w:tr>
      <w:tr>
        <w:trPr>
          <w:trHeight w:val="256"/>
        </w:trPr>
        <w:tc>
          <w:tcPr>
            <w:tcW w:w="1360" w:type="dxa"/>
            <w:vAlign w:val="bottom"/>
          </w:tcPr>
          <w:p>
            <w:pPr>
              <w:spacing w:after="0"/>
              <w:rPr>
                <w:sz w:val="22"/>
                <w:szCs w:val="22"/>
                <w:color w:val="auto"/>
              </w:rPr>
            </w:pPr>
          </w:p>
        </w:tc>
        <w:tc>
          <w:tcPr>
            <w:tcW w:w="8220" w:type="dxa"/>
            <w:vAlign w:val="bottom"/>
            <w:gridSpan w:val="2"/>
          </w:tcPr>
          <w:p>
            <w:pPr>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Property and Equipment</w:t>
              </w:r>
            </w:hyperlink>
          </w:p>
        </w:tc>
        <w:tc>
          <w:tcPr>
            <w:tcW w:w="660" w:type="dxa"/>
            <w:vAlign w:val="bottom"/>
          </w:tcPr>
          <w:p>
            <w:pPr>
              <w:jc w:val="right"/>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72</w:t>
              </w:r>
            </w:hyperlink>
          </w:p>
        </w:tc>
      </w:tr>
      <w:tr>
        <w:trPr>
          <w:trHeight w:val="257"/>
        </w:trPr>
        <w:tc>
          <w:tcPr>
            <w:tcW w:w="1360" w:type="dxa"/>
            <w:vAlign w:val="bottom"/>
          </w:tcPr>
          <w:p>
            <w:pPr>
              <w:spacing w:after="0"/>
              <w:rPr>
                <w:sz w:val="22"/>
                <w:szCs w:val="22"/>
                <w:color w:val="auto"/>
              </w:rPr>
            </w:pPr>
          </w:p>
        </w:tc>
        <w:tc>
          <w:tcPr>
            <w:tcW w:w="8220" w:type="dxa"/>
            <w:vAlign w:val="bottom"/>
            <w:gridSpan w:val="2"/>
          </w:tcPr>
          <w:p>
            <w:pPr>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Fair Value of Financial Instruments</w:t>
              </w:r>
            </w:hyperlink>
          </w:p>
        </w:tc>
        <w:tc>
          <w:tcPr>
            <w:tcW w:w="660" w:type="dxa"/>
            <w:vAlign w:val="bottom"/>
          </w:tcPr>
          <w:p>
            <w:pPr>
              <w:jc w:val="right"/>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72</w:t>
              </w:r>
            </w:hyperlink>
          </w:p>
        </w:tc>
      </w:tr>
      <w:tr>
        <w:trPr>
          <w:trHeight w:val="256"/>
        </w:trPr>
        <w:tc>
          <w:tcPr>
            <w:tcW w:w="1360" w:type="dxa"/>
            <w:vAlign w:val="bottom"/>
          </w:tcPr>
          <w:p>
            <w:pPr>
              <w:spacing w:after="0"/>
              <w:rPr>
                <w:sz w:val="22"/>
                <w:szCs w:val="22"/>
                <w:color w:val="auto"/>
              </w:rPr>
            </w:pPr>
          </w:p>
        </w:tc>
        <w:tc>
          <w:tcPr>
            <w:tcW w:w="8220" w:type="dxa"/>
            <w:vAlign w:val="bottom"/>
            <w:gridSpan w:val="2"/>
          </w:tcPr>
          <w:p>
            <w:pPr>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Accumulated Other Comprehensive Loss</w:t>
              </w:r>
            </w:hyperlink>
          </w:p>
        </w:tc>
        <w:tc>
          <w:tcPr>
            <w:tcW w:w="660" w:type="dxa"/>
            <w:vAlign w:val="bottom"/>
          </w:tcPr>
          <w:p>
            <w:pPr>
              <w:jc w:val="right"/>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73</w:t>
              </w:r>
            </w:hyperlink>
          </w:p>
        </w:tc>
      </w:tr>
      <w:tr>
        <w:trPr>
          <w:trHeight w:val="257"/>
        </w:trPr>
        <w:tc>
          <w:tcPr>
            <w:tcW w:w="1360" w:type="dxa"/>
            <w:vAlign w:val="bottom"/>
          </w:tcPr>
          <w:p>
            <w:pPr>
              <w:spacing w:after="0"/>
              <w:rPr>
                <w:sz w:val="22"/>
                <w:szCs w:val="22"/>
                <w:color w:val="auto"/>
              </w:rPr>
            </w:pPr>
          </w:p>
        </w:tc>
        <w:tc>
          <w:tcPr>
            <w:tcW w:w="8220" w:type="dxa"/>
            <w:vAlign w:val="bottom"/>
            <w:gridSpan w:val="2"/>
          </w:tcPr>
          <w:p>
            <w:pPr>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Business Segments</w:t>
              </w:r>
            </w:hyperlink>
          </w:p>
        </w:tc>
        <w:tc>
          <w:tcPr>
            <w:tcW w:w="660" w:type="dxa"/>
            <w:vAlign w:val="bottom"/>
          </w:tcPr>
          <w:p>
            <w:pPr>
              <w:jc w:val="right"/>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73</w:t>
              </w:r>
            </w:hyperlink>
          </w:p>
        </w:tc>
      </w:tr>
      <w:tr>
        <w:trPr>
          <w:trHeight w:val="256"/>
        </w:trPr>
        <w:tc>
          <w:tcPr>
            <w:tcW w:w="1360" w:type="dxa"/>
            <w:vAlign w:val="bottom"/>
          </w:tcPr>
          <w:p>
            <w:pPr>
              <w:spacing w:after="0"/>
              <w:rPr>
                <w:sz w:val="22"/>
                <w:szCs w:val="22"/>
                <w:color w:val="auto"/>
              </w:rPr>
            </w:pPr>
          </w:p>
        </w:tc>
        <w:tc>
          <w:tcPr>
            <w:tcW w:w="8220" w:type="dxa"/>
            <w:vAlign w:val="bottom"/>
            <w:gridSpan w:val="2"/>
          </w:tcPr>
          <w:p>
            <w:pPr>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Related Party Transactions</w:t>
              </w:r>
            </w:hyperlink>
          </w:p>
        </w:tc>
        <w:tc>
          <w:tcPr>
            <w:tcW w:w="660" w:type="dxa"/>
            <w:vAlign w:val="bottom"/>
          </w:tcPr>
          <w:p>
            <w:pPr>
              <w:jc w:val="right"/>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75</w:t>
              </w:r>
            </w:hyperlink>
          </w:p>
        </w:tc>
      </w:tr>
      <w:tr>
        <w:trPr>
          <w:trHeight w:val="257"/>
        </w:trPr>
        <w:tc>
          <w:tcPr>
            <w:tcW w:w="1360" w:type="dxa"/>
            <w:vAlign w:val="bottom"/>
          </w:tcPr>
          <w:p>
            <w:pPr>
              <w:spacing w:after="0"/>
              <w:rPr>
                <w:sz w:val="22"/>
                <w:szCs w:val="22"/>
                <w:color w:val="auto"/>
              </w:rPr>
            </w:pPr>
          </w:p>
        </w:tc>
        <w:tc>
          <w:tcPr>
            <w:tcW w:w="8220" w:type="dxa"/>
            <w:vAlign w:val="bottom"/>
            <w:gridSpan w:val="2"/>
          </w:tcPr>
          <w:p>
            <w:pPr>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Relationship with Major Customer</w:t>
              </w:r>
            </w:hyperlink>
          </w:p>
        </w:tc>
        <w:tc>
          <w:tcPr>
            <w:tcW w:w="660" w:type="dxa"/>
            <w:vAlign w:val="bottom"/>
          </w:tcPr>
          <w:p>
            <w:pPr>
              <w:jc w:val="right"/>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76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40"/>
          </w:cols>
          <w:pgMar w:left="320" w:top="125" w:right="1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REPORT 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8"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Management of Marriott International, Inc. (the “Company”) is responsible for establishing and maintaining adequate internal control over financial reporting and for assessing the effectiveness of internal control over financial reporting. The Company has designed its internal control over financial reporting to provide reasonable assurance on the reliability of financial reporting and the preparation of the consolidated financial statements in accordance with U.S. generally accepted accounting principles.</w:t>
      </w:r>
    </w:p>
    <w:p>
      <w:pPr>
        <w:spacing w:after="0" w:line="214"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The Company’s internal control over financial reporting includes those policies and procedures that: (1) pertain to the maintenance of records that, in reasonable detail, accurately and fairly reflect the Company’s transactions and dispositions of the Company’s assets; (2) provide reasonable assurance that transactions are recorded as necessary to permit preparation of the consolidated financial statements in accordance with U.S. generally accepted accounting principles, and that receipts and expenditures of the Company are being made only in accordance with authorizations of the Company’s management and directors; and (3) provide reasonable assurance regarding prevention or timely detection of unauthorized acquisition, use, or disposition of the Company’s assets that could have a material effect on the consolidated financial statements.</w:t>
      </w:r>
    </w:p>
    <w:p>
      <w:pPr>
        <w:spacing w:after="0" w:line="205" w:lineRule="exact"/>
        <w:rPr>
          <w:sz w:val="20"/>
          <w:szCs w:val="20"/>
          <w:color w:val="auto"/>
        </w:rPr>
      </w:pPr>
    </w:p>
    <w:p>
      <w:pPr>
        <w:jc w:val="both"/>
        <w:ind w:right="120" w:firstLine="445"/>
        <w:spacing w:after="0" w:line="263" w:lineRule="auto"/>
        <w:rPr>
          <w:sz w:val="20"/>
          <w:szCs w:val="20"/>
          <w:color w:val="auto"/>
        </w:rPr>
      </w:pPr>
      <w:r>
        <w:rPr>
          <w:rFonts w:ascii="Arial" w:cs="Arial" w:eastAsia="Arial" w:hAnsi="Arial"/>
          <w:sz w:val="18"/>
          <w:szCs w:val="18"/>
          <w:color w:val="auto"/>
        </w:rPr>
        <w:t>Because of inherent limitations in internal control over financial reporting, such controls may not prevent or detect misstatements. Also, projections of any evaluation of the effectiveness of internal controls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ind w:right="200" w:firstLine="405"/>
        <w:spacing w:after="0" w:line="286" w:lineRule="auto"/>
        <w:rPr>
          <w:sz w:val="20"/>
          <w:szCs w:val="20"/>
          <w:color w:val="auto"/>
        </w:rPr>
      </w:pPr>
      <w:r>
        <w:rPr>
          <w:rFonts w:ascii="Arial" w:cs="Arial" w:eastAsia="Arial" w:hAnsi="Arial"/>
          <w:sz w:val="17"/>
          <w:szCs w:val="17"/>
          <w:color w:val="auto"/>
        </w:rPr>
        <w:t>In connection with the preparation of the Company’s annual consolidated financial statements, management assessed the effectiveness of the Company’s internal control over financial reporting as of December 31, 2020, based on criteria established in the Internal Control-Integrated Framework issued by the Committee of Sponsoring Organizations of the Treadway Commission (2013 Framework) (the “COSO criteria”).</w:t>
      </w:r>
    </w:p>
    <w:p>
      <w:pPr>
        <w:spacing w:after="0" w:line="192"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Based on this assessment, management has concluded that, applying the COSO criteria, as of December 31, 2020, the Company’s internal control over financial reporting was effective to provide reasonable assurance of the reliability of financial reporting and the preparation of financial statements for external purposes in accordance with U.S. generally accepted accounting principles.</w:t>
      </w:r>
    </w:p>
    <w:p>
      <w:pPr>
        <w:spacing w:after="0" w:line="211"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Ernst &amp; Young LLP, the independent registered public accounting firm that audited the Company’s consolidated financial statements included in this report, has issued an attestation report on the effectiveness of the Company’s internal control over financial reporting, a copy of which appears on the following page.</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Marriott International,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Marriott International, Inc.’s internal control over financial reporting as of December 31, 2020, based on criteria established in Internal Control-Integrated Framework issued by the Committee of Sponsoring Organizations of the Treadway Commission (2013 Framework) (the COSO criteria). In our opinion, Marriott International, Inc. (the Company) maintained, in all material respects, effective internal control over financial reporting as of December 31, 2020, based on the COSO criteria.</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2020 and 2019, and the related consolidated statements of (loss) income, comprehensive (loss) income, stockholders’ equity and cash flows for each of the three fiscal years in the period ended December 31, 2020, and the related notes, and our report dated February 18, 2021 expressed an unqualified opinion thereon.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7"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2021</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Marriott International,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6"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have audited the accompanying consolidated balance sheets of Marriott International, Inc. (the Company) as of December 31, 2020 and 2019, and the related consolidated statements of (loss) income, comprehensive (loss) income, stockholders’ equity and cash flows for each of the three fiscal years in the period ended December 31, 2020, and the related notes (collectively referred to as the “financial statements”). In our opinion, the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88"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18, 2021 expressed an adverse opinion thereon.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these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56"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line="235"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the Loyalty Program</w:t>
      </w:r>
    </w:p>
    <w:p>
      <w:pPr>
        <w:spacing w:after="0" w:line="3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During 2020 the Company recognized $1,118 million of revenues previously deferred as of December 31, 2019 and had deferred revenue of $6,271 million as of December 31, 2020 associated with the Marriott Bonvoy guest loyalty program (the “Loyalty Program”). As discussed in Note 2 to the financial statements, the Company recognizes revenue for performance obligations relating to Loyalty Program points and free night certificates as they are redeemed and the related performance obligations are satisfied. The Company recognizes a portion of revenue for the Licensed IP performance obligation under the sales-based royalty criteria, with the remaining portion recognized on a straight-line basis over the contract term. Revenue is recognized utilizing complex models based upon the estimated standalone selling price per point and per free night certificate, which includes judgment in making the estimates of variable consideration and breakage of points.</w:t>
      </w:r>
    </w:p>
    <w:p>
      <w:pPr>
        <w:spacing w:after="0" w:line="9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Auditing Loyalty Program results is complex due to: (1) the complexity of models and high volume of data used to monitor and account for Loyalty Program results, (2) the complexity in accounting for the amendments to the Company’s co-brand credit card agreements during May 2020, as well as the judgment in estimating the relative standalone selling price of the related performance obligations, (3) the complexity and judgment of estimating the standalone selling price per Loyalty Program point, including both the estimate of variable consideration under the Company’s co-brand credit card agreements which has significant estimation uncertainty associated with projecting future cardholder spending and redemption activity, and the estimated breakage of Loyalty Program points which requires the use of specialists and (4) the material weakness in the Company’s internal control over financial reporting that existed for a portion of the year relating to the insufficient complement of resources, including IT and accounting processes and personnel, to perform the ongoing accounting associated with the Loyalty Program.</w:t>
      </w:r>
    </w:p>
    <w:p>
      <w:pPr>
        <w:spacing w:after="0" w:line="168" w:lineRule="exact"/>
        <w:rPr>
          <w:sz w:val="20"/>
          <w:szCs w:val="20"/>
          <w:color w:val="auto"/>
        </w:rPr>
      </w:pPr>
    </w:p>
    <w:p>
      <w:pPr>
        <w:jc w:val="both"/>
        <w:ind w:right="220"/>
        <w:spacing w:after="0" w:line="275" w:lineRule="auto"/>
        <w:rPr>
          <w:sz w:val="20"/>
          <w:szCs w:val="20"/>
          <w:color w:val="auto"/>
        </w:rPr>
      </w:pPr>
      <w:r>
        <w:rPr>
          <w:rFonts w:ascii="Arial" w:cs="Arial" w:eastAsia="Arial" w:hAnsi="Arial"/>
          <w:sz w:val="17"/>
          <w:szCs w:val="17"/>
          <w:color w:val="auto"/>
        </w:rPr>
        <w:t>We obtained an understanding, evaluated the design and tested the operating effectiveness of certain controls over the Company’s process of accounting for the Loyalty Program. For example, we tested controls over the accounting methods and model used in reporting results of the Loyalty Program, management’s review of the assumptions and data inputs utilized in estimating the standalone selling price per Loyalty Program point, as well as the development of the estimated breakage.</w:t>
      </w:r>
    </w:p>
    <w:p>
      <w:pPr>
        <w:spacing w:after="0" w:line="10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To test the recognition of revenues and costs associated with the Loyalty Program, we performed audit procedures that included, among others, testing the clerical accuracy and consistency with US GAAP of the accounting model developed by the Company to recognize revenue and costs associated with the Loyalty Program, and testing significant inputs into the accounting model, including the estimated standalone selling price and recognition of points earned and redeemed during the period. Because of the material weakness that was present for a portion of the year, we expanded our sample sizes selected for substantive testing and performed additional testing over the completeness and accuracy of Loyalty Program data during the portion of the year in which the material weakness was present. We involved our valuation specialists to assist in our testing procedures with respect to the estimate of relative standalone selling price of the performance obligations associated with the amendment to the co-brand credit card agreements in May 2020. We involved our actuarial professionals to assist in our testing procedures with respect to the estimate of the breakage of Loyalty Program points. We evaluated management’s methodology for estimating the breakage of Loyalty Program points, and we tested underlying data and actuarial assumptions used in estimating the breakage. We evaluated the reasonableness of management’s assumptions, including projections of cash flows, used to estimate variable consideration under the Company’s co-brand credit cards.</w:t>
      </w:r>
    </w:p>
    <w:p>
      <w:pPr>
        <w:spacing w:after="0" w:line="200" w:lineRule="exact"/>
        <w:rPr>
          <w:sz w:val="20"/>
          <w:szCs w:val="20"/>
          <w:color w:val="auto"/>
        </w:rPr>
      </w:pPr>
    </w:p>
    <w:p>
      <w:pPr>
        <w:sectPr>
          <w:pgSz w:w="11900" w:h="16838" w:orient="portrait"/>
          <w:cols w:equalWidth="0" w:num="2">
            <w:col w:w="2220" w:space="300"/>
            <w:col w:w="8100"/>
          </w:cols>
          <w:pgMar w:left="320" w:top="125"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125" w:right="95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line="235"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General &amp; Administrative Expenses and Reimbursed Expenses</w:t>
      </w:r>
    </w:p>
    <w:p>
      <w:pPr>
        <w:spacing w:after="0" w:line="3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During 2020 the Company recognized $762 million of general and administrative expenses and $8,435 million of reimbursed expenses. As discussed in Note 2 to the financial statements, the Company incurs certain expenses that are for the benefit of, and reimbursable from, hotel owners and franchisees. Such amounts are recorded in the period in which the expense is incurred and include judgment with respect to the allocation of certain costs between general &amp; administrative expenses, which are non-reimbursable, and reimbursed expenses.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Auditing the classification of general and administrative expenses and reimbursed expenses is complex due to:</w:t>
      </w:r>
    </w:p>
    <w:p>
      <w:pPr>
        <w:spacing w:after="0" w:line="46" w:lineRule="exact"/>
        <w:rPr>
          <w:sz w:val="20"/>
          <w:szCs w:val="20"/>
          <w:color w:val="auto"/>
        </w:rPr>
      </w:pPr>
    </w:p>
    <w:p>
      <w:pPr>
        <w:ind w:right="400" w:firstLine="3"/>
        <w:spacing w:after="0" w:line="271" w:lineRule="auto"/>
        <w:tabs>
          <w:tab w:leader="none" w:pos="2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judgment associated with testing management’s conclusions regarding the allocation of costs between reimbursable and non-reimbursable expenses, (2) the complexity associated with allocating above-property expenses to hotel owners and franchisees due to the high volume of data used to monitor and account for reimbursed expenses and (3) incentives within management’s compensation structure designed to limit the growth in general and administrative expenses.</w:t>
      </w:r>
    </w:p>
    <w:p>
      <w:pPr>
        <w:spacing w:after="0" w:line="16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obtained an understanding, evaluated the design and tested the operating effectiveness of controls over the Company’s process of accounting for reimbursed expenses, general and administrative expenses, and the process for allocating expenses. For example, we tested management’s controls over the review of the allocation of certain costs to determine if they were reasonably classified.</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To test the recognition of reimbursed expenses for appropriate classification, we performed audit procedures that included, among others, (1) testing a sample of transactions that were classified within reimbursed expenses in order to evaluate the appropriate accounting treatment and financial statement classification pursuant to the terms of the management and franchise agreements, (2) performed analytical procedures over total reimbursed expenses and general and administrative expenses in order to identify any trends or indicators of material errors in the classification of expenses, (3) tested manual journal entries made to reimbursed expenses and general and administrative expenses and (4) evaluated the methodology of cost allocations, including any material changes to allocations during the period.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Indefinite-lived Brand Intangible Assets</w:t>
      </w:r>
    </w:p>
    <w:p>
      <w:pPr>
        <w:spacing w:after="0" w:line="3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At December 31, 2020 the Company had $5,995 million of indefinite-lived intangible brand assets. As discussed in Note 1 to the financial statements, the novel coronavirus (“COVID-19”) pandemic created uncertainty and increased subjectivity with respect to the development of estimates of future business performance. Further, as discussed in Note 2 to the financial statements, the Company evaluates the carrying value of its indefinite-lived brand intangible assets for impairment annually, or more frequently when factors indicate that the Company may not be able to recover the carrying value. The Company may first assess qualitative factors to determine whether it is more likely than not that the fair value of the indefinite-lived brand intangible assets are less than the carrying amount. However, when potential indicators of impairment exist, such as in consideration of the impact of COVID-19 on operations, the Company performs an analysis to determine the recoverability of the asset by comparing the estimated fair value to the carrying value of the asset.</w:t>
      </w:r>
    </w:p>
    <w:p>
      <w:pPr>
        <w:spacing w:after="0" w:line="10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Auditing the accounting for indefinite-lived brand intangible assets is complex and judgmental as a result of the subjectivity in estimating the fair value of the indefinite-lived brand intangible assets. In particular, the fair value estimates are developed using the income approach and are subject to significant assumptions such as revenue growth, royalty rates and discount rates. These assumptions may be affected by the impact of the COVID-19 pandemic on future market conditions, including the duration of the recovery period.</w:t>
      </w:r>
    </w:p>
    <w:p>
      <w:pPr>
        <w:spacing w:after="0" w:line="200" w:lineRule="exact"/>
        <w:rPr>
          <w:sz w:val="20"/>
          <w:szCs w:val="20"/>
          <w:color w:val="auto"/>
        </w:rPr>
      </w:pPr>
    </w:p>
    <w:p>
      <w:pPr>
        <w:sectPr>
          <w:pgSz w:w="11900" w:h="16838" w:orient="portrait"/>
          <w:cols w:equalWidth="0" w:num="2">
            <w:col w:w="2220" w:space="300"/>
            <w:col w:w="8120"/>
          </w:cols>
          <w:pgMar w:left="320" w:top="125" w:right="9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2500" w:val="left"/>
        </w:tabs>
        <w:rPr>
          <w:sz w:val="20"/>
          <w:szCs w:val="20"/>
          <w:color w:val="auto"/>
        </w:rPr>
      </w:pPr>
      <w:r>
        <w:rPr>
          <w:rFonts w:ascii="Arial" w:cs="Arial" w:eastAsia="Arial" w:hAnsi="Arial"/>
          <w:sz w:val="18"/>
          <w:szCs w:val="18"/>
          <w:i w:val="1"/>
          <w:iCs w:val="1"/>
          <w:color w:val="auto"/>
        </w:rPr>
        <w:t>How We Addressed the Matter</w:t>
      </w:r>
      <w:r>
        <w:rPr>
          <w:sz w:val="20"/>
          <w:szCs w:val="20"/>
          <w:color w:val="auto"/>
        </w:rPr>
        <w:tab/>
      </w:r>
      <w:r>
        <w:rPr>
          <w:rFonts w:ascii="Arial" w:cs="Arial" w:eastAsia="Arial" w:hAnsi="Arial"/>
          <w:sz w:val="16"/>
          <w:szCs w:val="16"/>
          <w:color w:val="auto"/>
        </w:rPr>
        <w:t>We obtained an understanding, evaluated the design and tested the operating effectiveness of controls over the</w:t>
      </w:r>
    </w:p>
    <w:p>
      <w:pPr>
        <w:spacing w:after="0" w:line="23" w:lineRule="exact"/>
        <w:rPr>
          <w:sz w:val="20"/>
          <w:szCs w:val="20"/>
          <w:color w:val="auto"/>
        </w:rPr>
      </w:pPr>
    </w:p>
    <w:p>
      <w:pPr>
        <w:ind w:left="2520" w:right="540" w:hanging="2496"/>
        <w:spacing w:after="0" w:line="255" w:lineRule="auto"/>
        <w:tabs>
          <w:tab w:leader="none" w:pos="2500" w:val="left"/>
        </w:tabs>
        <w:rPr>
          <w:sz w:val="20"/>
          <w:szCs w:val="20"/>
          <w:color w:val="auto"/>
        </w:rPr>
      </w:pPr>
      <w:r>
        <w:rPr>
          <w:rFonts w:ascii="Arial" w:cs="Arial" w:eastAsia="Arial" w:hAnsi="Arial"/>
          <w:sz w:val="18"/>
          <w:szCs w:val="18"/>
          <w:i w:val="1"/>
          <w:iCs w:val="1"/>
          <w:color w:val="auto"/>
        </w:rPr>
        <w:t>in Our Audit</w:t>
      </w:r>
      <w:r>
        <w:rPr>
          <w:sz w:val="20"/>
          <w:szCs w:val="20"/>
          <w:color w:val="auto"/>
        </w:rPr>
        <w:tab/>
      </w:r>
      <w:r>
        <w:rPr>
          <w:rFonts w:ascii="Arial" w:cs="Arial" w:eastAsia="Arial" w:hAnsi="Arial"/>
          <w:sz w:val="18"/>
          <w:szCs w:val="18"/>
          <w:color w:val="auto"/>
        </w:rPr>
        <w:t>Company’s process of accounting for indefinite-lived brand intangible assets. For example, we tested management’s controls over the review of the significant assumptions used in estimating the fair value of indefinite-lived intangible assets.</w:t>
      </w:r>
    </w:p>
    <w:p>
      <w:pPr>
        <w:spacing w:after="0" w:line="122" w:lineRule="exact"/>
        <w:rPr>
          <w:sz w:val="20"/>
          <w:szCs w:val="20"/>
          <w:color w:val="auto"/>
        </w:rPr>
      </w:pPr>
    </w:p>
    <w:p>
      <w:pPr>
        <w:ind w:left="2520"/>
        <w:spacing w:after="0" w:line="271" w:lineRule="auto"/>
        <w:rPr>
          <w:sz w:val="20"/>
          <w:szCs w:val="20"/>
          <w:color w:val="auto"/>
        </w:rPr>
      </w:pPr>
      <w:r>
        <w:rPr>
          <w:rFonts w:ascii="Arial" w:cs="Arial" w:eastAsia="Arial" w:hAnsi="Arial"/>
          <w:sz w:val="17"/>
          <w:szCs w:val="17"/>
          <w:color w:val="auto"/>
        </w:rPr>
        <w:t>To test the fair value of the indefinite-lived brand intangible assets our procedures included, among others, assessing the methodologies used in evaluating brand assets for impairment, involving our valuation specialists to assist in evaluating significant assumptions used by management in estimating the fair value of the brand assets, and testing the completeness and accuracy of underlying data used by management in their analyses. We compared the significant assumptions used by management to historical operating results and relevant observable market information including current industry, market and economic trends. Our procedures included evaluating the historical accuracy of management’s forecasts and performing sensitivity analyses to evaluate the impact of changes to significant assumptions.</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2021</w:t>
      </w:r>
    </w:p>
    <w:p>
      <w:pPr>
        <w:spacing w:after="0" w:line="200" w:lineRule="exact"/>
        <w:rPr>
          <w:sz w:val="20"/>
          <w:szCs w:val="20"/>
          <w:color w:val="auto"/>
        </w:rPr>
      </w:pPr>
    </w:p>
    <w:p>
      <w:pPr>
        <w:spacing w:after="0" w:line="34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auto"/>
        </w:rPr>
        <w:t>MARRIOTT INTERNATIONAL, INC.</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auto"/>
        </w:rPr>
        <w:t>CONSOLIDATED STATEMENTS OF (LOSS) INCOME</w:t>
      </w:r>
    </w:p>
    <w:p>
      <w:pPr>
        <w:jc w:val="center"/>
        <w:ind w:right="-219"/>
        <w:spacing w:after="0"/>
        <w:rPr>
          <w:sz w:val="20"/>
          <w:szCs w:val="20"/>
          <w:color w:val="auto"/>
        </w:rPr>
      </w:pPr>
      <w:r>
        <w:rPr>
          <w:rFonts w:ascii="Arial" w:cs="Arial" w:eastAsia="Arial" w:hAnsi="Arial"/>
          <w:sz w:val="20"/>
          <w:szCs w:val="20"/>
          <w:b w:val="1"/>
          <w:bCs w:val="1"/>
          <w:color w:val="auto"/>
        </w:rPr>
        <w:t>Fiscal Years 2020, 2019, and 2018</w:t>
      </w:r>
    </w:p>
    <w:p>
      <w:pPr>
        <w:jc w:val="center"/>
        <w:ind w:right="-219"/>
        <w:spacing w:after="0"/>
        <w:rPr>
          <w:sz w:val="20"/>
          <w:szCs w:val="20"/>
          <w:color w:val="auto"/>
        </w:rPr>
      </w:pPr>
      <w:r>
        <w:rPr>
          <w:rFonts w:ascii="Arial" w:cs="Arial" w:eastAsia="Arial" w:hAnsi="Arial"/>
          <w:sz w:val="20"/>
          <w:szCs w:val="20"/>
          <w:color w:val="auto"/>
        </w:rPr>
        <w:t>($ in millions, except per share amounts)</w:t>
      </w:r>
    </w:p>
    <w:p>
      <w:pPr>
        <w:spacing w:after="0" w:line="42"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2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59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320"/>
              <w:spacing w:after="0"/>
              <w:rPr>
                <w:sz w:val="20"/>
                <w:szCs w:val="20"/>
                <w:color w:val="auto"/>
              </w:rPr>
            </w:pPr>
            <w:r>
              <w:rPr>
                <w:rFonts w:ascii="Arial" w:cs="Arial" w:eastAsia="Arial" w:hAnsi="Arial"/>
                <w:sz w:val="18"/>
                <w:szCs w:val="18"/>
                <w:color w:val="auto"/>
              </w:rPr>
              <w:t>Base management fees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1,180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Franchise fees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Incentive management fees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fee revenues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Contract investment amortization</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fee revenues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0" w:type="dxa"/>
            <w:vAlign w:val="bottom"/>
          </w:tcPr>
          <w:p>
            <w:pPr>
              <w:spacing w:after="0"/>
              <w:rPr>
                <w:sz w:val="1"/>
                <w:szCs w:val="1"/>
                <w:color w:val="auto"/>
              </w:rPr>
            </w:pPr>
          </w:p>
        </w:tc>
      </w:tr>
      <w:tr>
        <w:trPr>
          <w:trHeight w:val="229"/>
        </w:trPr>
        <w:tc>
          <w:tcPr>
            <w:tcW w:w="5940" w:type="dxa"/>
            <w:vAlign w:val="bottom"/>
          </w:tcPr>
          <w:p>
            <w:pPr>
              <w:ind w:left="320"/>
              <w:spacing w:after="0"/>
              <w:rPr>
                <w:sz w:val="20"/>
                <w:szCs w:val="20"/>
                <w:color w:val="auto"/>
              </w:rPr>
            </w:pPr>
            <w:r>
              <w:rPr>
                <w:rFonts w:ascii="Arial" w:cs="Arial" w:eastAsia="Arial" w:hAnsi="Arial"/>
                <w:sz w:val="18"/>
                <w:szCs w:val="18"/>
                <w:color w:val="auto"/>
              </w:rPr>
              <w:t>Owned, leased, and other revenue</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320"/>
              <w:spacing w:after="0" w:line="230" w:lineRule="exact"/>
              <w:rPr>
                <w:sz w:val="20"/>
                <w:szCs w:val="20"/>
                <w:color w:val="auto"/>
              </w:rPr>
            </w:pPr>
            <w:r>
              <w:rPr>
                <w:rFonts w:ascii="Arial" w:cs="Arial" w:eastAsia="Arial" w:hAnsi="Arial"/>
                <w:sz w:val="18"/>
                <w:szCs w:val="18"/>
                <w:color w:val="auto"/>
              </w:rPr>
              <w:t xml:space="preserve">Cost reimbursement revenue </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15,543</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20,972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20,758</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320"/>
              <w:spacing w:after="0"/>
              <w:rPr>
                <w:sz w:val="20"/>
                <w:szCs w:val="20"/>
                <w:color w:val="auto"/>
              </w:rPr>
            </w:pPr>
            <w:r>
              <w:rPr>
                <w:rFonts w:ascii="Arial" w:cs="Arial" w:eastAsia="Arial" w:hAnsi="Arial"/>
                <w:sz w:val="18"/>
                <w:szCs w:val="18"/>
                <w:color w:val="auto"/>
              </w:rPr>
              <w:t>Owned, leased, and other-direct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amortization, and other</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9"/>
        </w:trPr>
        <w:tc>
          <w:tcPr>
            <w:tcW w:w="5940" w:type="dxa"/>
            <w:vAlign w:val="bottom"/>
          </w:tcPr>
          <w:p>
            <w:pPr>
              <w:ind w:left="320"/>
              <w:spacing w:after="0"/>
              <w:rPr>
                <w:sz w:val="20"/>
                <w:szCs w:val="20"/>
                <w:color w:val="auto"/>
              </w:rPr>
            </w:pPr>
            <w:r>
              <w:rPr>
                <w:rFonts w:ascii="Arial" w:cs="Arial" w:eastAsia="Arial" w:hAnsi="Arial"/>
                <w:sz w:val="18"/>
                <w:szCs w:val="18"/>
                <w:color w:val="auto"/>
              </w:rPr>
              <w:t>General, administrative, and other</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Restructuring and merger-related charges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tcPr>
          <w:p>
            <w:pPr>
              <w:ind w:left="320"/>
              <w:spacing w:after="0" w:line="230" w:lineRule="exact"/>
              <w:rPr>
                <w:sz w:val="20"/>
                <w:szCs w:val="20"/>
                <w:color w:val="auto"/>
              </w:rPr>
            </w:pPr>
            <w:r>
              <w:rPr>
                <w:rFonts w:ascii="Arial" w:cs="Arial" w:eastAsia="Arial" w:hAnsi="Arial"/>
                <w:sz w:val="18"/>
                <w:szCs w:val="18"/>
                <w:color w:val="auto"/>
              </w:rPr>
              <w:t xml:space="preserve">Reimbursed expenses </w:t>
            </w:r>
            <w:r>
              <w:rPr>
                <w:rFonts w:ascii="Arial" w:cs="Arial" w:eastAsia="Arial" w:hAnsi="Arial"/>
                <w:sz w:val="23"/>
                <w:szCs w:val="23"/>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15,778</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18,392</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Gains and other income, net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spacing w:after="0" w:line="230" w:lineRule="exact"/>
              <w:rPr>
                <w:sz w:val="20"/>
                <w:szCs w:val="20"/>
                <w:color w:val="auto"/>
              </w:rPr>
            </w:pPr>
            <w:r>
              <w:rPr>
                <w:rFonts w:ascii="Arial" w:cs="Arial" w:eastAsia="Arial" w:hAnsi="Arial"/>
                <w:sz w:val="18"/>
                <w:szCs w:val="18"/>
                <w:color w:val="auto"/>
              </w:rPr>
              <w:t xml:space="preserve">Equity in (losses) earnings </w:t>
            </w:r>
            <w:r>
              <w:rPr>
                <w:rFonts w:ascii="Arial" w:cs="Arial" w:eastAsia="Arial" w:hAnsi="Arial"/>
                <w:sz w:val="23"/>
                <w:szCs w:val="23"/>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INCOME BEFORE INCOME TAXES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Benefit (provision) for income taxes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(LOSS) EARNINGS PER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9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earnings per share - basic</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30"/>
        </w:trPr>
        <w:tc>
          <w:tcPr>
            <w:tcW w:w="5940" w:type="dxa"/>
            <w:vAlign w:val="bottom"/>
          </w:tcPr>
          <w:p>
            <w:pPr>
              <w:ind w:left="320"/>
              <w:spacing w:after="0"/>
              <w:rPr>
                <w:sz w:val="20"/>
                <w:szCs w:val="20"/>
                <w:color w:val="auto"/>
              </w:rPr>
            </w:pPr>
            <w:r>
              <w:rPr>
                <w:rFonts w:ascii="Arial" w:cs="Arial" w:eastAsia="Arial" w:hAnsi="Arial"/>
                <w:sz w:val="18"/>
                <w:szCs w:val="18"/>
                <w:color w:val="auto"/>
              </w:rPr>
              <w:t>(Loss) earnings per share - 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bl>
    <w:p>
      <w:pPr>
        <w:spacing w:after="0" w:line="101" w:lineRule="exact"/>
        <w:rPr>
          <w:sz w:val="20"/>
          <w:szCs w:val="20"/>
          <w:color w:val="auto"/>
        </w:rPr>
      </w:pPr>
    </w:p>
    <w:tbl>
      <w:tblPr>
        <w:tblLayout w:type="fixed"/>
        <w:tblInd w:w="180" w:type="dxa"/>
        <w:tblCellMar>
          <w:top w:w="0" w:type="dxa"/>
          <w:left w:w="0" w:type="dxa"/>
          <w:bottom w:w="0" w:type="dxa"/>
          <w:right w:w="0" w:type="dxa"/>
        </w:tblCellMar>
      </w:tblPr>
      <w:tr>
        <w:trPr>
          <w:trHeight w:val="148"/>
        </w:trPr>
        <w:tc>
          <w:tcPr>
            <w:tcW w:w="220" w:type="dxa"/>
            <w:vAlign w:val="bottom"/>
          </w:tcPr>
          <w:p>
            <w:pPr>
              <w:jc w:val="right"/>
              <w:ind w:right="47"/>
              <w:spacing w:after="0"/>
              <w:rPr>
                <w:sz w:val="20"/>
                <w:szCs w:val="20"/>
                <w:color w:val="auto"/>
              </w:rPr>
            </w:pPr>
            <w:r>
              <w:rPr>
                <w:rFonts w:ascii="Arial" w:cs="Arial" w:eastAsia="Arial" w:hAnsi="Arial"/>
                <w:sz w:val="11"/>
                <w:szCs w:val="11"/>
                <w:color w:val="auto"/>
                <w:w w:val="74"/>
              </w:rPr>
              <w:t>(1)</w:t>
            </w:r>
          </w:p>
        </w:tc>
        <w:tc>
          <w:tcPr>
            <w:tcW w:w="3080" w:type="dxa"/>
            <w:vAlign w:val="bottom"/>
            <w:vMerge w:val="restart"/>
          </w:tcPr>
          <w:p>
            <w:pPr>
              <w:ind w:left="80"/>
              <w:spacing w:after="0"/>
              <w:rPr>
                <w:sz w:val="20"/>
                <w:szCs w:val="20"/>
                <w:color w:val="auto"/>
              </w:rPr>
            </w:pPr>
            <w:r>
              <w:rPr>
                <w:rFonts w:ascii="Arial" w:cs="Arial" w:eastAsia="Arial" w:hAnsi="Arial"/>
                <w:sz w:val="14"/>
                <w:szCs w:val="14"/>
                <w:color w:val="auto"/>
                <w:w w:val="92"/>
              </w:rPr>
              <w:t>See Note 16 for disclosure of related party amounts.</w:t>
            </w:r>
          </w:p>
        </w:tc>
        <w:tc>
          <w:tcPr>
            <w:tcW w:w="0" w:type="dxa"/>
            <w:vAlign w:val="bottom"/>
          </w:tcPr>
          <w:p>
            <w:pPr>
              <w:spacing w:after="0"/>
              <w:rPr>
                <w:sz w:val="1"/>
                <w:szCs w:val="1"/>
                <w:color w:val="auto"/>
              </w:rPr>
            </w:pPr>
          </w:p>
        </w:tc>
      </w:tr>
      <w:tr>
        <w:trPr>
          <w:trHeight w:val="75"/>
        </w:trPr>
        <w:tc>
          <w:tcPr>
            <w:tcW w:w="220" w:type="dxa"/>
            <w:vAlign w:val="bottom"/>
          </w:tcPr>
          <w:p>
            <w:pPr>
              <w:spacing w:after="0"/>
              <w:rPr>
                <w:sz w:val="6"/>
                <w:szCs w:val="6"/>
                <w:color w:val="auto"/>
              </w:rPr>
            </w:pPr>
          </w:p>
        </w:tc>
        <w:tc>
          <w:tcPr>
            <w:tcW w:w="3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auto"/>
        </w:rPr>
        <w:t>MARRIOTT INTERNATIONAL, INC.</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auto"/>
        </w:rPr>
        <w:t>CONSOLIDATED STATEMENTS OF COMPREHENSIVE (LOSS) INCOME</w:t>
      </w:r>
    </w:p>
    <w:p>
      <w:pPr>
        <w:jc w:val="center"/>
        <w:ind w:right="-219"/>
        <w:spacing w:after="0"/>
        <w:rPr>
          <w:sz w:val="20"/>
          <w:szCs w:val="20"/>
          <w:color w:val="auto"/>
        </w:rPr>
      </w:pPr>
      <w:r>
        <w:rPr>
          <w:rFonts w:ascii="Arial" w:cs="Arial" w:eastAsia="Arial" w:hAnsi="Arial"/>
          <w:sz w:val="20"/>
          <w:szCs w:val="20"/>
          <w:b w:val="1"/>
          <w:bCs w:val="1"/>
          <w:color w:val="auto"/>
        </w:rPr>
        <w:t>Fiscal Years 2020, 2019, and 2018</w:t>
      </w:r>
    </w:p>
    <w:p>
      <w:pPr>
        <w:jc w:val="center"/>
        <w:ind w:right="-219"/>
        <w:spacing w:after="0"/>
        <w:rPr>
          <w:sz w:val="20"/>
          <w:szCs w:val="20"/>
          <w:color w:val="auto"/>
        </w:rPr>
      </w:pPr>
      <w:r>
        <w:rPr>
          <w:rFonts w:ascii="Arial" w:cs="Arial" w:eastAsia="Arial" w:hAnsi="Arial"/>
          <w:sz w:val="20"/>
          <w:szCs w:val="20"/>
          <w:color w:val="auto"/>
        </w:rPr>
        <w:t>($ in millions)</w:t>
      </w:r>
    </w:p>
    <w:p>
      <w:pPr>
        <w:spacing w:after="0" w:line="96"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20" w:type="dxa"/>
            <w:vAlign w:val="bottom"/>
          </w:tcPr>
          <w:p>
            <w:pPr>
              <w:jc w:val="right"/>
              <w:ind w:right="275"/>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59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224"/>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30"/>
        </w:trPr>
        <w:tc>
          <w:tcPr>
            <w:tcW w:w="5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Derivative instrument adjustments and other, net of tax</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comprehensive income (loss), net of tax</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23"/>
        </w:trPr>
        <w:tc>
          <w:tcPr>
            <w:tcW w:w="5940" w:type="dxa"/>
            <w:vAlign w:val="bottom"/>
          </w:tcPr>
          <w:p>
            <w:pPr>
              <w:ind w:left="660"/>
              <w:spacing w:after="0"/>
              <w:rPr>
                <w:sz w:val="20"/>
                <w:szCs w:val="20"/>
                <w:color w:val="auto"/>
              </w:rPr>
            </w:pPr>
            <w:r>
              <w:rPr>
                <w:rFonts w:ascii="Arial" w:cs="Arial" w:eastAsia="Arial" w:hAnsi="Arial"/>
                <w:sz w:val="18"/>
                <w:szCs w:val="18"/>
                <w:color w:val="auto"/>
              </w:rPr>
              <w:t>Comprehensive (loss) income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r>
      <w:tr>
        <w:trPr>
          <w:trHeight w:val="20"/>
        </w:trPr>
        <w:tc>
          <w:tcPr>
            <w:tcW w:w="5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color w:val="auto"/>
        </w:rPr>
        <w:t>MARRIOTT INTERNATIONAL, INC.</w:t>
      </w:r>
    </w:p>
    <w:p>
      <w:pPr>
        <w:spacing w:after="0" w:line="21"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color w:val="auto"/>
        </w:rPr>
        <w:t>CONSOLIDATED BALANCE SHEETS</w:t>
      </w:r>
    </w:p>
    <w:p>
      <w:pPr>
        <w:jc w:val="center"/>
        <w:ind w:right="-479"/>
        <w:spacing w:after="0"/>
        <w:rPr>
          <w:sz w:val="20"/>
          <w:szCs w:val="20"/>
          <w:color w:val="auto"/>
        </w:rPr>
      </w:pPr>
      <w:r>
        <w:rPr>
          <w:rFonts w:ascii="Arial" w:cs="Arial" w:eastAsia="Arial" w:hAnsi="Arial"/>
          <w:sz w:val="20"/>
          <w:szCs w:val="20"/>
          <w:b w:val="1"/>
          <w:bCs w:val="1"/>
          <w:color w:val="auto"/>
        </w:rPr>
        <w:t>Fiscal Years-Ended 2020 and 2019</w:t>
      </w:r>
    </w:p>
    <w:p>
      <w:pPr>
        <w:jc w:val="center"/>
        <w:ind w:right="-479"/>
        <w:spacing w:after="0"/>
        <w:rPr>
          <w:sz w:val="20"/>
          <w:szCs w:val="20"/>
          <w:color w:val="auto"/>
        </w:rPr>
      </w:pPr>
      <w:r>
        <w:rPr>
          <w:rFonts w:ascii="Arial" w:cs="Arial" w:eastAsia="Arial" w:hAnsi="Arial"/>
          <w:sz w:val="20"/>
          <w:szCs w:val="20"/>
          <w:color w:val="auto"/>
        </w:rPr>
        <w:t>($ in millions)</w:t>
      </w:r>
    </w:p>
    <w:p>
      <w:pPr>
        <w:spacing w:after="0" w:line="96"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2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0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7060" w:type="dxa"/>
            <w:vAlign w:val="bottom"/>
          </w:tcPr>
          <w:p>
            <w:pPr>
              <w:ind w:left="340"/>
              <w:spacing w:after="0"/>
              <w:rPr>
                <w:sz w:val="20"/>
                <w:szCs w:val="20"/>
                <w:color w:val="auto"/>
              </w:rPr>
            </w:pPr>
            <w:r>
              <w:rPr>
                <w:rFonts w:ascii="Arial" w:cs="Arial" w:eastAsia="Arial" w:hAnsi="Arial"/>
                <w:sz w:val="18"/>
                <w:szCs w:val="18"/>
                <w:color w:val="auto"/>
              </w:rPr>
              <w:t>Accounts and notes receivable, net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Assets held for sale</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340"/>
              <w:spacing w:after="0"/>
              <w:rPr>
                <w:sz w:val="20"/>
                <w:szCs w:val="20"/>
                <w:color w:val="auto"/>
              </w:rPr>
            </w:pPr>
            <w:r>
              <w:rPr>
                <w:rFonts w:ascii="Arial" w:cs="Arial" w:eastAsia="Arial" w:hAnsi="Arial"/>
                <w:sz w:val="18"/>
                <w:szCs w:val="18"/>
                <w:color w:val="auto"/>
              </w:rPr>
              <w:t>Brands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5,954</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 acquisition costs and other</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9,048</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17,689</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Equity method investments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receivable, net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25,051</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1,173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30"/>
        </w:trPr>
        <w:tc>
          <w:tcPr>
            <w:tcW w:w="7060" w:type="dxa"/>
            <w:vAlign w:val="bottom"/>
          </w:tcPr>
          <w:p>
            <w:pPr>
              <w:ind w:left="340"/>
              <w:spacing w:after="0"/>
              <w:rPr>
                <w:sz w:val="20"/>
                <w:szCs w:val="20"/>
                <w:color w:val="auto"/>
              </w:rPr>
            </w:pPr>
            <w:r>
              <w:rPr>
                <w:rFonts w:ascii="Arial" w:cs="Arial" w:eastAsia="Arial" w:hAnsi="Arial"/>
                <w:sz w:val="18"/>
                <w:szCs w:val="18"/>
                <w:color w:val="auto"/>
              </w:rPr>
              <w:t>Accrued payroll and benefits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Liability for guest loyalty program</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Accrued expenses and other</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6,677</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9,963</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for guest loyalty program</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A Common Stock</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7060" w:type="dxa"/>
            <w:vAlign w:val="bottom"/>
          </w:tcPr>
          <w:p>
            <w:pPr>
              <w:ind w:left="340"/>
              <w:spacing w:after="0"/>
              <w:rPr>
                <w:sz w:val="20"/>
                <w:szCs w:val="20"/>
                <w:color w:val="auto"/>
              </w:rPr>
            </w:pPr>
            <w:r>
              <w:rPr>
                <w:rFonts w:ascii="Arial" w:cs="Arial" w:eastAsia="Arial" w:hAnsi="Arial"/>
                <w:sz w:val="18"/>
                <w:szCs w:val="18"/>
                <w:color w:val="auto"/>
              </w:rPr>
              <w:t>Additional paid-in-capital</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5,800</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9,644</w:t>
            </w:r>
          </w:p>
        </w:tc>
        <w:tc>
          <w:tcPr>
            <w:tcW w:w="0" w:type="dxa"/>
            <w:vAlign w:val="bottom"/>
          </w:tcPr>
          <w:p>
            <w:pPr>
              <w:spacing w:after="0"/>
              <w:rPr>
                <w:sz w:val="1"/>
                <w:szCs w:val="1"/>
                <w:color w:val="auto"/>
              </w:rPr>
            </w:pPr>
          </w:p>
        </w:tc>
      </w:tr>
      <w:tr>
        <w:trPr>
          <w:trHeight w:val="230"/>
        </w:trPr>
        <w:tc>
          <w:tcPr>
            <w:tcW w:w="7060" w:type="dxa"/>
            <w:vAlign w:val="bottom"/>
          </w:tcPr>
          <w:p>
            <w:pPr>
              <w:ind w:left="340"/>
              <w:spacing w:after="0"/>
              <w:rPr>
                <w:sz w:val="20"/>
                <w:szCs w:val="20"/>
                <w:color w:val="auto"/>
              </w:rPr>
            </w:pPr>
            <w:r>
              <w:rPr>
                <w:rFonts w:ascii="Arial" w:cs="Arial" w:eastAsia="Arial" w:hAnsi="Arial"/>
                <w:sz w:val="18"/>
                <w:szCs w:val="18"/>
                <w:color w:val="auto"/>
              </w:rPr>
              <w:t>Treasury stock, at cost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(14,385)</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25,051</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320" w:top="125" w:right="81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MARRIOTT INTERNATIONAL, INC.</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CONSOLIDATED STATEMENTS OF CASH FLOWS</w:t>
      </w:r>
    </w:p>
    <w:p>
      <w:pPr>
        <w:jc w:val="center"/>
        <w:ind w:right="-239"/>
        <w:spacing w:after="0"/>
        <w:rPr>
          <w:sz w:val="20"/>
          <w:szCs w:val="20"/>
          <w:color w:val="auto"/>
        </w:rPr>
      </w:pPr>
      <w:r>
        <w:rPr>
          <w:rFonts w:ascii="Arial" w:cs="Arial" w:eastAsia="Arial" w:hAnsi="Arial"/>
          <w:sz w:val="20"/>
          <w:szCs w:val="20"/>
          <w:b w:val="1"/>
          <w:bCs w:val="1"/>
          <w:color w:val="auto"/>
        </w:rPr>
        <w:t>Fiscal Years 2020, 2019, and 2018</w:t>
      </w:r>
    </w:p>
    <w:p>
      <w:pPr>
        <w:jc w:val="center"/>
        <w:ind w:right="-239"/>
        <w:spacing w:after="0"/>
        <w:rPr>
          <w:sz w:val="20"/>
          <w:szCs w:val="20"/>
          <w:color w:val="auto"/>
        </w:rPr>
      </w:pPr>
      <w:r>
        <w:rPr>
          <w:rFonts w:ascii="Arial" w:cs="Arial" w:eastAsia="Arial" w:hAnsi="Arial"/>
          <w:sz w:val="20"/>
          <w:szCs w:val="20"/>
          <w:color w:val="auto"/>
        </w:rPr>
        <w:t>($ in millions)</w:t>
      </w:r>
    </w:p>
    <w:p>
      <w:pPr>
        <w:spacing w:after="0" w:line="96"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40" w:type="dxa"/>
            <w:vAlign w:val="bottom"/>
          </w:tcPr>
          <w:p>
            <w:pPr>
              <w:jc w:val="right"/>
              <w:ind w:right="91"/>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70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r>
      <w:tr>
        <w:trPr>
          <w:trHeight w:val="211"/>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7000" w:type="dxa"/>
            <w:vAlign w:val="bottom"/>
          </w:tcPr>
          <w:p>
            <w:pPr>
              <w:ind w:left="340"/>
              <w:spacing w:after="0"/>
              <w:rPr>
                <w:sz w:val="20"/>
                <w:szCs w:val="20"/>
                <w:color w:val="auto"/>
              </w:rPr>
            </w:pPr>
            <w:r>
              <w:rPr>
                <w:rFonts w:ascii="Arial" w:cs="Arial" w:eastAsia="Arial" w:hAnsi="Arial"/>
                <w:sz w:val="18"/>
                <w:szCs w:val="18"/>
                <w:color w:val="auto"/>
              </w:rPr>
              <w:t>Net (loss)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1,907</w:t>
            </w:r>
          </w:p>
        </w:tc>
      </w:tr>
      <w:tr>
        <w:trPr>
          <w:trHeight w:val="229"/>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to cash provided by operating activities: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7000" w:type="dxa"/>
            <w:vAlign w:val="bottom"/>
          </w:tcPr>
          <w:p>
            <w:pPr>
              <w:ind w:left="660"/>
              <w:spacing w:after="0"/>
              <w:rPr>
                <w:sz w:val="20"/>
                <w:szCs w:val="20"/>
                <w:color w:val="auto"/>
              </w:rPr>
            </w:pPr>
            <w:r>
              <w:rPr>
                <w:rFonts w:ascii="Arial" w:cs="Arial" w:eastAsia="Arial" w:hAnsi="Arial"/>
                <w:sz w:val="18"/>
                <w:szCs w:val="18"/>
                <w:color w:val="auto"/>
              </w:rPr>
              <w:t>Depreciation, amortization, and other</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29"/>
        </w:trPr>
        <w:tc>
          <w:tcPr>
            <w:tcW w:w="7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29"/>
        </w:trPr>
        <w:tc>
          <w:tcPr>
            <w:tcW w:w="7000" w:type="dxa"/>
            <w:vAlign w:val="bottom"/>
          </w:tcPr>
          <w:p>
            <w:pPr>
              <w:ind w:left="66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30"/>
        </w:trPr>
        <w:tc>
          <w:tcPr>
            <w:tcW w:w="7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Liability for guest loyalty program</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29"/>
        </w:trPr>
        <w:tc>
          <w:tcPr>
            <w:tcW w:w="7000" w:type="dxa"/>
            <w:vAlign w:val="bottom"/>
          </w:tcPr>
          <w:p>
            <w:pPr>
              <w:ind w:left="660"/>
              <w:spacing w:after="0"/>
              <w:rPr>
                <w:sz w:val="20"/>
                <w:szCs w:val="20"/>
                <w:color w:val="auto"/>
              </w:rPr>
            </w:pPr>
            <w:r>
              <w:rPr>
                <w:rFonts w:ascii="Arial" w:cs="Arial" w:eastAsia="Arial" w:hAnsi="Arial"/>
                <w:sz w:val="18"/>
                <w:szCs w:val="18"/>
                <w:color w:val="auto"/>
              </w:rPr>
              <w:t>Contract acquisition costs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29"/>
        </w:trPr>
        <w:tc>
          <w:tcPr>
            <w:tcW w:w="7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Restructuring and merger-related charges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7000" w:type="dxa"/>
            <w:vAlign w:val="bottom"/>
          </w:tcPr>
          <w:p>
            <w:pPr>
              <w:ind w:left="660"/>
              <w:spacing w:after="0"/>
              <w:rPr>
                <w:sz w:val="20"/>
                <w:szCs w:val="20"/>
                <w:color w:val="auto"/>
              </w:rPr>
            </w:pPr>
            <w:r>
              <w:rPr>
                <w:rFonts w:ascii="Arial" w:cs="Arial" w:eastAsia="Arial" w:hAnsi="Arial"/>
                <w:sz w:val="18"/>
                <w:szCs w:val="18"/>
                <w:color w:val="auto"/>
              </w:rPr>
              <w:t>Working capital changes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7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Loss (gain) on asset dispositions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30"/>
        </w:trPr>
        <w:tc>
          <w:tcPr>
            <w:tcW w:w="70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Deferred revenue changes and other</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23"/>
        </w:trPr>
        <w:tc>
          <w:tcPr>
            <w:tcW w:w="7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w:t>
            </w:r>
          </w:p>
        </w:tc>
      </w:tr>
      <w:tr>
        <w:trPr>
          <w:trHeight w:val="210"/>
        </w:trPr>
        <w:tc>
          <w:tcPr>
            <w:tcW w:w="70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and technology expenditures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29"/>
        </w:trPr>
        <w:tc>
          <w:tcPr>
            <w:tcW w:w="7000" w:type="dxa"/>
            <w:vAlign w:val="bottom"/>
          </w:tcPr>
          <w:p>
            <w:pPr>
              <w:ind w:left="340"/>
              <w:spacing w:after="0"/>
              <w:rPr>
                <w:sz w:val="20"/>
                <w:szCs w:val="20"/>
                <w:color w:val="auto"/>
              </w:rPr>
            </w:pPr>
            <w:r>
              <w:rPr>
                <w:rFonts w:ascii="Arial" w:cs="Arial" w:eastAsia="Arial" w:hAnsi="Arial"/>
                <w:sz w:val="18"/>
                <w:szCs w:val="18"/>
                <w:color w:val="auto"/>
              </w:rPr>
              <w:t>Dispositions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30"/>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 advances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7000" w:type="dxa"/>
            <w:vAlign w:val="bottom"/>
          </w:tcPr>
          <w:p>
            <w:pPr>
              <w:ind w:left="340"/>
              <w:spacing w:after="0"/>
              <w:rPr>
                <w:sz w:val="20"/>
                <w:szCs w:val="20"/>
                <w:color w:val="auto"/>
              </w:rPr>
            </w:pPr>
            <w:r>
              <w:rPr>
                <w:rFonts w:ascii="Arial" w:cs="Arial" w:eastAsia="Arial" w:hAnsi="Arial"/>
                <w:sz w:val="18"/>
                <w:szCs w:val="18"/>
                <w:color w:val="auto"/>
              </w:rPr>
              <w:t>Loan collections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7000" w:type="dxa"/>
            <w:vAlign w:val="bottom"/>
            <w:tcBorders>
              <w:bottom w:val="single" w:sz="8" w:color="CCEEFF"/>
            </w:tcBorders>
          </w:tcPr>
          <w:p>
            <w:pPr>
              <w:ind w:left="980"/>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7000" w:type="dxa"/>
            <w:vAlign w:val="bottom"/>
          </w:tcPr>
          <w:p>
            <w:pPr>
              <w:ind w:left="340"/>
              <w:spacing w:after="0"/>
              <w:rPr>
                <w:sz w:val="20"/>
                <w:szCs w:val="20"/>
                <w:color w:val="auto"/>
              </w:rPr>
            </w:pPr>
            <w:r>
              <w:rPr>
                <w:rFonts w:ascii="Arial" w:cs="Arial" w:eastAsia="Arial" w:hAnsi="Arial"/>
                <w:sz w:val="18"/>
                <w:szCs w:val="18"/>
                <w:color w:val="auto"/>
              </w:rPr>
              <w:t>Commercial paper/Credit Facility, net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29"/>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long-term debt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r>
      <w:tr>
        <w:trPr>
          <w:trHeight w:val="230"/>
        </w:trPr>
        <w:tc>
          <w:tcPr>
            <w:tcW w:w="7000" w:type="dxa"/>
            <w:vAlign w:val="bottom"/>
          </w:tcPr>
          <w:p>
            <w:pPr>
              <w:ind w:left="340"/>
              <w:spacing w:after="0"/>
              <w:rPr>
                <w:sz w:val="20"/>
                <w:szCs w:val="20"/>
                <w:color w:val="auto"/>
              </w:rPr>
            </w:pPr>
            <w:r>
              <w:rPr>
                <w:rFonts w:ascii="Arial" w:cs="Arial" w:eastAsia="Arial" w:hAnsi="Arial"/>
                <w:sz w:val="18"/>
                <w:szCs w:val="18"/>
                <w:color w:val="auto"/>
              </w:rPr>
              <w:t>Repayment of long-term debt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(397)</w:t>
            </w:r>
          </w:p>
        </w:tc>
      </w:tr>
      <w:tr>
        <w:trPr>
          <w:trHeight w:val="230"/>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Class A Common Stock</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000" w:type="dxa"/>
            <w:vAlign w:val="bottom"/>
          </w:tcPr>
          <w:p>
            <w:pPr>
              <w:ind w:left="340"/>
              <w:spacing w:after="0"/>
              <w:rPr>
                <w:sz w:val="20"/>
                <w:szCs w:val="20"/>
                <w:color w:val="auto"/>
              </w:rPr>
            </w:pPr>
            <w:r>
              <w:rPr>
                <w:rFonts w:ascii="Arial" w:cs="Arial" w:eastAsia="Arial" w:hAnsi="Arial"/>
                <w:sz w:val="18"/>
                <w:szCs w:val="18"/>
                <w:color w:val="auto"/>
              </w:rPr>
              <w:t>Dividends paid</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229"/>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treasury stock</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r>
      <w:tr>
        <w:trPr>
          <w:trHeight w:val="230"/>
        </w:trPr>
        <w:tc>
          <w:tcPr>
            <w:tcW w:w="7000" w:type="dxa"/>
            <w:vAlign w:val="bottom"/>
          </w:tcPr>
          <w:p>
            <w:pPr>
              <w:ind w:left="340"/>
              <w:spacing w:after="0"/>
              <w:rPr>
                <w:sz w:val="20"/>
                <w:szCs w:val="20"/>
                <w:color w:val="auto"/>
              </w:rPr>
            </w:pPr>
            <w:r>
              <w:rPr>
                <w:rFonts w:ascii="Arial" w:cs="Arial" w:eastAsia="Arial" w:hAnsi="Arial"/>
                <w:sz w:val="18"/>
                <w:szCs w:val="18"/>
                <w:color w:val="auto"/>
              </w:rPr>
              <w:t>Stock-based compensation withholding taxes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Pr>
          <w:p>
            <w:pPr>
              <w:ind w:left="98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(2,374)</w:t>
            </w:r>
          </w:p>
        </w:tc>
      </w:tr>
      <w:tr>
        <w:trPr>
          <w:trHeight w:val="23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w w:val="99"/>
              </w:rPr>
              <w:t>INCREASE (DECREASE) IN CASH, CASH EQUIVALENTS, AND RESTRICTED CASH</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7000" w:type="dxa"/>
            <w:vAlign w:val="bottom"/>
            <w:tcBorders>
              <w:bottom w:val="single" w:sz="8" w:color="CCEEFF"/>
            </w:tcBorders>
          </w:tcPr>
          <w:p>
            <w:pPr>
              <w:spacing w:after="0" w:line="230" w:lineRule="exact"/>
              <w:rPr>
                <w:sz w:val="20"/>
                <w:szCs w:val="20"/>
                <w:color w:val="auto"/>
              </w:rPr>
            </w:pPr>
            <w:r>
              <w:rPr>
                <w:rFonts w:ascii="Arial" w:cs="Arial" w:eastAsia="Arial" w:hAnsi="Arial"/>
                <w:sz w:val="18"/>
                <w:szCs w:val="18"/>
                <w:color w:val="auto"/>
              </w:rPr>
              <w:t xml:space="preserve">CASH, CASH EQUIVALENTS, AND RESTRICTED CASH, beginning of period </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r>
      <w:tr>
        <w:trPr>
          <w:trHeight w:val="248"/>
        </w:trPr>
        <w:tc>
          <w:tcPr>
            <w:tcW w:w="700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18"/>
                <w:szCs w:val="18"/>
                <w:color w:val="auto"/>
              </w:rPr>
              <w:t xml:space="preserve">CASH, CASH EQUIVALENTS, AND RESTRICTED CASH, end of period </w:t>
            </w:r>
            <w:r>
              <w:rPr>
                <w:rFonts w:ascii="Arial" w:cs="Arial" w:eastAsia="Arial" w:hAnsi="Arial"/>
                <w:sz w:val="23"/>
                <w:szCs w:val="23"/>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660" w:right="20" w:hanging="328"/>
        <w:spacing w:after="0" w:line="217" w:lineRule="auto"/>
        <w:tabs>
          <w:tab w:leader="none" w:pos="647"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The 2020 amounts include beginning restricted cash of $28 million at December 31, 2019, and ending restricted cash of $17 million at December 31, 2020, which we present in the “Prepaid expenses and other” and “Other noncurrent assets” captions of our Balance Sheets.</w:t>
      </w:r>
    </w:p>
    <w:p>
      <w:pPr>
        <w:spacing w:after="0" w:line="14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25" w:right="57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center"/>
        <w:ind w:right="-279"/>
        <w:spacing w:after="0"/>
        <w:rPr>
          <w:sz w:val="20"/>
          <w:szCs w:val="20"/>
          <w:color w:val="auto"/>
        </w:rPr>
      </w:pPr>
      <w:r>
        <w:rPr>
          <w:rFonts w:ascii="Arial" w:cs="Arial" w:eastAsia="Arial" w:hAnsi="Arial"/>
          <w:sz w:val="20"/>
          <w:szCs w:val="20"/>
          <w:b w:val="1"/>
          <w:bCs w:val="1"/>
          <w:color w:val="auto"/>
        </w:rPr>
        <w:t>MARRIOTT INTERNATIONAL, INC.</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20"/>
          <w:szCs w:val="20"/>
          <w:b w:val="1"/>
          <w:bCs w:val="1"/>
          <w:color w:val="auto"/>
        </w:rPr>
        <w:t>CONSOLIDATED STATEMENTS OF STOCKHOLDERS’ EQUITY</w:t>
      </w:r>
    </w:p>
    <w:p>
      <w:pPr>
        <w:jc w:val="center"/>
        <w:ind w:right="-279"/>
        <w:spacing w:after="0"/>
        <w:rPr>
          <w:sz w:val="20"/>
          <w:szCs w:val="20"/>
          <w:color w:val="auto"/>
        </w:rPr>
      </w:pPr>
      <w:r>
        <w:rPr>
          <w:rFonts w:ascii="Arial" w:cs="Arial" w:eastAsia="Arial" w:hAnsi="Arial"/>
          <w:sz w:val="20"/>
          <w:szCs w:val="20"/>
          <w:b w:val="1"/>
          <w:bCs w:val="1"/>
          <w:color w:val="auto"/>
        </w:rPr>
        <w:t>Fiscal Years 2020, 2019, and 2018</w:t>
      </w:r>
    </w:p>
    <w:p>
      <w:pPr>
        <w:jc w:val="center"/>
        <w:ind w:right="-279"/>
        <w:spacing w:after="0"/>
        <w:rPr>
          <w:sz w:val="20"/>
          <w:szCs w:val="20"/>
          <w:color w:val="auto"/>
        </w:rPr>
      </w:pPr>
      <w:r>
        <w:rPr>
          <w:rFonts w:ascii="Arial" w:cs="Arial" w:eastAsia="Arial" w:hAnsi="Arial"/>
          <w:sz w:val="20"/>
          <w:szCs w:val="20"/>
          <w:color w:val="auto"/>
        </w:rPr>
        <w:t>(in millions, except per share amounts)</w:t>
      </w:r>
    </w:p>
    <w:p>
      <w:pPr>
        <w:spacing w:after="0" w:line="9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060" w:type="dxa"/>
            <w:vAlign w:val="bottom"/>
            <w:vMerge w:val="restart"/>
          </w:tcPr>
          <w:p>
            <w:pPr>
              <w:jc w:val="center"/>
              <w:ind w:right="2228"/>
              <w:spacing w:after="0"/>
              <w:rPr>
                <w:sz w:val="20"/>
                <w:szCs w:val="20"/>
                <w:color w:val="auto"/>
              </w:rPr>
            </w:pPr>
            <w:r>
              <w:rPr>
                <w:rFonts w:ascii="Arial" w:cs="Arial" w:eastAsia="Arial" w:hAnsi="Arial"/>
                <w:sz w:val="14"/>
                <w:szCs w:val="14"/>
                <w:b w:val="1"/>
                <w:bCs w:val="1"/>
                <w:color w:val="auto"/>
                <w:w w:val="92"/>
              </w:rPr>
              <w:t>Common</w:t>
            </w:r>
          </w:p>
        </w:tc>
        <w:tc>
          <w:tcPr>
            <w:tcW w:w="2820" w:type="dxa"/>
            <w:vAlign w:val="bottom"/>
          </w:tcPr>
          <w:p>
            <w:pPr>
              <w:spacing w:after="0"/>
              <w:rPr>
                <w:sz w:val="14"/>
                <w:szCs w:val="14"/>
                <w:color w:val="auto"/>
              </w:rPr>
            </w:pPr>
          </w:p>
        </w:tc>
        <w:tc>
          <w:tcPr>
            <w:tcW w:w="94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3"/>
              </w:rPr>
              <w:t>Class A</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88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Treasury</w:t>
            </w:r>
          </w:p>
        </w:tc>
        <w:tc>
          <w:tcPr>
            <w:tcW w:w="1060" w:type="dxa"/>
            <w:vAlign w:val="bottom"/>
          </w:tcPr>
          <w:p>
            <w:pPr>
              <w:jc w:val="center"/>
              <w:ind w:left="48"/>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35"/>
        </w:trPr>
        <w:tc>
          <w:tcPr>
            <w:tcW w:w="3060" w:type="dxa"/>
            <w:vAlign w:val="bottom"/>
            <w:vMerge w:val="continue"/>
          </w:tcPr>
          <w:p>
            <w:pPr>
              <w:spacing w:after="0"/>
              <w:rPr>
                <w:sz w:val="11"/>
                <w:szCs w:val="11"/>
                <w:color w:val="auto"/>
              </w:rPr>
            </w:pPr>
          </w:p>
        </w:tc>
        <w:tc>
          <w:tcPr>
            <w:tcW w:w="28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8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Retained</w:t>
            </w:r>
          </w:p>
        </w:tc>
        <w:tc>
          <w:tcPr>
            <w:tcW w:w="860" w:type="dxa"/>
            <w:vAlign w:val="bottom"/>
            <w:vMerge w:val="continue"/>
          </w:tcPr>
          <w:p>
            <w:pPr>
              <w:spacing w:after="0"/>
              <w:rPr>
                <w:sz w:val="11"/>
                <w:szCs w:val="11"/>
                <w:color w:val="auto"/>
              </w:rPr>
            </w:pPr>
          </w:p>
        </w:tc>
        <w:tc>
          <w:tcPr>
            <w:tcW w:w="1060" w:type="dxa"/>
            <w:vAlign w:val="bottom"/>
          </w:tcPr>
          <w:p>
            <w:pPr>
              <w:jc w:val="center"/>
              <w:ind w:left="48"/>
              <w:spacing w:after="0" w:line="135"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35"/>
        </w:trPr>
        <w:tc>
          <w:tcPr>
            <w:tcW w:w="3060" w:type="dxa"/>
            <w:vAlign w:val="bottom"/>
          </w:tcPr>
          <w:p>
            <w:pPr>
              <w:jc w:val="center"/>
              <w:ind w:right="2208"/>
              <w:spacing w:after="0" w:line="135" w:lineRule="exact"/>
              <w:rPr>
                <w:sz w:val="20"/>
                <w:szCs w:val="20"/>
                <w:color w:val="auto"/>
              </w:rPr>
            </w:pPr>
            <w:r>
              <w:rPr>
                <w:rFonts w:ascii="Arial" w:cs="Arial" w:eastAsia="Arial" w:hAnsi="Arial"/>
                <w:sz w:val="14"/>
                <w:szCs w:val="14"/>
                <w:b w:val="1"/>
                <w:bCs w:val="1"/>
                <w:color w:val="auto"/>
                <w:w w:val="89"/>
              </w:rPr>
              <w:t>Shares</w:t>
            </w:r>
          </w:p>
        </w:tc>
        <w:tc>
          <w:tcPr>
            <w:tcW w:w="2820" w:type="dxa"/>
            <w:vAlign w:val="bottom"/>
            <w:vMerge w:val="restart"/>
          </w:tcPr>
          <w:p>
            <w:pPr>
              <w:ind w:left="2280"/>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jc w:val="center"/>
              <w:ind w:left="28"/>
              <w:spacing w:after="0" w:line="135" w:lineRule="exact"/>
              <w:rPr>
                <w:sz w:val="20"/>
                <w:szCs w:val="20"/>
                <w:color w:val="auto"/>
              </w:rPr>
            </w:pPr>
            <w:r>
              <w:rPr>
                <w:rFonts w:ascii="Arial" w:cs="Arial" w:eastAsia="Arial" w:hAnsi="Arial"/>
                <w:sz w:val="14"/>
                <w:szCs w:val="14"/>
                <w:b w:val="1"/>
                <w:bCs w:val="1"/>
                <w:color w:val="auto"/>
                <w:w w:val="92"/>
              </w:rPr>
              <w:t>Common</w:t>
            </w: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Paid-in-</w:t>
            </w:r>
          </w:p>
        </w:tc>
        <w:tc>
          <w:tcPr>
            <w:tcW w:w="880" w:type="dxa"/>
            <w:vAlign w:val="bottom"/>
            <w:vMerge w:val="continue"/>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Stock, at</w:t>
            </w:r>
          </w:p>
        </w:tc>
        <w:tc>
          <w:tcPr>
            <w:tcW w:w="1060" w:type="dxa"/>
            <w:vAlign w:val="bottom"/>
          </w:tcPr>
          <w:p>
            <w:pPr>
              <w:jc w:val="center"/>
              <w:ind w:left="48"/>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86"/>
        </w:trPr>
        <w:tc>
          <w:tcPr>
            <w:tcW w:w="3060" w:type="dxa"/>
            <w:vAlign w:val="bottom"/>
          </w:tcPr>
          <w:p>
            <w:pPr>
              <w:jc w:val="center"/>
              <w:ind w:right="2228"/>
              <w:spacing w:after="0"/>
              <w:rPr>
                <w:sz w:val="20"/>
                <w:szCs w:val="20"/>
                <w:color w:val="auto"/>
              </w:rPr>
            </w:pPr>
            <w:r>
              <w:rPr>
                <w:rFonts w:ascii="Arial" w:cs="Arial" w:eastAsia="Arial" w:hAnsi="Arial"/>
                <w:sz w:val="14"/>
                <w:szCs w:val="14"/>
                <w:b w:val="1"/>
                <w:bCs w:val="1"/>
                <w:color w:val="auto"/>
                <w:w w:val="92"/>
              </w:rPr>
              <w:t>Outstanding</w:t>
            </w:r>
          </w:p>
        </w:tc>
        <w:tc>
          <w:tcPr>
            <w:tcW w:w="2820" w:type="dxa"/>
            <w:vAlign w:val="bottom"/>
            <w:vMerge w:val="continue"/>
          </w:tcPr>
          <w:p>
            <w:pPr>
              <w:spacing w:after="0"/>
              <w:rPr>
                <w:sz w:val="16"/>
                <w:szCs w:val="16"/>
                <w:color w:val="auto"/>
              </w:rPr>
            </w:pPr>
          </w:p>
        </w:tc>
        <w:tc>
          <w:tcPr>
            <w:tcW w:w="940" w:type="dxa"/>
            <w:vAlign w:val="bottom"/>
          </w:tcPr>
          <w:p>
            <w:pPr>
              <w:jc w:val="center"/>
              <w:ind w:left="8"/>
              <w:spacing w:after="0"/>
              <w:rPr>
                <w:sz w:val="20"/>
                <w:szCs w:val="20"/>
                <w:color w:val="auto"/>
              </w:rPr>
            </w:pPr>
            <w:r>
              <w:rPr>
                <w:rFonts w:ascii="Arial" w:cs="Arial" w:eastAsia="Arial" w:hAnsi="Arial"/>
                <w:sz w:val="14"/>
                <w:szCs w:val="14"/>
                <w:b w:val="1"/>
                <w:bCs w:val="1"/>
                <w:color w:val="auto"/>
                <w:w w:val="89"/>
              </w:rPr>
              <w:t>Stock</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880" w:type="dxa"/>
            <w:vAlign w:val="bottom"/>
          </w:tcPr>
          <w:p>
            <w:pPr>
              <w:ind w:left="140"/>
              <w:spacing w:after="0"/>
              <w:rPr>
                <w:sz w:val="20"/>
                <w:szCs w:val="20"/>
                <w:color w:val="auto"/>
              </w:rPr>
            </w:pPr>
            <w:r>
              <w:rPr>
                <w:rFonts w:ascii="Arial" w:cs="Arial" w:eastAsia="Arial" w:hAnsi="Arial"/>
                <w:sz w:val="14"/>
                <w:szCs w:val="14"/>
                <w:b w:val="1"/>
                <w:bCs w:val="1"/>
                <w:color w:val="auto"/>
              </w:rPr>
              <w:t>Earnings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Cost</w:t>
            </w:r>
          </w:p>
        </w:tc>
        <w:tc>
          <w:tcPr>
            <w:tcW w:w="1060" w:type="dxa"/>
            <w:vAlign w:val="bottom"/>
          </w:tcPr>
          <w:p>
            <w:pPr>
              <w:jc w:val="center"/>
              <w:ind w:left="68"/>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1905</wp:posOffset>
            </wp:positionV>
            <wp:extent cx="6772275"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72275" cy="154305"/>
                    </a:xfrm>
                    <a:prstGeom prst="rect">
                      <a:avLst/>
                    </a:prstGeom>
                    <a:noFill/>
                  </pic:spPr>
                </pic:pic>
              </a:graphicData>
            </a:graphic>
          </wp:anchor>
        </w:drawing>
      </w:r>
    </w:p>
    <w:p>
      <w:pPr>
        <w:sectPr>
          <w:pgSz w:w="11900" w:h="16838" w:orient="portrait"/>
          <w:cols w:equalWidth="0" w:num="1">
            <w:col w:w="10960"/>
          </w:cols>
          <w:pgMar w:left="320" w:top="125" w:right="619" w:bottom="1440" w:gutter="0" w:footer="0" w:header="0"/>
        </w:sectPr>
      </w:pPr>
    </w:p>
    <w:p>
      <w:pPr>
        <w:spacing w:after="0" w:line="1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359.1</w:t>
      </w:r>
    </w:p>
    <w:p>
      <w:pPr>
        <w:spacing w:after="0" w:line="5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(21.5)</w:t>
      </w:r>
    </w:p>
    <w:p>
      <w:pPr>
        <w:spacing w:after="0" w:line="5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339.1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22225</wp:posOffset>
            </wp:positionV>
            <wp:extent cx="5486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3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Balance at December 31, 2017</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3,582</w:t>
            </w: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5,770</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7,242</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(9,418)</w:t>
            </w:r>
          </w:p>
        </w:tc>
        <w:tc>
          <w:tcPr>
            <w:tcW w:w="8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rPr>
              <w:t>Adoption of ASU 2016-01</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rPr>
              <w:t>Adoption of ASU 2016-16</w:t>
            </w:r>
          </w:p>
        </w:tc>
        <w:tc>
          <w:tcPr>
            <w:tcW w:w="1620" w:type="dxa"/>
            <w:vAlign w:val="bottom"/>
          </w:tcPr>
          <w:p>
            <w:pPr>
              <w:jc w:val="right"/>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19"/>
                <w:szCs w:val="19"/>
                <w:color w:val="auto"/>
              </w:rPr>
            </w:pP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20" w:type="dxa"/>
            <w:vAlign w:val="bottom"/>
          </w:tcPr>
          <w:p>
            <w:pPr>
              <w:jc w:val="right"/>
              <w:spacing w:after="0"/>
              <w:rPr>
                <w:sz w:val="20"/>
                <w:szCs w:val="20"/>
                <w:color w:val="auto"/>
              </w:rPr>
            </w:pPr>
            <w:r>
              <w:rPr>
                <w:rFonts w:ascii="Arial" w:cs="Arial" w:eastAsia="Arial" w:hAnsi="Arial"/>
                <w:sz w:val="18"/>
                <w:szCs w:val="18"/>
                <w:color w:val="auto"/>
              </w:rPr>
              <w:t>1,907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1,907</w:t>
            </w:r>
          </w:p>
        </w:tc>
        <w:tc>
          <w:tcPr>
            <w:tcW w:w="80" w:type="dxa"/>
            <w:vAlign w:val="bottom"/>
          </w:tcPr>
          <w:p>
            <w:pPr>
              <w:spacing w:after="0"/>
              <w:rPr>
                <w:sz w:val="19"/>
                <w:szCs w:val="19"/>
                <w:color w:val="auto"/>
              </w:rPr>
            </w:pP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620" w:type="dxa"/>
            <w:vAlign w:val="bottom"/>
          </w:tcPr>
          <w:p>
            <w:pPr>
              <w:jc w:val="right"/>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rPr>
              <w:t>Dividends ($1.56 per share)</w:t>
            </w:r>
          </w:p>
        </w:tc>
        <w:tc>
          <w:tcPr>
            <w:tcW w:w="1620" w:type="dxa"/>
            <w:vAlign w:val="bottom"/>
          </w:tcPr>
          <w:p>
            <w:pPr>
              <w:jc w:val="right"/>
              <w:spacing w:after="0"/>
              <w:rPr>
                <w:sz w:val="20"/>
                <w:szCs w:val="20"/>
                <w:color w:val="auto"/>
              </w:rPr>
            </w:pPr>
            <w:r>
              <w:rPr>
                <w:rFonts w:ascii="Arial" w:cs="Arial" w:eastAsia="Arial" w:hAnsi="Arial"/>
                <w:sz w:val="18"/>
                <w:szCs w:val="18"/>
                <w:color w:val="auto"/>
              </w:rPr>
              <w:t>(543)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(543)</w:t>
            </w:r>
          </w:p>
        </w:tc>
        <w:tc>
          <w:tcPr>
            <w:tcW w:w="80" w:type="dxa"/>
            <w:vAlign w:val="bottom"/>
          </w:tcPr>
          <w:p>
            <w:pPr>
              <w:spacing w:after="0"/>
              <w:rPr>
                <w:sz w:val="19"/>
                <w:szCs w:val="19"/>
                <w:color w:val="auto"/>
              </w:rPr>
            </w:pP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Stock-based compensation plans</w:t>
            </w:r>
          </w:p>
        </w:tc>
        <w:tc>
          <w:tcPr>
            <w:tcW w:w="162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ind w:left="58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Purchase of treasury stock</w:t>
            </w:r>
          </w:p>
        </w:tc>
        <w:tc>
          <w:tcPr>
            <w:tcW w:w="1620" w:type="dxa"/>
            <w:vAlign w:val="bottom"/>
          </w:tcPr>
          <w:p>
            <w:pPr>
              <w:jc w:val="right"/>
              <w:spacing w:after="0"/>
              <w:rPr>
                <w:sz w:val="20"/>
                <w:szCs w:val="20"/>
                <w:color w:val="auto"/>
              </w:rPr>
            </w:pPr>
            <w:r>
              <w:rPr>
                <w:rFonts w:ascii="Arial" w:cs="Arial" w:eastAsia="Arial" w:hAnsi="Arial"/>
                <w:sz w:val="18"/>
                <w:szCs w:val="18"/>
                <w:color w:val="auto"/>
              </w:rPr>
              <w:t>(2,809)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(2,809)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Balance at December 31, 2018</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2,225</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5,814</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8,982</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(12,185)</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w:t>
            </w:r>
          </w:p>
        </w:tc>
      </w:tr>
      <w:tr>
        <w:trPr>
          <w:trHeight w:val="222"/>
        </w:trPr>
        <w:tc>
          <w:tcPr>
            <w:tcW w:w="3200" w:type="dxa"/>
            <w:vAlign w:val="bottom"/>
          </w:tcPr>
          <w:p>
            <w:pPr>
              <w:ind w:left="20"/>
              <w:spacing w:after="0"/>
              <w:rPr>
                <w:sz w:val="20"/>
                <w:szCs w:val="20"/>
                <w:color w:val="auto"/>
              </w:rPr>
            </w:pPr>
            <w:r>
              <w:rPr>
                <w:rFonts w:ascii="Arial" w:cs="Arial" w:eastAsia="Arial" w:hAnsi="Arial"/>
                <w:sz w:val="18"/>
                <w:szCs w:val="18"/>
                <w:color w:val="auto"/>
              </w:rPr>
              <w:t>Adoption of ASU 2016-02</w:t>
            </w: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20" w:type="dxa"/>
            <w:vAlign w:val="bottom"/>
          </w:tcPr>
          <w:p>
            <w:pPr>
              <w:jc w:val="right"/>
              <w:spacing w:after="0"/>
              <w:rPr>
                <w:sz w:val="20"/>
                <w:szCs w:val="20"/>
                <w:color w:val="auto"/>
              </w:rPr>
            </w:pPr>
            <w:r>
              <w:rPr>
                <w:rFonts w:ascii="Arial" w:cs="Arial" w:eastAsia="Arial" w:hAnsi="Arial"/>
                <w:sz w:val="18"/>
                <w:szCs w:val="18"/>
                <w:color w:val="auto"/>
              </w:rPr>
              <w:t>1,273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1,273</w:t>
            </w:r>
          </w:p>
        </w:tc>
        <w:tc>
          <w:tcPr>
            <w:tcW w:w="80" w:type="dxa"/>
            <w:vAlign w:val="bottom"/>
          </w:tcPr>
          <w:p>
            <w:pPr>
              <w:spacing w:after="0"/>
              <w:rPr>
                <w:sz w:val="19"/>
                <w:szCs w:val="19"/>
                <w:color w:val="auto"/>
              </w:rPr>
            </w:pP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62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Dividends ($1.85 per share)</w:t>
            </w:r>
          </w:p>
        </w:tc>
        <w:tc>
          <w:tcPr>
            <w:tcW w:w="1620" w:type="dxa"/>
            <w:vAlign w:val="bottom"/>
          </w:tcPr>
          <w:p>
            <w:pPr>
              <w:jc w:val="right"/>
              <w:spacing w:after="0"/>
              <w:rPr>
                <w:sz w:val="20"/>
                <w:szCs w:val="20"/>
                <w:color w:val="auto"/>
              </w:rPr>
            </w:pPr>
            <w:r>
              <w:rPr>
                <w:rFonts w:ascii="Arial" w:cs="Arial" w:eastAsia="Arial" w:hAnsi="Arial"/>
                <w:sz w:val="18"/>
                <w:szCs w:val="18"/>
                <w:color w:val="auto"/>
              </w:rPr>
              <w:t>(612)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(612)</w:t>
            </w:r>
          </w:p>
        </w:tc>
        <w:tc>
          <w:tcPr>
            <w:tcW w:w="80" w:type="dxa"/>
            <w:vAlign w:val="bottom"/>
          </w:tcPr>
          <w:p>
            <w:pPr>
              <w:spacing w:after="0"/>
              <w:rPr>
                <w:sz w:val="19"/>
                <w:szCs w:val="19"/>
                <w:color w:val="auto"/>
              </w:rPr>
            </w:pP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rPr>
              <w:t>Stock-based compensation plans</w:t>
            </w:r>
          </w:p>
        </w:tc>
        <w:tc>
          <w:tcPr>
            <w:tcW w:w="162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ind w:left="58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Purchase of treasury stock</w:t>
            </w:r>
          </w:p>
        </w:tc>
        <w:tc>
          <w:tcPr>
            <w:tcW w:w="1620" w:type="dxa"/>
            <w:vAlign w:val="bottom"/>
          </w:tcPr>
          <w:p>
            <w:pPr>
              <w:jc w:val="right"/>
              <w:spacing w:after="0"/>
              <w:rPr>
                <w:sz w:val="20"/>
                <w:szCs w:val="20"/>
                <w:color w:val="auto"/>
              </w:rPr>
            </w:pPr>
            <w:r>
              <w:rPr>
                <w:rFonts w:ascii="Arial" w:cs="Arial" w:eastAsia="Arial" w:hAnsi="Arial"/>
                <w:sz w:val="18"/>
                <w:szCs w:val="18"/>
                <w:color w:val="auto"/>
              </w:rPr>
              <w:t>(2,260)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(2,260)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-1910715</wp:posOffset>
            </wp:positionV>
            <wp:extent cx="6772275"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72275" cy="14541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-1619250</wp:posOffset>
            </wp:positionV>
            <wp:extent cx="6772275"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72275" cy="14541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-1328420</wp:posOffset>
            </wp:positionV>
            <wp:extent cx="6772275"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72275" cy="14605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-728345</wp:posOffset>
            </wp:positionV>
            <wp:extent cx="677227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72275" cy="14605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-436245</wp:posOffset>
            </wp:positionV>
            <wp:extent cx="6772275"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72275" cy="14541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-144780</wp:posOffset>
            </wp:positionV>
            <wp:extent cx="6772275"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72275" cy="14541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-1036320</wp:posOffset>
            </wp:positionV>
            <wp:extent cx="6772275"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72275" cy="1543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120" w:space="300"/>
            <w:col w:w="9540"/>
          </w:cols>
          <w:pgMar w:left="320" w:top="125" w:right="619" w:bottom="1440" w:gutter="0" w:footer="0" w:header="0"/>
          <w:type w:val="continuous"/>
        </w:sectPr>
      </w:pPr>
    </w:p>
    <w:tbl>
      <w:tblPr>
        <w:tblLayout w:type="fixed"/>
        <w:tblInd w:w="300" w:type="dxa"/>
        <w:tblCellMar>
          <w:top w:w="0" w:type="dxa"/>
          <w:left w:w="0" w:type="dxa"/>
          <w:bottom w:w="0" w:type="dxa"/>
          <w:right w:w="0" w:type="dxa"/>
        </w:tblCellMar>
      </w:tblPr>
      <w:tr>
        <w:trPr>
          <w:trHeight w:val="223"/>
        </w:trPr>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324.0</w:t>
            </w:r>
          </w:p>
        </w:tc>
        <w:tc>
          <w:tcPr>
            <w:tcW w:w="260" w:type="dxa"/>
            <w:vAlign w:val="bottom"/>
            <w:tcBorders>
              <w:bottom w:val="single" w:sz="8" w:color="CCEEFF"/>
            </w:tcBorders>
          </w:tcPr>
          <w:p>
            <w:pPr>
              <w:spacing w:after="0"/>
              <w:rPr>
                <w:sz w:val="19"/>
                <w:szCs w:val="19"/>
                <w:color w:val="auto"/>
              </w:rPr>
            </w:pPr>
          </w:p>
        </w:tc>
        <w:tc>
          <w:tcPr>
            <w:tcW w:w="3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Balance at December 31, 2019</w:t>
            </w:r>
          </w:p>
        </w:tc>
        <w:tc>
          <w:tcPr>
            <w:tcW w:w="10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5,800</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9,644</w:t>
            </w:r>
          </w:p>
        </w:tc>
        <w:tc>
          <w:tcPr>
            <w:tcW w:w="8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(14,385)</w:t>
            </w: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r>
      <w:tr>
        <w:trPr>
          <w:trHeight w:val="223"/>
        </w:trPr>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Adoption of ASU 2016-13</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30"/>
        </w:trPr>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Arial" w:cs="Arial" w:eastAsia="Arial" w:hAnsi="Arial"/>
                <w:sz w:val="18"/>
                <w:szCs w:val="18"/>
                <w:color w:val="auto"/>
              </w:rPr>
              <w:t>Dividends ($0.48 per share)</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9"/>
                <w:szCs w:val="19"/>
                <w:color w:val="auto"/>
              </w:rPr>
            </w:pP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plans</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Arial" w:cs="Arial" w:eastAsia="Arial" w:hAnsi="Arial"/>
                <w:sz w:val="18"/>
                <w:szCs w:val="18"/>
                <w:color w:val="auto"/>
              </w:rPr>
              <w:t>Purchase of treasury stock</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260" w:type="dxa"/>
            <w:vAlign w:val="bottom"/>
            <w:tcBorders>
              <w:top w:val="single" w:sz="8" w:color="CCEEFF"/>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81"/>
              </w:rPr>
              <w:t>(1)</w:t>
            </w:r>
          </w:p>
        </w:tc>
        <w:tc>
          <w:tcPr>
            <w:tcW w:w="3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0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(14,497)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0"/>
        </w:trPr>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500" w:right="80" w:hanging="330"/>
        <w:spacing w:after="0" w:line="194" w:lineRule="auto"/>
        <w:tabs>
          <w:tab w:leader="none" w:pos="488" w:val="left"/>
        </w:tabs>
        <w:numPr>
          <w:ilvl w:val="0"/>
          <w:numId w:val="21"/>
        </w:numPr>
        <w:rPr>
          <w:rFonts w:ascii="Arial" w:cs="Arial" w:eastAsia="Arial" w:hAnsi="Arial"/>
          <w:sz w:val="23"/>
          <w:szCs w:val="23"/>
          <w:color w:val="auto"/>
          <w:vertAlign w:val="superscript"/>
        </w:rPr>
      </w:pPr>
      <w:r>
        <w:rPr>
          <w:rFonts w:ascii="Arial" w:cs="Arial" w:eastAsia="Arial" w:hAnsi="Arial"/>
          <w:sz w:val="14"/>
          <w:szCs w:val="14"/>
          <w:color w:val="auto"/>
        </w:rPr>
        <w:t>Our restated certificate of incorporation authorizes 800 million shares of our common stock, with a par value of $0.01 per share and 10 million shares of preferred stock, without par value. At year-end 2020, we had 324.4 million of these authorized shares of our common stock and no preferred stock outstanding.</w:t>
      </w:r>
    </w:p>
    <w:p>
      <w:pPr>
        <w:spacing w:after="0" w:line="200" w:lineRule="exact"/>
        <w:rPr>
          <w:sz w:val="20"/>
          <w:szCs w:val="20"/>
          <w:color w:val="auto"/>
        </w:rPr>
      </w:pPr>
    </w:p>
    <w:p>
      <w:pPr>
        <w:spacing w:after="0" w:line="2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25" w:right="61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MARRIOTT INTERNATIONAL,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75" w:lineRule="exact"/>
        <w:rPr>
          <w:sz w:val="20"/>
          <w:szCs w:val="20"/>
          <w:color w:val="auto"/>
        </w:rPr>
      </w:pPr>
    </w:p>
    <w:p>
      <w:pPr>
        <w:ind w:right="120" w:firstLine="445"/>
        <w:spacing w:after="0" w:line="291" w:lineRule="auto"/>
        <w:rPr>
          <w:sz w:val="20"/>
          <w:szCs w:val="20"/>
          <w:color w:val="auto"/>
        </w:rPr>
      </w:pPr>
      <w:r>
        <w:rPr>
          <w:rFonts w:ascii="Arial" w:cs="Arial" w:eastAsia="Arial" w:hAnsi="Arial"/>
          <w:sz w:val="16"/>
          <w:szCs w:val="16"/>
          <w:color w:val="auto"/>
        </w:rPr>
        <w:t>The consolidated financial statements present the results of operations, financial position, and cash flows of Marriott International, Inc. and subsidiaries (referred to in this report as “we,” “us,” “Marriott,” or the “Company”). In order to make this report easier to read, we also refer throughout to</w:t>
      </w:r>
    </w:p>
    <w:p>
      <w:pPr>
        <w:ind w:left="260" w:hanging="252"/>
        <w:spacing w:after="0"/>
        <w:tabs>
          <w:tab w:leader="none" w:pos="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Consolidated Financial Statements as our “Financial Statements,” (2) our Consolidated Statements of (Loss) Income as our “Income Statements,”</w:t>
      </w:r>
    </w:p>
    <w:p>
      <w:pPr>
        <w:spacing w:after="0" w:line="32" w:lineRule="exact"/>
        <w:rPr>
          <w:rFonts w:ascii="Arial" w:cs="Arial" w:eastAsia="Arial" w:hAnsi="Arial"/>
          <w:sz w:val="16"/>
          <w:szCs w:val="16"/>
          <w:color w:val="auto"/>
        </w:rPr>
      </w:pPr>
    </w:p>
    <w:p>
      <w:pPr>
        <w:jc w:val="both"/>
        <w:ind w:right="180" w:firstLine="8"/>
        <w:spacing w:after="0" w:line="273" w:lineRule="auto"/>
        <w:tabs>
          <w:tab w:leader="none" w:pos="2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Consolidated Balance Sheets as our “Balance Sheets,” (4) our Consolidated Statements of Cash Flows as our “Statements of Cash Flows,” (5) our properties, brands, or markets in the United States and Canada as “U.S. &amp; Canada,” and (6) our properties, brands, or markets in our Caribbean and Latin America region, Europe, Middle East and Africa segment, and Asia Pacific segment as “International.” In addition, references throughout to numbered “Notes” refer to these Notes to Consolidated Financial Statements, unless otherwise stated.</w:t>
      </w:r>
    </w:p>
    <w:p>
      <w:pPr>
        <w:spacing w:after="0" w:line="122" w:lineRule="exact"/>
        <w:rPr>
          <w:sz w:val="20"/>
          <w:szCs w:val="20"/>
          <w:color w:val="auto"/>
        </w:rPr>
      </w:pPr>
    </w:p>
    <w:p>
      <w:pPr>
        <w:ind w:right="180" w:firstLine="405"/>
        <w:spacing w:after="0" w:line="301" w:lineRule="auto"/>
        <w:rPr>
          <w:sz w:val="20"/>
          <w:szCs w:val="20"/>
          <w:color w:val="auto"/>
        </w:rPr>
      </w:pPr>
      <w:r>
        <w:rPr>
          <w:rFonts w:ascii="Arial" w:cs="Arial" w:eastAsia="Arial" w:hAnsi="Arial"/>
          <w:sz w:val="16"/>
          <w:szCs w:val="16"/>
          <w:color w:val="auto"/>
        </w:rPr>
        <w:t>Preparation of financial statements that conform with U.S. generally accepted accounting principles (“GAAP”) requires management to make estimates and assumptions that affect the reported amounts of assets and liabilities as of the date of the financial statements, the reported amounts of revenues and expenses during the reporting periods, and the disclosures of contingent liabilities. The uncertainty created by the coronavirus and efforts to contain it (“COVID-19”) has made such estimates more difficult and subjective. Accordingly, ultimate results could differ from those estimates.</w:t>
      </w:r>
    </w:p>
    <w:p>
      <w:pPr>
        <w:spacing w:after="0" w:line="103" w:lineRule="exact"/>
        <w:rPr>
          <w:sz w:val="20"/>
          <w:szCs w:val="20"/>
          <w:color w:val="auto"/>
        </w:rPr>
      </w:pPr>
    </w:p>
    <w:p>
      <w:pPr>
        <w:jc w:val="both"/>
        <w:ind w:right="140" w:firstLine="445"/>
        <w:spacing w:after="0" w:line="263" w:lineRule="auto"/>
        <w:rPr>
          <w:sz w:val="20"/>
          <w:szCs w:val="20"/>
          <w:color w:val="auto"/>
        </w:rPr>
      </w:pPr>
      <w:r>
        <w:rPr>
          <w:rFonts w:ascii="Arial" w:cs="Arial" w:eastAsia="Arial" w:hAnsi="Arial"/>
          <w:sz w:val="18"/>
          <w:szCs w:val="18"/>
          <w:color w:val="auto"/>
        </w:rPr>
        <w:t>The accompanying Financial Statements reflect all normal and recurring adjustments necessary to present fairly our financial position at fiscal year-end 2020 and fiscal year-end 2019 and the results of our operations and cash flows for fiscal years 2020, 2019, and 2018. We have eliminated all material intercompany transactions and balances between entities consolidated in these Financial Statements.</w:t>
      </w:r>
    </w:p>
    <w:p>
      <w:pPr>
        <w:spacing w:after="0" w:line="130" w:lineRule="exact"/>
        <w:rPr>
          <w:sz w:val="20"/>
          <w:szCs w:val="20"/>
          <w:color w:val="auto"/>
        </w:rPr>
      </w:pPr>
    </w:p>
    <w:p>
      <w:pPr>
        <w:ind w:right="380" w:firstLine="445"/>
        <w:spacing w:after="0" w:line="277" w:lineRule="auto"/>
        <w:rPr>
          <w:sz w:val="20"/>
          <w:szCs w:val="20"/>
          <w:color w:val="auto"/>
        </w:rPr>
      </w:pPr>
      <w:r>
        <w:rPr>
          <w:rFonts w:ascii="Arial" w:cs="Arial" w:eastAsia="Arial" w:hAnsi="Arial"/>
          <w:sz w:val="18"/>
          <w:szCs w:val="18"/>
          <w:color w:val="auto"/>
        </w:rPr>
        <w:t>The accompanying Financial Statements also reflect our adoption of Accounting Standards Update (“ASU”) 2016-13. See the “New Accounting Standards Adopted” caption in Note 2 for additional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u w:val="single" w:color="auto"/>
          <w:color w:val="auto"/>
        </w:rPr>
        <w:t>Base Management and Incentive Management Fees</w:t>
      </w:r>
      <w:r>
        <w:rPr>
          <w:rFonts w:ascii="Arial" w:cs="Arial" w:eastAsia="Arial" w:hAnsi="Arial"/>
          <w:sz w:val="17"/>
          <w:szCs w:val="17"/>
          <w:color w:val="auto"/>
        </w:rPr>
        <w:t>: For our managed hotels, we have performance obligations to provide hotel management services and a license to our intellectual property for the use of our brand names. As compensation for such services, we are generally entitled to receive base fees, which are a percentage of the revenues of hotels, and incentives fees, which are generally based on a measure of hotel profitability. Both the base and incentive management fees are variable consideration, as the transaction price is based on a percentage of revenue or profit, as defined in each contract. We recognize base management fees on a monthly basis over the term of the agreement as those amounts become payable. We recognize incentive management fees on a monthly basis over the term of the agreement based on each property’s financial results, as long as we do not expect a significant reversal due to projected future hotel performance or cash flows in future periods.</w:t>
      </w:r>
    </w:p>
    <w:p>
      <w:pPr>
        <w:spacing w:after="0" w:line="123" w:lineRule="exact"/>
        <w:rPr>
          <w:sz w:val="20"/>
          <w:szCs w:val="20"/>
          <w:color w:val="auto"/>
        </w:rPr>
      </w:pPr>
    </w:p>
    <w:p>
      <w:pPr>
        <w:ind w:right="60" w:firstLine="445"/>
        <w:spacing w:after="0" w:line="273" w:lineRule="auto"/>
        <w:rPr>
          <w:sz w:val="20"/>
          <w:szCs w:val="20"/>
          <w:color w:val="auto"/>
        </w:rPr>
      </w:pPr>
      <w:r>
        <w:rPr>
          <w:rFonts w:ascii="Arial" w:cs="Arial" w:eastAsia="Arial" w:hAnsi="Arial"/>
          <w:sz w:val="17"/>
          <w:szCs w:val="17"/>
          <w:u w:val="single" w:color="auto"/>
          <w:color w:val="auto"/>
        </w:rPr>
        <w:t>Franchise Fee and Royalty Fee Revenue</w:t>
      </w:r>
      <w:r>
        <w:rPr>
          <w:rFonts w:ascii="Arial" w:cs="Arial" w:eastAsia="Arial" w:hAnsi="Arial"/>
          <w:sz w:val="17"/>
          <w:szCs w:val="17"/>
          <w:color w:val="auto"/>
        </w:rPr>
        <w:t>: For our franchised hotels, we have a performance obligation to provide franchisees and operators a license to our intellectual property for use of certain of our brand names. As compensation for such services, we are typically entitled to initial application fees and ongoing royalty fees. Our ongoing royalty fees represent variable consideration, as the transaction price is based on a percentage of certain revenues of the hotels, as defined in each contract. We recognize royalty fees on a monthly basis over the term of the agreement as those amounts become payable. Initial application and relicensing fees are fixed consideration payable upon submission of a franchise application or renewal and are recognized on a straight-line basis over the initial or renewal term of the franchise agreements.</w:t>
      </w:r>
    </w:p>
    <w:p>
      <w:pPr>
        <w:spacing w:after="0" w:line="124"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u w:val="single" w:color="auto"/>
          <w:color w:val="auto"/>
        </w:rPr>
        <w:t>Owned and Leased Hotel Revenue</w:t>
      </w:r>
      <w:r>
        <w:rPr>
          <w:rFonts w:ascii="Arial" w:cs="Arial" w:eastAsia="Arial" w:hAnsi="Arial"/>
          <w:sz w:val="18"/>
          <w:szCs w:val="18"/>
          <w:color w:val="auto"/>
        </w:rPr>
        <w:t>: At our owned and leased hotels, we have performance obligations to provide accommodations and other ancillary services to hotel guests. As compensation for such goods and services, we are typically entitled to a fixed nightly fee for an agreed upon period and additional fixed fees for any ancillary services purchased. These fees are generally payable at the time the hotel guest checks out of the hotel. We generally satisfy the performance obligations over time, and we recognize the revenue from room sales and from other ancillary guest services on a daily basis, as the rooms are occupied and we have rendered the services.</w:t>
      </w:r>
    </w:p>
    <w:p>
      <w:pPr>
        <w:spacing w:after="0" w:line="134" w:lineRule="exact"/>
        <w:rPr>
          <w:sz w:val="20"/>
          <w:szCs w:val="20"/>
          <w:color w:val="auto"/>
        </w:rPr>
      </w:pPr>
    </w:p>
    <w:p>
      <w:pPr>
        <w:jc w:val="both"/>
        <w:ind w:right="80" w:firstLine="445"/>
        <w:spacing w:after="0" w:line="263" w:lineRule="auto"/>
        <w:rPr>
          <w:sz w:val="20"/>
          <w:szCs w:val="20"/>
          <w:color w:val="auto"/>
        </w:rPr>
      </w:pPr>
      <w:r>
        <w:rPr>
          <w:rFonts w:ascii="Arial" w:cs="Arial" w:eastAsia="Arial" w:hAnsi="Arial"/>
          <w:sz w:val="18"/>
          <w:szCs w:val="18"/>
          <w:u w:val="single" w:color="auto"/>
          <w:color w:val="auto"/>
        </w:rPr>
        <w:t>Cost Reimbursements</w:t>
      </w:r>
      <w:r>
        <w:rPr>
          <w:rFonts w:ascii="Arial" w:cs="Arial" w:eastAsia="Arial" w:hAnsi="Arial"/>
          <w:sz w:val="18"/>
          <w:szCs w:val="18"/>
          <w:color w:val="auto"/>
        </w:rPr>
        <w:t>: Under our management and franchise agreements, we are entitled to be reimbursed for certain costs we incur on behalf of the managed, franchised, and licensed properties, with no added mark-up. These costs primarily consist of payroll and related expenses at managed properties where we are the employer of the employees at the properties and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include certain operational and administrative costs as provided for in our contracts with the owners. We are entitled to reimbursement in the period we incur the related reimbursable costs, which we recognize within the “Cost reimbursement revenue” caption of our Income Statements.</w:t>
      </w:r>
    </w:p>
    <w:p>
      <w:pPr>
        <w:spacing w:after="0" w:line="92"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color w:val="auto"/>
        </w:rPr>
        <w:t>Under our management and franchise agreements, hotel owners and franchisees participate in certain centralized programs and services, such as marketing, sales, reservations, and insurance programs. We operate these programs and services for the benefit of our hotel owners. We do not operate these programs and services to generate a profit over the long term, and accordingly, when we recover the costs that we incur for these programs and services from our hotel owners, we do not seek a mark-up. The amounts we charge for these programs and services are generally a combination of fixed fees and variable fees based on sales or other metrics and are payable on a monthly basis. We generally recognize revenue within the “Cost reimbursement revenue” caption of our Income Statements when the amounts may be billed to hotel owners, and we recognize expenses within the “Reimbursed expenses” caption as they are incurred. This pattern of recognition results in timing differences between the costs incurred for centralized programs and services and the related reimbursement from hotel owners in our operating and net income. Over the long term, these programs and services are not designed to impact our economics, either positively or negatively. In addition, we present in the “Reimbursed expenses” caption of our Income Statements spending funded by the proceeds ($664 million, $425 million after-tax) from the 2017 sale of our interest in Avendra LLC, which we committed would be used for the benefit of hotels in our system. Such spending totaled $62 million ($46 million after-tax) in 2020, $118 million ($87 million after-tax) in 2019, and $115 million ($85 million after-tax) in 2018.</w:t>
      </w:r>
    </w:p>
    <w:p>
      <w:pPr>
        <w:spacing w:after="0" w:line="125" w:lineRule="exact"/>
        <w:rPr>
          <w:sz w:val="20"/>
          <w:szCs w:val="20"/>
          <w:color w:val="auto"/>
        </w:rPr>
      </w:pPr>
    </w:p>
    <w:p>
      <w:pPr>
        <w:ind w:right="100" w:firstLine="445"/>
        <w:spacing w:after="0" w:line="342" w:lineRule="auto"/>
        <w:rPr>
          <w:sz w:val="20"/>
          <w:szCs w:val="20"/>
          <w:color w:val="auto"/>
        </w:rPr>
      </w:pPr>
      <w:r>
        <w:rPr>
          <w:rFonts w:ascii="Arial" w:cs="Arial" w:eastAsia="Arial" w:hAnsi="Arial"/>
          <w:sz w:val="16"/>
          <w:szCs w:val="16"/>
          <w:u w:val="single" w:color="auto"/>
          <w:color w:val="auto"/>
        </w:rPr>
        <w:t>Other Revenue</w:t>
      </w:r>
      <w:r>
        <w:rPr>
          <w:rFonts w:ascii="Arial" w:cs="Arial" w:eastAsia="Arial" w:hAnsi="Arial"/>
          <w:sz w:val="16"/>
          <w:szCs w:val="16"/>
          <w:color w:val="auto"/>
        </w:rPr>
        <w:t>: Includes Global Design fees, which we describe below, termination fees, and other property and brand revenues. We generally recognize termination fees when collection is probable and other revenue as services are rendered. Amounts received in advance are deferred as liabilities.</w:t>
      </w:r>
    </w:p>
    <w:p>
      <w:pPr>
        <w:spacing w:after="0" w:line="70" w:lineRule="exact"/>
        <w:rPr>
          <w:sz w:val="20"/>
          <w:szCs w:val="20"/>
          <w:color w:val="auto"/>
        </w:rPr>
      </w:pPr>
    </w:p>
    <w:p>
      <w:pPr>
        <w:ind w:right="420" w:firstLine="445"/>
        <w:spacing w:after="0" w:line="275" w:lineRule="auto"/>
        <w:rPr>
          <w:sz w:val="20"/>
          <w:szCs w:val="20"/>
          <w:color w:val="auto"/>
        </w:rPr>
      </w:pPr>
      <w:r>
        <w:rPr>
          <w:rFonts w:ascii="Arial" w:cs="Arial" w:eastAsia="Arial" w:hAnsi="Arial"/>
          <w:sz w:val="17"/>
          <w:szCs w:val="17"/>
          <w:color w:val="auto"/>
        </w:rPr>
        <w:t>We provide hotel design and construction review quality assurance (“Global Design”) services to our managed and franchised hotel owners, generally during the period prior to a hotel’s opening or during the period a hotel is converting to a Marriott brand (the “pre-opening period”). As compensation for such services, we may be entitled to receive a one-time fixed fee that is payable during the pre-opening period of the hotel. As these services are not a distinct performance obligation, we recognize the fees on a straight-line basis over the initial term of the management or franchise agreement within the “Owned, leased, and other revenue” caption of our Income Statements.</w:t>
      </w:r>
    </w:p>
    <w:p>
      <w:pPr>
        <w:spacing w:after="0" w:line="122" w:lineRule="exact"/>
        <w:rPr>
          <w:sz w:val="20"/>
          <w:szCs w:val="20"/>
          <w:color w:val="auto"/>
        </w:rPr>
      </w:pPr>
    </w:p>
    <w:p>
      <w:pPr>
        <w:ind w:right="240" w:firstLine="445"/>
        <w:spacing w:after="0" w:line="277" w:lineRule="auto"/>
        <w:rPr>
          <w:sz w:val="20"/>
          <w:szCs w:val="20"/>
          <w:color w:val="auto"/>
        </w:rPr>
      </w:pPr>
      <w:r>
        <w:rPr>
          <w:rFonts w:ascii="Arial" w:cs="Arial" w:eastAsia="Arial" w:hAnsi="Arial"/>
          <w:sz w:val="18"/>
          <w:szCs w:val="18"/>
          <w:u w:val="single" w:color="auto"/>
          <w:color w:val="auto"/>
        </w:rPr>
        <w:t>Practical Expedients and Exemptions</w:t>
      </w:r>
      <w:r>
        <w:rPr>
          <w:rFonts w:ascii="Arial" w:cs="Arial" w:eastAsia="Arial" w:hAnsi="Arial"/>
          <w:sz w:val="18"/>
          <w:szCs w:val="18"/>
          <w:color w:val="auto"/>
        </w:rPr>
        <w:t>: We do not disclose the amount of variable consideration that we expect to recognize in future periods in the following circumstances:</w:t>
      </w:r>
    </w:p>
    <w:p>
      <w:pPr>
        <w:spacing w:after="0" w:line="116" w:lineRule="exact"/>
        <w:rPr>
          <w:sz w:val="20"/>
          <w:szCs w:val="20"/>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recognize the revenue based on the amount invoiced or services performed;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sales-based or usage-based royalty promised in exchange for a license of intellectual property; or</w:t>
      </w:r>
    </w:p>
    <w:p>
      <w:pPr>
        <w:spacing w:after="0" w:line="171" w:lineRule="exact"/>
        <w:rPr>
          <w:rFonts w:ascii="Arial" w:cs="Arial" w:eastAsia="Arial" w:hAnsi="Arial"/>
          <w:sz w:val="18"/>
          <w:szCs w:val="18"/>
          <w:color w:val="auto"/>
        </w:rPr>
      </w:pPr>
    </w:p>
    <w:p>
      <w:pPr>
        <w:ind w:left="660" w:right="260" w:hanging="247"/>
        <w:spacing w:after="0" w:line="342" w:lineRule="auto"/>
        <w:tabs>
          <w:tab w:leader="none" w:pos="672"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the consideration is allocated entirely to a wholly unsatisfied promise to transfer a distinct service that forms part of a single performance obligation, and the terms of the consideration relate specifically to our efforts to transfer, or to a specific outcome from transferring the service.</w:t>
      </w:r>
    </w:p>
    <w:p>
      <w:pPr>
        <w:spacing w:after="0" w:line="70"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We are required to collect certain taxes and fees from customers on behalf of governmental agencies and remit these to the applicable governmental agencies on a periodic basis. We do not include these taxes in determining the transaction price.</w:t>
      </w:r>
    </w:p>
    <w:p>
      <w:pPr>
        <w:spacing w:after="0" w:line="116"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u w:val="single" w:color="auto"/>
          <w:color w:val="auto"/>
        </w:rPr>
        <w:t>Loyalty Program</w:t>
      </w:r>
      <w:r>
        <w:rPr>
          <w:rFonts w:ascii="Arial" w:cs="Arial" w:eastAsia="Arial" w:hAnsi="Arial"/>
          <w:sz w:val="17"/>
          <w:szCs w:val="17"/>
          <w:color w:val="auto"/>
        </w:rPr>
        <w:t>: Loyalty Program members earn points based on the money they spend at our hotels; purchases of timeshare interval, fractional ownership, and residential products; and through participation in travel experiences and affiliated partners’ programs, such as those offered by credit card, car rental, airline, and other companies. Members can redeem points, which we track on their behalf, for stays at most of our hotels, airline tickets, airline frequent flyer program miles, rental cars, and a variety of other awards. Points cannot be redeemed for cash.</w:t>
      </w:r>
    </w:p>
    <w:p>
      <w:pPr>
        <w:spacing w:after="0" w:line="117"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Under our Loyalty Program, we have a performance obligation to provide or arrange for the provision of goods or services for free or at a discount to Loyalty Program members in exchange for the redemption of points earned from past activities. We operate our Loyalty Program as a cross-brand marketing program to participating properties. Our management and franchise agreements require that properties reimburse us for a portion of the costs of operating the Loyalty Program, including costs for marketing, promotion, communication with, and performing member services for Loyalty Program members, with no added mark-up. We generally receive cash contributions on a monthly basis from managed, franchised, owned, and leased hotels based on a portion of qualified spend by Loyalty Program members (when the points are issued). We recognize these contributions into revenue as we provide the related service (when the points are redeemed). The amount of revenue we recognize upon point redemption is based on a blend of historical funding rates and is impacted by our estimate of the “breakage” for points that members will never redeem. We estimate breakage based on our historical experience and expectations of future member behavior. We recognize revenue net of the redemption cost within our “Cost reimbursement</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revenue” caption on our Income Statements, as our performance obligation is to facilitate the transaction between the Loyalty Program member and the managed or franchised property or program partner. Our redemption cost, which is generally based on redemption rates that can increase in periods in which occupancy at the property exceeds a certain threshold, could be higher or lower than our revenue recognized in any given period. We recognize all other Loyalty Program costs as incurred in our “Reimbursed expenses” caption.</w:t>
      </w:r>
    </w:p>
    <w:p>
      <w:pPr>
        <w:spacing w:after="0" w:line="133"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We have multi-year agreements for our co-brand credit cards associated with our Loyalty Program. Under these agreements, we have performance obligations to provide a license to the intellectual property associated with our brands and marketing lists (“Licensed IP”) to the financial institutions that issue the credit cards, to arrange for the redemption of Loyalty Program points as discussed in the preceding paragraph, and to arrange for the redemption of free night certificates provided to cardholders. We receive fees from these agreements, including fixed amounts that are primarily payable at contract inception, and variable amounts that are paid to us monthly over the term of the agreements, based on: (1) the number of free night certificates issued and redeemed; (2) the number of Loyalty Program points purchased; and (3) the volume of cardholder spend. We allocate those fees among the performance obligations, including the Licensed IP, our Loyalty Program points, and free night certificates provided to cardholders based on their estimated standalone selling prices. The estimation of the standalone selling prices requires significant judgments based upon generally accepted valuation methodologies regarding the value of our Licensed IP, the amount of funding we will receive, and the number of Loyalty Program points and free night certificates we will issue over the term of the agreements. We base our estimates of these amounts on our historical experience and expectation of future cardholder behavior. We recognize the portion of the Licensed IP revenue that meets the sales-based royalty criteria as the credit cards are used and the remaining portion of the Licensed IP revenue on a straight-line basis over the contract term. In our Income Statements, we primarily recognize Licensed IP revenue in the “Franchise fees” caption, and we recognize a portion in the “Cost reimbursement revenue” caption. We recognize the revenue related to the Loyalty Program points as discussed in the preceding paragraph. We recognize the revenue related to the free night certificates when the related service is provided. We recognize revenue net of the redemption cost, as our performance obligation is to facilitate the transaction between the Loyalty Program member and the managed or franchised property.</w:t>
      </w:r>
    </w:p>
    <w:p>
      <w:pPr>
        <w:spacing w:after="0" w:line="341"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u w:val="single" w:color="auto"/>
          <w:color w:val="auto"/>
        </w:rPr>
        <w:t>Contract Balances</w:t>
      </w:r>
      <w:r>
        <w:rPr>
          <w:rFonts w:ascii="Arial" w:cs="Arial" w:eastAsia="Arial" w:hAnsi="Arial"/>
          <w:sz w:val="17"/>
          <w:szCs w:val="17"/>
          <w:color w:val="auto"/>
        </w:rPr>
        <w:t>: We generally receive payments from customers as we satisfy our performance obligations. We record a receivable when we have an unconditional right to receive payment and only the passage of time is required before payment is due. We record deferred revenue when we receive payment, or have the unconditional right to receive payment, in advance of the satisfaction of our performance obligations related to franchise application and relicensing fees, Global Design fees, credit card branding license fees, and our Loyalty Program.</w:t>
      </w:r>
    </w:p>
    <w:p>
      <w:pPr>
        <w:spacing w:after="0" w:line="117" w:lineRule="exact"/>
        <w:rPr>
          <w:sz w:val="20"/>
          <w:szCs w:val="20"/>
          <w:color w:val="auto"/>
        </w:rPr>
      </w:pPr>
    </w:p>
    <w:p>
      <w:pPr>
        <w:ind w:right="40" w:firstLine="405"/>
        <w:spacing w:after="0" w:line="296" w:lineRule="auto"/>
        <w:rPr>
          <w:sz w:val="20"/>
          <w:szCs w:val="20"/>
          <w:color w:val="auto"/>
        </w:rPr>
      </w:pPr>
      <w:r>
        <w:rPr>
          <w:rFonts w:ascii="Arial" w:cs="Arial" w:eastAsia="Arial" w:hAnsi="Arial"/>
          <w:sz w:val="16"/>
          <w:szCs w:val="16"/>
          <w:color w:val="auto"/>
        </w:rPr>
        <w:t>Current and noncurrent deferred revenue increased by $907 million, to $1,867 million at December 31, 2020 from $960 million at December 31, 2019, primarily as a result of amendments to the existing agreements for our U.S.-issued co-brand credit cards associated with our Loyalty Program, which we signed in May 2020. These amendments provided the Company with $920 million of cash from the prepayment of certain future revenues, the early payment of a previously committed signing bonus, and the pre-purchase of Marriott Bonvoy points and other consideration. We recorded the amount of cash received primarily in the deferred revenue caption, and the remainder in the liability for guest loyalty program captions, on our Balance Sheet.</w:t>
      </w:r>
    </w:p>
    <w:p>
      <w:pPr>
        <w:spacing w:after="0" w:line="107"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Our current and noncurrent Loyalty Program liability increased by $553 million, to $6,271 million at December 31, 2020, from $5,718 million at December 31, 2019, primarily reflecting an increase in points earned by members, partially offset by $1,118 million of revenue recognized in 2020, that was deferred as of December 31, 2019. The current portion of our Loyalty Program liability decreased compared to December 31, 2019, due to lower estimated redemptions in the short-term as a result of COVID-19. At each reporting period, we evaluate the estimates used in the recognition of Loyalty Program revenues, including estimates of the breakage of points that members will never redeem and the amount of funding we expect to receive over the life of the agreements with various third parties. In 2020, the updated estimates resulted in a net decrease in deferred revenue, and a corresponding net increase in revenue of approximately $47 million.</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Incurred to Obtain and Fulfill Contracts with Customers</w:t>
      </w:r>
    </w:p>
    <w:p>
      <w:pPr>
        <w:spacing w:after="0" w:line="171"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We incur certain costs to obtain and fulfill contracts with customers, which we capitalize and amortize on a straight-line basis over the initial, non-cancellable term of the contract. We classify incremental costs of obtaining a contract with a customer in the “Contract acquisition costs and other” caption of our Balance Sheets, the related amortization in the “Contract investment amortization” caption of our Income Statements, and the cash flow impact in the “Contract acquisition costs” caption of our Statements of Cash Flows. We assess the assets for impairment when events or changes in circumstances indicate that we may not be able to recover the carrying value. We recognize an impairment loss for the amount by which the carrying value exceeds the expected net future cash flows. We classify certain direct costs to fulfill a contract with a customer in the “Other noncurrent assets” and “Prepaid expenses and other” captions of our Balance Sheets, and the related amortization in the “Owned, leased, and other - direct expenses” caption of our Income Statements. We had capitalized costs to fulfill contracts with customers of $366 million at December 31, 2020 and $351 million at December 31, 2019. See Note 11 for information on capitalized costs incurred to obtain contracts with customers.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Sales</w:t>
      </w:r>
    </w:p>
    <w:p>
      <w:pPr>
        <w:spacing w:after="0" w:line="171" w:lineRule="exact"/>
        <w:rPr>
          <w:sz w:val="20"/>
          <w:szCs w:val="20"/>
          <w:color w:val="auto"/>
        </w:rPr>
      </w:pPr>
    </w:p>
    <w:p>
      <w:pPr>
        <w:ind w:right="220" w:firstLine="445"/>
        <w:spacing w:after="0" w:line="286" w:lineRule="auto"/>
        <w:rPr>
          <w:sz w:val="20"/>
          <w:szCs w:val="20"/>
          <w:color w:val="auto"/>
        </w:rPr>
      </w:pPr>
      <w:r>
        <w:rPr>
          <w:rFonts w:ascii="Arial" w:cs="Arial" w:eastAsia="Arial" w:hAnsi="Arial"/>
          <w:sz w:val="17"/>
          <w:szCs w:val="17"/>
          <w:color w:val="auto"/>
        </w:rPr>
        <w:t>We recognize a gain or loss on real estate transactions when control of the asset transfers to the buyer, generally at the time the sale closes. In sales transactions where we retain a management contract, the terms and conditions of the management contract are generally comparable to the terms and conditions of the management contracts obtained directly with third-party owners in competitive processes.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Savings Plan</w:t>
      </w:r>
    </w:p>
    <w:p>
      <w:pPr>
        <w:spacing w:after="0" w:line="17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contribute to tax-qualified retirement plans for the benefit of U.S. employees who meet certain eligibility requirements and choose to participate in the plans. Participating employees specify the percentage or amount of salary they wish to contribute from their compensation, and the Company typically makes discretionary and certain other matching or supplemental contributions. We recognized compensation costs from Company contributions of $75 million in 2020, $128 million in 2019, and $224 million in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Operations</w:t>
      </w:r>
    </w:p>
    <w:p>
      <w:pPr>
        <w:spacing w:after="0" w:line="171" w:lineRule="exact"/>
        <w:rPr>
          <w:sz w:val="20"/>
          <w:szCs w:val="20"/>
          <w:color w:val="auto"/>
        </w:rPr>
      </w:pPr>
    </w:p>
    <w:p>
      <w:pPr>
        <w:ind w:right="120" w:firstLine="405"/>
        <w:spacing w:after="0" w:line="290" w:lineRule="auto"/>
        <w:rPr>
          <w:sz w:val="20"/>
          <w:szCs w:val="20"/>
          <w:color w:val="auto"/>
        </w:rPr>
      </w:pPr>
      <w:r>
        <w:rPr>
          <w:rFonts w:ascii="Arial" w:cs="Arial" w:eastAsia="Arial" w:hAnsi="Arial"/>
          <w:sz w:val="16"/>
          <w:szCs w:val="16"/>
          <w:color w:val="auto"/>
        </w:rPr>
        <w:t>The U.S. dollar is the functional currency of our consolidated and unconsolidated entities operating in the U.S. The functional currency of our consolidated and unconsolidated entities operating outside of the U.S. is generally the principal currency of the economic environment in which the entity primarily generates and expends cash. We translate the financial statements of consolidated entities whose functional currency is not the U.S. dollar into U.S. dollars, and we do the same, as needed, for unconsolidated entities whose functional currency is not the U.S. dollar. We translate assets and liabilities at the exchange rate in effect as of the financial statement date and translate income statement accounts using the weighted average exchange rate for the period. We include translation adjustments from currency exchange and the effect of exchange rate changes on intercompany transactions of a long-term investment nature as a separate component of stockholders’ equity. We report gains and losses from currency exchange rate changes for intercompany receivables and payables that are not of a long-term investment nature, as well as for third-party transactions, currently in operating costs and expenses.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71" w:lineRule="exact"/>
        <w:rPr>
          <w:sz w:val="20"/>
          <w:szCs w:val="20"/>
          <w:color w:val="auto"/>
        </w:rPr>
      </w:pPr>
    </w:p>
    <w:p>
      <w:pPr>
        <w:jc w:val="both"/>
        <w:ind w:right="360" w:firstLine="405"/>
        <w:spacing w:after="0" w:line="263" w:lineRule="auto"/>
        <w:rPr>
          <w:sz w:val="20"/>
          <w:szCs w:val="20"/>
          <w:color w:val="auto"/>
        </w:rPr>
      </w:pPr>
      <w:r>
        <w:rPr>
          <w:rFonts w:ascii="Arial" w:cs="Arial" w:eastAsia="Arial" w:hAnsi="Arial"/>
          <w:sz w:val="18"/>
          <w:szCs w:val="18"/>
          <w:color w:val="auto"/>
        </w:rPr>
        <w:t>Our stock-based compensation awards primarily consist of restricted stock units (“RSUs”). We measure compensation costs for our stock-based payment transactions at fair value based on the closing stock price on the grant date, and we recognize those costs in our Financial Statements over the vesting period during which the employee provides service in exchange for the award.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171"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We expense costs to produce advertising as they are incurred and to communicate advertising as the communication occurs and record such amounts in reimbursed expenses to the extent undertaken on behalf of our owners and franchisees. We recognized advertising costs of $276 million in 2020, $851 million in 2019, and $660 million in 2018.</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record the amounts of taxes payable or refundable for the current year, as well as deferred tax liabilities and assets for the future tax consequences of events we have recognized in our Financial Statements or tax returns, using judgment in assessing future profitability and the likely future tax consequences of those events. We base our estimates of deferred tax assets and liabilities on current tax laws, rates and interpretations, and, in certain cases, business plans and other expectations about future outcomes. We develop our estimates of future profitability based on our historical data and experience, industry projections, micro and macro general economic condition projections, and our expectations. We account for U.S. tax on Global Intangible Low-Taxed Income in the period incurred.</w:t>
      </w:r>
    </w:p>
    <w:p>
      <w:pPr>
        <w:spacing w:after="0" w:line="138"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We generally recognize the effect of the tax law changes in the period of enactment. Changes in existing tax laws and rates, their related interpretations, and the uncertainty generated by the current economic environment may affect the amounts of our deferred tax liabilities or the valuations of our deferred tax assets over time. Our accounting for deferred tax consequences represents management’s best estimate of future events that can be appropriately reflected in the accounting estimates.</w:t>
      </w:r>
    </w:p>
    <w:p>
      <w:pPr>
        <w:spacing w:after="0" w:line="133"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For tax positions we have taken or expect to take in a tax return, we apply a more likely than not threshold (that is, a likelihood of more than 50 percent), under which we must conclude a tax position is more likely than not to be sustained, assuming that the position will be examined by the appropriate taxing authority that has full knowledge of all relevant information, to continue to recognize the benefit. In determining our provision for income taxes, we use judgment, reflecting our estimates and assumptions, in applying the more likely than not threshold. We recognize accrued interest and penalties for our unrecognized tax benefits as a component of tax expense. See Note 7 for further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Equivalents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all highly liquid investments with an initial maturity of three months or less at date of purchase to be cash equivalents.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71" w:lineRule="exact"/>
        <w:rPr>
          <w:sz w:val="20"/>
          <w:szCs w:val="20"/>
          <w:color w:val="auto"/>
        </w:rPr>
      </w:pPr>
    </w:p>
    <w:p>
      <w:pPr>
        <w:ind w:right="80" w:firstLine="405"/>
        <w:spacing w:after="0" w:line="311" w:lineRule="auto"/>
        <w:rPr>
          <w:sz w:val="20"/>
          <w:szCs w:val="20"/>
          <w:color w:val="auto"/>
        </w:rPr>
      </w:pPr>
      <w:r>
        <w:rPr>
          <w:rFonts w:ascii="Arial" w:cs="Arial" w:eastAsia="Arial" w:hAnsi="Arial"/>
          <w:sz w:val="16"/>
          <w:szCs w:val="16"/>
          <w:color w:val="auto"/>
        </w:rPr>
        <w:t>Our accounts receivable primarily consist of amounts due from hotel owners with whom we have management and franchise agreements and include reimbursements of costs we incurred on behalf of managed and franchised properties. We record an allowance for credit losses measured over the contractual life of the instrument based on an assessment of historical collection activity and current and forecasted future economic conditions by region.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Held for Sale</w:t>
      </w:r>
    </w:p>
    <w:p>
      <w:pPr>
        <w:spacing w:after="0" w:line="171"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We consider properties to be assets held for sale when (1) management commits to a plan to sell the property; (2) it is unlikely that the disposal plan will be significantly modified or discontinued; (3) the property is available for immediate sale in its present condition; (4) actions required to complete the sale of the property have been initiated; (5) sale of the property is probable and we expect the completed sale will occur within one year; and (6) the property is actively being marketed for sale at a price that is reasonable given our estimate of current market value. Upon designation of a property as an asset held for sale, we record the property’s value at the lower of its carrying value or its estimated fair value, less estimated costs to sell, and we cease depreciation.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ind w:right="80" w:firstLine="445"/>
        <w:spacing w:after="0" w:line="275" w:lineRule="auto"/>
        <w:rPr>
          <w:sz w:val="20"/>
          <w:szCs w:val="20"/>
          <w:color w:val="auto"/>
        </w:rPr>
      </w:pPr>
      <w:r>
        <w:rPr>
          <w:rFonts w:ascii="Arial" w:cs="Arial" w:eastAsia="Arial" w:hAnsi="Arial"/>
          <w:sz w:val="17"/>
          <w:szCs w:val="17"/>
          <w:color w:val="auto"/>
        </w:rPr>
        <w:t>We test goodwill for potential impairment at least annually in the fourth quarter, or more frequently if an event or other circumstance indicates that we may not be able to recover the carrying amount of the net assets of the reporting unit. In evaluating goodwill for impairment, we may assess qualitative factors to determine whether it is more likely than not that the fair value of a reporting unit is less than its carrying amount. If we bypass the qualitative assessment, or if we conclude that it is more likely than not that the fair value of a reporting unit is less than its carrying value, then we perform a quantitative impairment test by comparing the fair value of a reporting unit with its carrying amount.</w:t>
      </w:r>
    </w:p>
    <w:p>
      <w:pPr>
        <w:spacing w:after="0" w:line="122" w:lineRule="exact"/>
        <w:rPr>
          <w:sz w:val="20"/>
          <w:szCs w:val="20"/>
          <w:color w:val="auto"/>
        </w:rPr>
      </w:pPr>
    </w:p>
    <w:p>
      <w:pPr>
        <w:ind w:right="60" w:firstLine="445"/>
        <w:spacing w:after="0" w:line="296" w:lineRule="auto"/>
        <w:rPr>
          <w:sz w:val="20"/>
          <w:szCs w:val="20"/>
          <w:color w:val="auto"/>
        </w:rPr>
      </w:pPr>
      <w:r>
        <w:rPr>
          <w:rFonts w:ascii="Arial" w:cs="Arial" w:eastAsia="Arial" w:hAnsi="Arial"/>
          <w:sz w:val="16"/>
          <w:szCs w:val="16"/>
          <w:color w:val="auto"/>
        </w:rPr>
        <w:t>We calculate the estimated fair value of a reporting unit using a combination of the income and market approaches. For the income approach, we use internally developed discounted cash flow models that include the following assumptions, among others: projections of revenues, expenses, and related cash flows based on assumed long-term growth rates and demand trends; expected future investments to grow new units; and estimated discount rates. For the market approach, we use internal analyses based primarily on market comparables. We base these assumptions on our historical data and experience, third-party appraisals, industry projections, micro and macro general economic condition projections, and our expectations.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had no goodwill impairment charges for the last three fiscal years.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 and Long-Lived Assets</w:t>
      </w:r>
    </w:p>
    <w:p>
      <w:pPr>
        <w:spacing w:after="0" w:line="171"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We assess indefinite-lived intangible assets for continued indefinite use and for potential impairment annually, or more frequently if an event or other circumstance indicates that we may not be able to recover the carrying amount of the asset. Like goodwill, we may first assess qualitative factors to determine whether it is more likely than not that the fair value of the indefinite-lived intangible is less than its carrying amount. If the carrying value of the asset exceeds the fair value, we recognize an impairment loss in the amount of that excess.</w:t>
      </w:r>
    </w:p>
    <w:p>
      <w:pPr>
        <w:spacing w:after="0" w:line="133"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We test definite-lived intangibles and long-lived asset groups for recoverability when changes in circumstances indicate that we may not be able to recover the carrying value; for example, when there are material adverse changes in projected revenues or expenses, significant underperformance relative to historical or projected operating results, or significant negative industry or economic trends. We also test recoverability when management has committed to a plan to sell or otherwise dispose of an asset group and we expect to complete the plan within a year. We evaluate recoverability of an asset group by comparing its carrying value, including right-of-use assets, to the future net undiscounted cash flows that we expect the asset group will generate. If the comparison indicates that we will not be able to recover the carrying value of an asset group, we recognize an impairment loss for the amount by which the carrying value exceeds the estimated fair value. When we recognize an impairment loss for assets to be held and used, we depreciate the adjusted carrying amount of those assets over their remaining useful life.</w:t>
      </w:r>
    </w:p>
    <w:p>
      <w:pPr>
        <w:spacing w:after="0" w:line="124" w:lineRule="exact"/>
        <w:rPr>
          <w:sz w:val="20"/>
          <w:szCs w:val="20"/>
          <w:color w:val="auto"/>
        </w:rPr>
      </w:pPr>
    </w:p>
    <w:p>
      <w:pPr>
        <w:ind w:right="300" w:firstLine="445"/>
        <w:spacing w:after="0" w:line="259" w:lineRule="auto"/>
        <w:rPr>
          <w:sz w:val="20"/>
          <w:szCs w:val="20"/>
          <w:color w:val="auto"/>
        </w:rPr>
      </w:pPr>
      <w:r>
        <w:rPr>
          <w:rFonts w:ascii="Arial" w:cs="Arial" w:eastAsia="Arial" w:hAnsi="Arial"/>
          <w:sz w:val="18"/>
          <w:szCs w:val="18"/>
          <w:color w:val="auto"/>
        </w:rPr>
        <w:t>We calculate the estimated fair value of an intangible asset or asset group using the income approach or the market approach. We utilize the same assumptions and methodology for the income approach that we describe in the “</w:t>
      </w:r>
      <w:r>
        <w:rPr>
          <w:rFonts w:ascii="Arial" w:cs="Arial" w:eastAsia="Arial" w:hAnsi="Arial"/>
          <w:sz w:val="18"/>
          <w:szCs w:val="18"/>
          <w:i w:val="1"/>
          <w:iCs w:val="1"/>
          <w:color w:val="auto"/>
        </w:rPr>
        <w:t>Goodwill</w:t>
      </w:r>
      <w:r>
        <w:rPr>
          <w:rFonts w:ascii="Arial" w:cs="Arial" w:eastAsia="Arial" w:hAnsi="Arial"/>
          <w:sz w:val="18"/>
          <w:szCs w:val="18"/>
          <w:color w:val="auto"/>
        </w:rPr>
        <w:t>” caption. For the market approach, we use internal analyses based primarily on market comparables and assumptions about market capitalization rates, growth rates, and inflation. See Note 9 and Note 12 for additional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71" w:lineRule="exact"/>
        <w:rPr>
          <w:sz w:val="20"/>
          <w:szCs w:val="20"/>
          <w:color w:val="auto"/>
        </w:rPr>
      </w:pPr>
    </w:p>
    <w:p>
      <w:pPr>
        <w:ind w:right="180" w:firstLine="405"/>
        <w:spacing w:after="0" w:line="272" w:lineRule="auto"/>
        <w:rPr>
          <w:sz w:val="20"/>
          <w:szCs w:val="20"/>
          <w:color w:val="auto"/>
        </w:rPr>
      </w:pPr>
      <w:r>
        <w:rPr>
          <w:rFonts w:ascii="Arial" w:cs="Arial" w:eastAsia="Arial" w:hAnsi="Arial"/>
          <w:sz w:val="17"/>
          <w:szCs w:val="17"/>
          <w:color w:val="auto"/>
        </w:rPr>
        <w:t>We hold equity interests in ventures established to develop or acquire and own hotel properties or that otherwise support our hospitality operations. We account for these investments as either an equity method investment, a financial asset, or a controlled subsidiary. We apply the equity method of accounting if we have significant influence over the entity, typically when we hold 20 percent or more of the voting common stock (or equivalent) of an investee but do not have a controlling financial interest. In certain circumstances, such as with investments in limited liability companies or limited partnerships, we apply the equity method of accounting when we own as little as three to five percent. We account for financial assets at fair value if it is readily determinable, or using the fair value alternative method, whereby investments are measured at cost less impairment, adjusted for observable price changes. We consolidate entities that we control.</w:t>
      </w:r>
    </w:p>
    <w:p>
      <w:pPr>
        <w:spacing w:after="0" w:line="123"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When we acquire an investment that qualifies for the equity method of accounting, we determine the acquisition date fair value of the identifiable assets and liabilities. If our carrying amount exceeds our proportional share in the equity of the investee, we amortize the difference on a straight-line basis over the underlying assets’ estimated useful lives when calculating equity method earnings attributable to us, excluding the difference attributable to land, which we do not amortize.</w:t>
      </w:r>
    </w:p>
    <w:p>
      <w:pPr>
        <w:spacing w:after="0" w:line="133"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We evaluate an investment for impairment when circumstances indicate that we may not be able to recover the carrying value. When evaluating our ventures, we consider loan defaults, significant underperformance relative to historical or projected operating performance, or significant negative industry or economic trends. Additionally, a venture’s commitment to a plan to sell some or all of its assets could cause us to evaluate the recoverability of the venture’s individual long-lived assets and possibly the venture itself. We impair investments we account for using the equity method of accounting when we determine that there has been an “other-than-temporary” decline in the venture’s estimated fair value compared to its carrying value. We perform qualitative assessments for investments we account for using the fair value alternative method and we record any associated impairment when the fair value is less than the carrying value.</w:t>
      </w:r>
    </w:p>
    <w:p>
      <w:pPr>
        <w:spacing w:after="0" w:line="141" w:lineRule="exact"/>
        <w:rPr>
          <w:sz w:val="20"/>
          <w:szCs w:val="20"/>
          <w:color w:val="auto"/>
        </w:rPr>
      </w:pPr>
    </w:p>
    <w:p>
      <w:pPr>
        <w:ind w:right="80" w:firstLine="445"/>
        <w:spacing w:after="0" w:line="275" w:lineRule="auto"/>
        <w:rPr>
          <w:sz w:val="20"/>
          <w:szCs w:val="20"/>
          <w:color w:val="auto"/>
        </w:rPr>
      </w:pPr>
      <w:r>
        <w:rPr>
          <w:rFonts w:ascii="Arial" w:cs="Arial" w:eastAsia="Arial" w:hAnsi="Arial"/>
          <w:sz w:val="17"/>
          <w:szCs w:val="17"/>
          <w:color w:val="auto"/>
        </w:rPr>
        <w:t>Under the accounting guidance for the consolidation of variable interest entities, we analyze our variable interests, including equity investments, loans, and guarantees, to determine if an entity in which we have a variable interest is a variable interest entity.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analysis to determine if we must consolidate a variable interest entity as its primary beneficiary.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71"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We have various financial instruments we must measure at fair value on a recurring basis, including certain marketable securities and derivatives. See Note 13 for further information. We also apply the provisions of fair value measurement to various nonrecurring measurements for our financial and nonfinancial assets and liabilities.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color w:val="auto"/>
        </w:rPr>
        <w:t>Accounting standards define fair value as the price that would be received to sell an asset or paid to transfer a liability in an orderly transaction between market participants at the measurement date (an exit price). We measure our assets and liabilities using inputs from the following three levels of the fair value hierarchy:</w:t>
      </w:r>
    </w:p>
    <w:p>
      <w:pPr>
        <w:spacing w:after="0" w:line="130"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we have the ability to access at the measurement date.</w:t>
      </w:r>
    </w:p>
    <w:p>
      <w:pPr>
        <w:spacing w:after="0" w:line="116" w:lineRule="exact"/>
        <w:rPr>
          <w:sz w:val="20"/>
          <w:szCs w:val="20"/>
          <w:color w:val="auto"/>
        </w:rPr>
      </w:pPr>
    </w:p>
    <w:p>
      <w:pPr>
        <w:jc w:val="both"/>
        <w:ind w:left="660" w:right="140"/>
        <w:spacing w:after="0" w:line="311" w:lineRule="auto"/>
        <w:rPr>
          <w:sz w:val="20"/>
          <w:szCs w:val="20"/>
          <w:color w:val="auto"/>
        </w:rPr>
      </w:pPr>
      <w:r>
        <w:rPr>
          <w:rFonts w:ascii="Arial" w:cs="Arial" w:eastAsia="Arial" w:hAnsi="Arial"/>
          <w:sz w:val="16"/>
          <w:szCs w:val="16"/>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3 includes unobservable inputs that reflect our assumptions about what factors market participants would use in pricing the asset or liability.</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develop these inputs based on the best information available, including our own data.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17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record derivatives at fair value. The designation of a derivative instrument as a hedge and its ability to meet the hedge accounting criteria determine how we reflect the change in fair value of the derivative instrument in our Financial Statements. A derivative qualifies for hedge accounting if, at inception, we expect the derivative will be highly effective in offsetting the underlying hedged cash flows or fair value and we fulfill the hedge documentation standards at the time we enter into the derivative contract. We designate a hedge as a cash flow hedge, fair value hedge, or a hedge of the net investment in non-U.S. operations based on the exposure we are hedging. For the effective portion of qualifying cash flow hedges, we record changes in fair value in accumulated other comprehensive income (“AOCI”). We release the derivative’s gain or loss from AOCI to match the timing of the underlying hedged items’ effect on earnings. The change in fair value of qualifying fair value hedges as well as changes in fair value of the underlying hedged items to the hedged risks are recorded concurrently in earnings.</w:t>
      </w:r>
    </w:p>
    <w:p>
      <w:pPr>
        <w:spacing w:after="0" w:line="124" w:lineRule="exact"/>
        <w:rPr>
          <w:sz w:val="20"/>
          <w:szCs w:val="20"/>
          <w:color w:val="auto"/>
        </w:rPr>
      </w:pPr>
    </w:p>
    <w:p>
      <w:pPr>
        <w:ind w:right="80" w:firstLine="405"/>
        <w:spacing w:after="0" w:line="275" w:lineRule="auto"/>
        <w:rPr>
          <w:sz w:val="20"/>
          <w:szCs w:val="20"/>
          <w:color w:val="auto"/>
        </w:rPr>
      </w:pPr>
      <w:r>
        <w:rPr>
          <w:rFonts w:ascii="Arial" w:cs="Arial" w:eastAsia="Arial" w:hAnsi="Arial"/>
          <w:sz w:val="17"/>
          <w:szCs w:val="17"/>
          <w:color w:val="auto"/>
        </w:rPr>
        <w:t>We review the effectiveness of our hedging instruments quarterly and discontinue hedge accounting for any hedge that we no longer consider to be highly effective. We recognize changes in fair value for derivatives not designated as hedges or those not qualifying for hedge accounting in current period earnings. Upon termination of cash flow hedges, we release gains and losses from AOCI based on the timing of the underlying cash flows or revenue recognized, unless the termination results from the failure of the intended transaction to occur in the expected time frame. Such untimely transactions require us to immediately recognize in earnings the gains and/or losses that we previously recorded in AOCI.</w:t>
      </w:r>
    </w:p>
    <w:p>
      <w:pPr>
        <w:spacing w:after="0" w:line="122"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Changes in interest rates, currency exchange rates, and equity securities expose us to market risk. We manage our exposure to these risks by monitoring available financing alternatives, as well as through development and application of credit granting policies. We also use derivative instruments as part of our overall strategy to manage our exposure to market risks. As a matter of policy, we only enter into transactions that we believe will be highly effective at offsetting the underlying risk, and we do not use derivatives for trading or speculative purposes.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Loss Reserves</w:t>
      </w:r>
    </w:p>
    <w:p>
      <w:pPr>
        <w:spacing w:after="0" w:line="17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may make senior, mezzanine, and other loans to owners of hotels that we operate or franchise, generally to facilitate the development of a hotel and sometimes to facilitate brand programs or initiatives. We expect the owners to repay the loans in accordance with the loan agreements, or earlier as the hotels mature and capital markets permit. We use metrics such as loan-to-value ratios and debt service coverage, and other information about collateral and from third-party rating agencies to assess the credit quality of the loan receivable, both upon entering into the loan agreement and on an ongoing basis as applicable.</w:t>
      </w:r>
    </w:p>
    <w:p>
      <w:pPr>
        <w:spacing w:after="0" w:line="134" w:lineRule="exact"/>
        <w:rPr>
          <w:sz w:val="20"/>
          <w:szCs w:val="20"/>
          <w:color w:val="auto"/>
        </w:rPr>
      </w:pPr>
    </w:p>
    <w:p>
      <w:pPr>
        <w:ind w:right="140" w:firstLine="445"/>
        <w:spacing w:after="0" w:line="275" w:lineRule="auto"/>
        <w:rPr>
          <w:sz w:val="20"/>
          <w:szCs w:val="20"/>
          <w:color w:val="auto"/>
        </w:rPr>
      </w:pPr>
      <w:r>
        <w:rPr>
          <w:rFonts w:ascii="Arial" w:cs="Arial" w:eastAsia="Arial" w:hAnsi="Arial"/>
          <w:sz w:val="17"/>
          <w:szCs w:val="17"/>
          <w:color w:val="auto"/>
        </w:rPr>
        <w:t>At inception and throughout the term of the loan agreement, we individually assess loans for impairment. We consider current and forecasted future economic conditions in addition to our historical experience. We use internally generated cash flow projections to determine the likelihood that the loans will be repaid under the terms of the loan agreements. To measure impairment, we calculate the present value of expected future cash flows discounted at the loan’s original effective interest rate or the estimated fair value of the collateral. If the present value or the estimated collateral is less than the carrying value of the loan receivable, we establish a specific impairment reserve for the difference.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71" w:lineRule="exact"/>
        <w:rPr>
          <w:sz w:val="20"/>
          <w:szCs w:val="20"/>
          <w:color w:val="auto"/>
        </w:rPr>
      </w:pPr>
    </w:p>
    <w:p>
      <w:pPr>
        <w:ind w:right="240" w:firstLine="445"/>
        <w:spacing w:after="0" w:line="259" w:lineRule="auto"/>
        <w:rPr>
          <w:sz w:val="20"/>
          <w:szCs w:val="20"/>
          <w:color w:val="auto"/>
        </w:rPr>
      </w:pPr>
      <w:r>
        <w:rPr>
          <w:rFonts w:ascii="Arial" w:cs="Arial" w:eastAsia="Arial" w:hAnsi="Arial"/>
          <w:sz w:val="18"/>
          <w:szCs w:val="18"/>
          <w:color w:val="auto"/>
        </w:rPr>
        <w:t>We determine if an arrangement is a lease or contains a lease at the inception of the contract. Our leases generally contain fixed and variable components. The variable components of our leases are primarily based on operating performance of the leased property. Our lease agreements may also include non-lease components, such as common area maintenance, which we combine with the lease component to account for both as a single lease component.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Lease liabilities, which represent our obligation to make lease payments arising from the lease, and corresponding right-of-use assets, which represent our right to use an underlying asset for the lease term, are recognized at the commencement date of the lease based on the present value of fixed future payments over the lease term. We calculate the present value of future payments using the discount rate implicit in the lease, if available, or our incremental borrowing rate.</w:t>
      </w:r>
    </w:p>
    <w:p>
      <w:pPr>
        <w:spacing w:after="0" w:line="133" w:lineRule="exact"/>
        <w:rPr>
          <w:sz w:val="20"/>
          <w:szCs w:val="20"/>
          <w:color w:val="auto"/>
        </w:rPr>
      </w:pPr>
    </w:p>
    <w:p>
      <w:pPr>
        <w:jc w:val="both"/>
        <w:ind w:right="100" w:firstLine="405"/>
        <w:spacing w:after="0" w:line="263" w:lineRule="auto"/>
        <w:rPr>
          <w:sz w:val="20"/>
          <w:szCs w:val="20"/>
          <w:color w:val="auto"/>
        </w:rPr>
      </w:pPr>
      <w:r>
        <w:rPr>
          <w:rFonts w:ascii="Arial" w:cs="Arial" w:eastAsia="Arial" w:hAnsi="Arial"/>
          <w:sz w:val="18"/>
          <w:szCs w:val="18"/>
          <w:color w:val="auto"/>
        </w:rPr>
        <w:t>For operating leases, lease expense relating to fixed payments is recognized on a straight-line basis over the lease term and lease expense relating to variable payments is expensed as incurred. For finance leases, the amortization of the asset is recognized over the shorter of the lease term or useful life of the underlying asset.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71" w:lineRule="exact"/>
        <w:rPr>
          <w:sz w:val="20"/>
          <w:szCs w:val="20"/>
          <w:color w:val="auto"/>
        </w:rPr>
      </w:pPr>
    </w:p>
    <w:p>
      <w:pPr>
        <w:ind w:right="160" w:firstLine="445"/>
        <w:spacing w:after="0" w:line="290" w:lineRule="auto"/>
        <w:rPr>
          <w:sz w:val="20"/>
          <w:szCs w:val="20"/>
          <w:color w:val="auto"/>
        </w:rPr>
      </w:pPr>
      <w:r>
        <w:rPr>
          <w:rFonts w:ascii="Arial" w:cs="Arial" w:eastAsia="Arial" w:hAnsi="Arial"/>
          <w:sz w:val="16"/>
          <w:szCs w:val="16"/>
          <w:color w:val="auto"/>
        </w:rPr>
        <w:t>We measure and record our liability for the fair value of a guarantee on a nonrecurring basis, that is when we issue or modify a guarantee, using Level 3 internally developed inputs, as described above in this footnote under the caption “</w:t>
      </w:r>
      <w:r>
        <w:rPr>
          <w:rFonts w:ascii="Arial" w:cs="Arial" w:eastAsia="Arial" w:hAnsi="Arial"/>
          <w:sz w:val="16"/>
          <w:szCs w:val="16"/>
          <w:i w:val="1"/>
          <w:iCs w:val="1"/>
          <w:color w:val="auto"/>
        </w:rPr>
        <w:t>Fair Value Measurements</w:t>
      </w:r>
      <w:r>
        <w:rPr>
          <w:rFonts w:ascii="Arial" w:cs="Arial" w:eastAsia="Arial" w:hAnsi="Arial"/>
          <w:sz w:val="16"/>
          <w:szCs w:val="16"/>
          <w:color w:val="auto"/>
        </w:rPr>
        <w:t>.” We base our calculation of the estimated fair value of a guarantee on the income approach or the market approach, depending on the type of guarantee. For the income approach, we use internally developed discounted cash flow and Monte Carlo simulation models that include the following assumptions, among others: projections of revenues and expenses and related cash flows based on assumed growth rates and demand trends; historical volatility of projected performance; the guaranteed obligations; and applicable discount rates. We base these assumptions on our historical data and experience, industry projections, micro and macro general economic condition projections, and our expectations. For the market approach, we use internal analyses based primarily on market comparable data and our assumptions about market capitalization rates, credit spreads, growth rates, and inflation.</w:t>
      </w:r>
    </w:p>
    <w:p>
      <w:pPr>
        <w:spacing w:after="0" w:line="111"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The offsetting entry for the guarantee liability depends on the circumstances in which the guarantee was issued. Funding under the guarantee reduces the recorded liability. In most cases, when we do not forecast any funding, we amortize the liability into income on a straight-line basis over the remaining term of the guarantee. On a quarterly basis, we evaluate all material estimated liabilities based on the operating results and the terms of the guarantee. If we conclude that it is probable that we will be required to fund a greater amount than previously estimated, we record a loss except to the extent that the applicable contracts provide that the advance can be recovered as a loan.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 Programs</w:t>
      </w:r>
    </w:p>
    <w:p>
      <w:pPr>
        <w:spacing w:after="0" w:line="171"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We self-insure for certain levels of liability, workers’ compensation, property insurance and employee medical coverage. We accrue estimated costs of these self-insurance programs at the present value of projected settlements for known and incurred but not reported claims. We use a discount rate of two percent to determine the present value of the projected settlements, which we consider to be reasonable given our history of settled claims, including payment patterns and the fixed nature of the individual settlements. We classify the current portion of our self-insurance reserve in the “Accrued expenses and other” caption and the noncurrent portion in the “Other noncurrent liabilities” caption of our Balance Sheets. The current portion of our self-insurance reserve was $121 million in 2020 and $166 million in 2019. The noncurrent portion of our self-insurance reserve was $341 million in 2020 and $323 million in 2019.</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Contingencies</w:t>
      </w:r>
    </w:p>
    <w:p>
      <w:pPr>
        <w:spacing w:after="0" w:line="171" w:lineRule="exact"/>
        <w:rPr>
          <w:sz w:val="20"/>
          <w:szCs w:val="20"/>
          <w:color w:val="auto"/>
        </w:rPr>
      </w:pPr>
    </w:p>
    <w:p>
      <w:pPr>
        <w:ind w:right="180" w:firstLine="405"/>
        <w:spacing w:after="0" w:line="301" w:lineRule="auto"/>
        <w:rPr>
          <w:sz w:val="20"/>
          <w:szCs w:val="20"/>
          <w:color w:val="auto"/>
        </w:rPr>
      </w:pPr>
      <w:r>
        <w:rPr>
          <w:rFonts w:ascii="Arial" w:cs="Arial" w:eastAsia="Arial" w:hAnsi="Arial"/>
          <w:sz w:val="16"/>
          <w:szCs w:val="16"/>
          <w:color w:val="auto"/>
        </w:rPr>
        <w:t>We are subject to various legal proceedings and claims, the outcomes of which are uncertain. We record an accrual for legal contingencies when we determine that it is probable that we have incurred a liability and we can reasonably estimate the amount of the loss. In making such determinations we evaluate, among other things, the probability of an unfavorable outcome and, when we believe it probable that a liability has been incurred, our ability to make a reasonable estimate of the loss. We review these accruals each reporting period and make revisions based on changes in facts and circumstances.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71"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We allocate the purchase price of an acquisition to the tangible and intangible assets acquired and liabilities assumed based on their estimated fair values at the acquisition date. We recognize as goodwill the amount by which the purchase price of an acquired entity exceeds the net of the fair values assigned to the assets acquired and liabilities assumed. In determining the fair values of assets acquired and liabilities assumed, we use various recognized valuation methods including the income and market approaches. Further, we make assumptions within certain valuation techniques, including discount rates, royalty rates, and the amount and timing of future cash flows. We record the net assets and results of operations of an acquired entity in our Financial Statements from the acquisition date. We initially perform these valuations based upon preliminary estimates and assumptions by management or independent valuation specialists under our supervision, where appropriate, and make revisions as estimates and assumptions are finalized. We expense acquisition-related costs as we incur them.</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Acquisitions</w:t>
      </w:r>
    </w:p>
    <w:p>
      <w:pPr>
        <w:spacing w:after="0" w:line="171"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Acquisitions that do not meet the definition of a business are accounted for as asset acquisitions. We allocate the cost of the acquisition, including direct and incremental transaction costs, to the individual assets acquired and liabilities assumed on a relative fair value basis. Goodwill is not recognized in an asset acquisition. See Note 4 for additional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 Adopted</w:t>
      </w:r>
    </w:p>
    <w:p>
      <w:pPr>
        <w:spacing w:after="0" w:line="171"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u w:val="single" w:color="auto"/>
          <w:color w:val="auto"/>
        </w:rPr>
        <w:t>ASU No. 2016-13 - “Financial Instruments-Credit Losses” (Topic 326).</w:t>
      </w:r>
      <w:r>
        <w:rPr>
          <w:rFonts w:ascii="Arial" w:cs="Arial" w:eastAsia="Arial" w:hAnsi="Arial"/>
          <w:sz w:val="17"/>
          <w:szCs w:val="17"/>
          <w:color w:val="auto"/>
        </w:rPr>
        <w:t xml:space="preserve"> ASU 2016-13 requires the use of an impairment methodology that reflects an estimate of expected credit losses, measured over the contractual life of an instrument, based on information about past events, current conditions, and forecasts of future economic conditions. We adopted ASU 2016-13 in the 2020 first quarter using the modified retrospective transition method. Upon adoption, we increased our allowance for credit losses in the “Accounts and notes receivable, net” caption of our Balance Sheets by $19 million, from $82 million at December 31, 2019 to $101 million at January 1, 2020. We also recorded a $4 million decrease in the “Deferred tax liabilities” caption of our Balance Sheets and a $15 million cumulative-effect adjustment to retained earnings on our Balance Sheets.</w:t>
      </w:r>
    </w:p>
    <w:p>
      <w:pPr>
        <w:spacing w:after="0" w:line="124"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Additionally, we recorded a provision for credit losses of $136 million in 2020, primarily due to the negative economic impact caused by COVID-19 and our estimate of future economic conditions. The allowance for credit losses was $207 million at December 31,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RESTRUCTURING CHARGES</w:t>
      </w:r>
    </w:p>
    <w:p>
      <w:pPr>
        <w:spacing w:after="0" w:line="175"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Beginning in the 2020 second quarter, we initiated several regional restructuring plans to achieve cost savings in response to the decline in lodging demand caused by COVID-19. In 2020, we recorded $366 million of restructuring charges for above-property, property-level, and owned and leased properties employee termination benefits, of which we present $56 million in the “Restructuring and merger-related charges” caption and $310 million in the “Reimbursed expenses” caption of our Income Statements. Our U.S. &amp; Canada segment recorded $255 million of the total restructuring charges in 2020.</w:t>
      </w:r>
    </w:p>
    <w:p>
      <w:pPr>
        <w:spacing w:after="0" w:line="134"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In 2020, we recorded $117 million of global above-property restructuring charges, of which we present $44 million in the “Restructuring and merger-related charges” caption and $73 million in the “Reimbursed expenses” caption of our Income Statements. We have substantially completed the programs relating to our above-property organization as of year-end 2020.</w:t>
      </w:r>
    </w:p>
    <w:p>
      <w:pPr>
        <w:spacing w:after="0" w:line="130"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color w:val="auto"/>
        </w:rPr>
        <w:t>In 2020, we recorded $249 million of property-level and owned and leased properties restructuring charges, of which we present $12 million in the “Restructuring and merger-related charges” caption and $237 million in the “Reimbursed expenses” caption of our Income Statements. We anticipate additional property-level and owned and leased properties restructuring charges in future quarters.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restructuring reserve activity during the period: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Employee termination benefits</w:t>
            </w:r>
          </w:p>
        </w:tc>
      </w:tr>
      <w:tr>
        <w:trPr>
          <w:trHeight w:val="188"/>
        </w:trPr>
        <w:tc>
          <w:tcPr>
            <w:tcW w:w="8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820" w:type="dxa"/>
            <w:vAlign w:val="bottom"/>
          </w:tcPr>
          <w:p>
            <w:pPr>
              <w:ind w:left="220"/>
              <w:spacing w:after="0"/>
              <w:rPr>
                <w:sz w:val="20"/>
                <w:szCs w:val="20"/>
                <w:color w:val="auto"/>
              </w:rPr>
            </w:pPr>
            <w:r>
              <w:rPr>
                <w:rFonts w:ascii="Arial" w:cs="Arial" w:eastAsia="Arial" w:hAnsi="Arial"/>
                <w:sz w:val="14"/>
                <w:szCs w:val="14"/>
                <w:color w:val="auto"/>
              </w:rPr>
              <w:t>Charges</w:t>
            </w:r>
          </w:p>
        </w:tc>
        <w:tc>
          <w:tcPr>
            <w:tcW w:w="180" w:type="dxa"/>
            <w:vAlign w:val="bottom"/>
          </w:tcPr>
          <w:p>
            <w:pPr>
              <w:spacing w:after="0"/>
              <w:rPr>
                <w:sz w:val="16"/>
                <w:szCs w:val="16"/>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366</w:t>
            </w:r>
          </w:p>
        </w:tc>
      </w:tr>
      <w:tr>
        <w:trPr>
          <w:trHeight w:val="192"/>
        </w:trPr>
        <w:tc>
          <w:tcPr>
            <w:tcW w:w="8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payments</w:t>
            </w:r>
          </w:p>
        </w:tc>
        <w:tc>
          <w:tcPr>
            <w:tcW w:w="180" w:type="dxa"/>
            <w:vAlign w:val="bottom"/>
            <w:shd w:val="clear" w:color="auto" w:fill="CCEEFF"/>
          </w:tcPr>
          <w:p>
            <w:pPr>
              <w:spacing w:after="0"/>
              <w:rPr>
                <w:sz w:val="16"/>
                <w:szCs w:val="16"/>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r>
      <w:tr>
        <w:trPr>
          <w:trHeight w:val="186"/>
        </w:trPr>
        <w:tc>
          <w:tcPr>
            <w:tcW w:w="88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211"/>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2020, classified in “Accrued expenses and other”</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DISPOSITIONS AND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2020, we sold one U.S. &amp; Canada property for $268 million. We continue to operate the hotel under a long-term management agreement.</w:t>
      </w:r>
    </w:p>
    <w:p>
      <w:pPr>
        <w:spacing w:after="0" w:line="18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2019, we sold two U.S. &amp; Canada properties and recognized total gains of $134 million in the “Gains and other income, net” caption of our Income Statements. We continue to operate the hotels under long-term management agreements.</w:t>
      </w:r>
    </w:p>
    <w:p>
      <w:pPr>
        <w:spacing w:after="0" w:line="116"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In 2018, we sold two U.S. &amp; Canada properties, two Asia Pacific properties, and two Caribbean and Latin America properties and recognized total gains of $132 million in the “Gains and other income, net” caption of our Income Statements. We continue to operate all but one of these hotels under long-term management agreements.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In 2018, we sold our interest in three equity method investments, whose assets included a plot of land in Italy, a Caribbean and Latin America property, and an Asia Pacific property, and we recognized total gains of $42 million in the “Gains and other income, net” caption of our Income Statements. Also, in 2018, third-party investees sold a Caribbean and Latin America property and a U.S. &amp; Canada property, and we recorded our share of the gains of $55 million and $10 million, respectively, in the “Equity in (losses) earnings” caption of our Income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71"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In 2019, we completed the acquisition of Elegant Hotels Group plc (“Elegant”) for $128 million in cash and assumed Elegant’s net debt outstanding of $63 million, which we subsequently repaid in January 2020. As a result of the transaction, we added seven hotels and a beachfront restaurant on the island of Barbados to our Caribbean and Latin America owned and leased portfolio.</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2019, we purchased a U.S. &amp; Canada property for $206 million.</w:t>
      </w:r>
    </w:p>
    <w:p>
      <w:pPr>
        <w:spacing w:after="0" w:line="171" w:lineRule="exact"/>
        <w:rPr>
          <w:sz w:val="20"/>
          <w:szCs w:val="20"/>
          <w:color w:val="auto"/>
        </w:rPr>
      </w:pPr>
    </w:p>
    <w:p>
      <w:pPr>
        <w:jc w:val="both"/>
        <w:ind w:right="160" w:firstLine="405"/>
        <w:spacing w:after="0" w:line="263" w:lineRule="auto"/>
        <w:rPr>
          <w:sz w:val="20"/>
          <w:szCs w:val="20"/>
          <w:color w:val="auto"/>
        </w:rPr>
      </w:pPr>
      <w:r>
        <w:rPr>
          <w:rFonts w:ascii="Arial" w:cs="Arial" w:eastAsia="Arial" w:hAnsi="Arial"/>
          <w:sz w:val="18"/>
          <w:szCs w:val="18"/>
          <w:color w:val="auto"/>
        </w:rPr>
        <w:t>In 2019, we accelerated our option to acquire our partner’s remaining interests in two joint ventures. As a result of the transaction, we recognized an indefinite-lived brand asset for AC Hotels by Marriott of $156 million and management and franchise contract assets, with a weighted-average term of 24 years totaling $34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175" w:lineRule="exact"/>
        <w:rPr>
          <w:sz w:val="20"/>
          <w:szCs w:val="20"/>
          <w:color w:val="auto"/>
        </w:rPr>
      </w:pPr>
    </w:p>
    <w:p>
      <w:pPr>
        <w:ind w:firstLine="445"/>
        <w:spacing w:after="0" w:line="308" w:lineRule="auto"/>
        <w:rPr>
          <w:sz w:val="20"/>
          <w:szCs w:val="20"/>
          <w:color w:val="auto"/>
        </w:rPr>
      </w:pPr>
      <w:r>
        <w:rPr>
          <w:rFonts w:ascii="Arial" w:cs="Arial" w:eastAsia="Arial" w:hAnsi="Arial"/>
          <w:sz w:val="17"/>
          <w:szCs w:val="17"/>
          <w:color w:val="auto"/>
        </w:rPr>
        <w:t>The table below illustrates the reconciliation of the earnings and number of shares used in our calculations of basic and diluted earnings per share, the latter of which uses the treasury stock method in order to calculate the dilutive effect of the Company’s potential common stock:</w:t>
      </w:r>
    </w:p>
    <w:p>
      <w:pPr>
        <w:spacing w:after="0" w:line="57" w:lineRule="exact"/>
        <w:rPr>
          <w:sz w:val="20"/>
          <w:szCs w:val="20"/>
          <w:color w:val="auto"/>
        </w:rPr>
      </w:pPr>
    </w:p>
    <w:tbl>
      <w:tblPr>
        <w:tblLayout w:type="fixed"/>
        <w:tblInd w:w="780" w:type="dxa"/>
        <w:tblCellMar>
          <w:top w:w="0" w:type="dxa"/>
          <w:left w:w="0" w:type="dxa"/>
          <w:bottom w:w="0" w:type="dxa"/>
          <w:right w:w="0" w:type="dxa"/>
        </w:tblCellMar>
      </w:tblPr>
      <w:tr>
        <w:trPr>
          <w:trHeight w:val="192"/>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r>
      <w:tr>
        <w:trPr>
          <w:trHeight w:val="175"/>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Computation of Basic (Loss) Earnings Per Share</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6"/>
        </w:trPr>
        <w:tc>
          <w:tcPr>
            <w:tcW w:w="5200" w:type="dxa"/>
            <w:vAlign w:val="bottom"/>
          </w:tcPr>
          <w:p>
            <w:pPr>
              <w:ind w:left="340"/>
              <w:spacing w:after="0"/>
              <w:rPr>
                <w:sz w:val="20"/>
                <w:szCs w:val="20"/>
                <w:color w:val="auto"/>
              </w:rPr>
            </w:pPr>
            <w:r>
              <w:rPr>
                <w:rFonts w:ascii="Arial" w:cs="Arial" w:eastAsia="Arial" w:hAnsi="Arial"/>
                <w:sz w:val="14"/>
                <w:szCs w:val="14"/>
                <w:color w:val="auto"/>
              </w:rPr>
              <w:t>Net (loss) income</w:t>
            </w: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6"/>
                <w:szCs w:val="16"/>
                <w:color w:val="auto"/>
              </w:rPr>
            </w:pP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1,273</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1,907</w:t>
            </w:r>
          </w:p>
        </w:tc>
      </w:tr>
      <w:tr>
        <w:trPr>
          <w:trHeight w:val="189"/>
        </w:trPr>
        <w:tc>
          <w:tcPr>
            <w:tcW w:w="52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Shares for basic (loss) earnings per share</w:t>
            </w:r>
          </w:p>
        </w:tc>
        <w:tc>
          <w:tcPr>
            <w:tcW w:w="9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325.8</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332.7</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350.1</w:t>
            </w:r>
          </w:p>
        </w:tc>
      </w:tr>
      <w:tr>
        <w:trPr>
          <w:trHeight w:val="186"/>
        </w:trPr>
        <w:tc>
          <w:tcPr>
            <w:tcW w:w="5200" w:type="dxa"/>
            <w:vAlign w:val="bottom"/>
          </w:tcPr>
          <w:p>
            <w:pPr>
              <w:ind w:left="340"/>
              <w:spacing w:after="0"/>
              <w:rPr>
                <w:sz w:val="20"/>
                <w:szCs w:val="20"/>
                <w:color w:val="auto"/>
              </w:rPr>
            </w:pPr>
            <w:r>
              <w:rPr>
                <w:rFonts w:ascii="Arial" w:cs="Arial" w:eastAsia="Arial" w:hAnsi="Arial"/>
                <w:sz w:val="14"/>
                <w:szCs w:val="14"/>
                <w:color w:val="auto"/>
              </w:rPr>
              <w:t>Basic (loss) earnings per share</w:t>
            </w:r>
          </w:p>
        </w:tc>
        <w:tc>
          <w:tcPr>
            <w:tcW w:w="94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(0.82)</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5.45</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56"/>
        </w:trPr>
        <w:tc>
          <w:tcPr>
            <w:tcW w:w="520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i w:val="1"/>
                <w:iCs w:val="1"/>
                <w:color w:val="auto"/>
              </w:rPr>
              <w:t>Computation of Diluted (Loss) Earnings Per Share</w:t>
            </w:r>
          </w:p>
        </w:tc>
        <w:tc>
          <w:tcPr>
            <w:tcW w:w="9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6"/>
        </w:trPr>
        <w:tc>
          <w:tcPr>
            <w:tcW w:w="5200" w:type="dxa"/>
            <w:vAlign w:val="bottom"/>
          </w:tcPr>
          <w:p>
            <w:pPr>
              <w:ind w:left="340"/>
              <w:spacing w:after="0"/>
              <w:rPr>
                <w:sz w:val="20"/>
                <w:szCs w:val="20"/>
                <w:color w:val="auto"/>
              </w:rPr>
            </w:pPr>
            <w:r>
              <w:rPr>
                <w:rFonts w:ascii="Arial" w:cs="Arial" w:eastAsia="Arial" w:hAnsi="Arial"/>
                <w:sz w:val="14"/>
                <w:szCs w:val="14"/>
                <w:color w:val="auto"/>
              </w:rPr>
              <w:t>Net (loss) income</w:t>
            </w: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6"/>
                <w:szCs w:val="16"/>
                <w:color w:val="auto"/>
              </w:rPr>
            </w:pP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1,273</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1,907</w:t>
            </w:r>
          </w:p>
        </w:tc>
      </w:tr>
      <w:tr>
        <w:trPr>
          <w:trHeight w:val="192"/>
        </w:trPr>
        <w:tc>
          <w:tcPr>
            <w:tcW w:w="52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Shares for basic earnings per share</w:t>
            </w:r>
          </w:p>
        </w:tc>
        <w:tc>
          <w:tcPr>
            <w:tcW w:w="94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325.8</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332.7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350.1</w:t>
            </w:r>
          </w:p>
        </w:tc>
      </w:tr>
      <w:tr>
        <w:trPr>
          <w:trHeight w:val="186"/>
        </w:trPr>
        <w:tc>
          <w:tcPr>
            <w:tcW w:w="5200" w:type="dxa"/>
            <w:vAlign w:val="bottom"/>
          </w:tcPr>
          <w:p>
            <w:pPr>
              <w:ind w:left="340"/>
              <w:spacing w:after="0"/>
              <w:rPr>
                <w:sz w:val="20"/>
                <w:szCs w:val="20"/>
                <w:color w:val="auto"/>
              </w:rPr>
            </w:pPr>
            <w:r>
              <w:rPr>
                <w:rFonts w:ascii="Arial" w:cs="Arial" w:eastAsia="Arial" w:hAnsi="Arial"/>
                <w:sz w:val="14"/>
                <w:szCs w:val="14"/>
                <w:color w:val="auto"/>
              </w:rPr>
              <w:t>Effect of dilutive securities</w:t>
            </w: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2"/>
        </w:trPr>
        <w:tc>
          <w:tcPr>
            <w:tcW w:w="5200" w:type="dxa"/>
            <w:vAlign w:val="bottom"/>
            <w:shd w:val="clear" w:color="auto" w:fill="CCEEFF"/>
          </w:tcPr>
          <w:p>
            <w:pPr>
              <w:ind w:left="660"/>
              <w:spacing w:after="0" w:line="193" w:lineRule="exact"/>
              <w:rPr>
                <w:sz w:val="20"/>
                <w:szCs w:val="20"/>
                <w:color w:val="auto"/>
              </w:rPr>
            </w:pPr>
            <w:r>
              <w:rPr>
                <w:rFonts w:ascii="Arial" w:cs="Arial" w:eastAsia="Arial" w:hAnsi="Arial"/>
                <w:sz w:val="14"/>
                <w:szCs w:val="14"/>
                <w:color w:val="auto"/>
              </w:rPr>
              <w:t>Stock-based compensation</w:t>
            </w:r>
            <w:r>
              <w:rPr>
                <w:rFonts w:ascii="Arial" w:cs="Arial" w:eastAsia="Arial" w:hAnsi="Arial"/>
                <w:sz w:val="18"/>
                <w:szCs w:val="18"/>
                <w:color w:val="auto"/>
                <w:vertAlign w:val="superscript"/>
              </w:rPr>
              <w:t>(1)</w:t>
            </w:r>
          </w:p>
        </w:tc>
        <w:tc>
          <w:tcPr>
            <w:tcW w:w="9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w:t>
            </w:r>
          </w:p>
        </w:tc>
      </w:tr>
      <w:tr>
        <w:trPr>
          <w:trHeight w:val="179"/>
        </w:trPr>
        <w:tc>
          <w:tcPr>
            <w:tcW w:w="520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Shares for diluted (loss) earnings per share</w:t>
            </w:r>
          </w:p>
        </w:tc>
        <w:tc>
          <w:tcPr>
            <w:tcW w:w="94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325.8</w:t>
            </w:r>
          </w:p>
        </w:tc>
        <w:tc>
          <w:tcPr>
            <w:tcW w:w="10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335.5</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354.2</w:t>
            </w:r>
          </w:p>
        </w:tc>
      </w:tr>
      <w:tr>
        <w:trPr>
          <w:trHeight w:val="211"/>
        </w:trPr>
        <w:tc>
          <w:tcPr>
            <w:tcW w:w="5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Diluted (loss) earnings per share</w:t>
            </w:r>
          </w:p>
        </w:tc>
        <w:tc>
          <w:tcPr>
            <w:tcW w:w="94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(0.82)</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1120" w:hanging="140"/>
        <w:spacing w:after="0"/>
        <w:tabs>
          <w:tab w:leader="none" w:pos="1120" w:val="left"/>
        </w:tabs>
        <w:numPr>
          <w:ilvl w:val="0"/>
          <w:numId w:val="25"/>
        </w:numPr>
        <w:rPr>
          <w:rFonts w:ascii="Arial" w:cs="Arial" w:eastAsia="Arial" w:hAnsi="Arial"/>
          <w:sz w:val="9"/>
          <w:szCs w:val="9"/>
          <w:color w:val="auto"/>
        </w:rPr>
      </w:pPr>
      <w:r>
        <w:rPr>
          <w:rFonts w:ascii="Arial" w:cs="Arial" w:eastAsia="Arial" w:hAnsi="Arial"/>
          <w:sz w:val="14"/>
          <w:szCs w:val="14"/>
          <w:color w:val="auto"/>
        </w:rPr>
        <w:t>For the calculation of diluted loss per share for year-end 2020, we excluded share-based compensation securities of 1.4 million because the effect was anti-dilutive.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 and PSUs</w:t>
      </w:r>
    </w:p>
    <w:p>
      <w:pPr>
        <w:spacing w:after="0" w:line="171" w:lineRule="exact"/>
        <w:rPr>
          <w:sz w:val="20"/>
          <w:szCs w:val="20"/>
          <w:color w:val="auto"/>
        </w:rPr>
      </w:pPr>
    </w:p>
    <w:p>
      <w:pPr>
        <w:ind w:firstLine="445"/>
        <w:spacing w:after="0" w:line="238" w:lineRule="auto"/>
        <w:rPr>
          <w:sz w:val="20"/>
          <w:szCs w:val="20"/>
          <w:color w:val="auto"/>
        </w:rPr>
      </w:pPr>
      <w:r>
        <w:rPr>
          <w:rFonts w:ascii="Arial" w:cs="Arial" w:eastAsia="Arial" w:hAnsi="Arial"/>
          <w:sz w:val="18"/>
          <w:szCs w:val="18"/>
          <w:color w:val="auto"/>
        </w:rPr>
        <w:t>We granted RSUs in the 2020 first quarter to certain officers and key employees, and those units vest generally over four years in equal annual installments commencing one year after the grant date. We also granted performance-based RSUs (“PSUs”) in the 2020 first quarter to certain executive officers, which are earned, subject to continued employment and the satisfaction of certain performance conditions based on achievement of pre-established targets for gross room openings, active Marriott Bonvoy loyalty member growth, and adjusted operating income growth over, or at the end of, a three-year performance period. Additionally, in the 2020 third quarter, as part of our effort to encourage associate retention in response to the severe impact of COVID-19 on our industry and Company, we accelerated the issuance of RSU awards to certain officers and key employees that ordinarily would have been made in the 2021 first quarter, and those units generally vest over four years and five months, with one quarter of the units vesting one year and five months after the grant date and the remaining units vesting in equal annual installments thereafter. We did not accelerate the issuance of awards for our most senior executives.</w:t>
      </w:r>
    </w:p>
    <w:p>
      <w:pPr>
        <w:spacing w:after="0" w:line="137" w:lineRule="exact"/>
        <w:rPr>
          <w:sz w:val="20"/>
          <w:szCs w:val="20"/>
          <w:color w:val="auto"/>
        </w:rPr>
      </w:pPr>
    </w:p>
    <w:p>
      <w:pPr>
        <w:ind w:right="340" w:firstLine="445"/>
        <w:spacing w:after="0" w:line="277" w:lineRule="auto"/>
        <w:rPr>
          <w:sz w:val="20"/>
          <w:szCs w:val="20"/>
          <w:color w:val="auto"/>
        </w:rPr>
      </w:pPr>
      <w:r>
        <w:rPr>
          <w:rFonts w:ascii="Arial" w:cs="Arial" w:eastAsia="Arial" w:hAnsi="Arial"/>
          <w:sz w:val="18"/>
          <w:szCs w:val="18"/>
          <w:color w:val="auto"/>
        </w:rPr>
        <w:t>We had deferred compensation costs for RSUs of approximately $301 million at year-end 2020 and $176 million at year-end 2019. The weighted average remaining term for RSUs outstanding at year-end 2020 was 2.5 years.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additional information on RSUs, including PSUs, for the last three fiscal years: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r>
      <w:tr>
        <w:trPr>
          <w:trHeight w:val="188"/>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 (in millions)</w:t>
            </w:r>
          </w:p>
        </w:tc>
        <w:tc>
          <w:tcPr>
            <w:tcW w:w="116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r>
      <w:tr>
        <w:trPr>
          <w:trHeight w:val="186"/>
        </w:trPr>
        <w:tc>
          <w:tcPr>
            <w:tcW w:w="6060" w:type="dxa"/>
            <w:vAlign w:val="bottom"/>
          </w:tcPr>
          <w:p>
            <w:pPr>
              <w:ind w:left="20"/>
              <w:spacing w:after="0"/>
              <w:rPr>
                <w:sz w:val="20"/>
                <w:szCs w:val="20"/>
                <w:color w:val="auto"/>
              </w:rPr>
            </w:pPr>
            <w:r>
              <w:rPr>
                <w:rFonts w:ascii="Arial" w:cs="Arial" w:eastAsia="Arial" w:hAnsi="Arial"/>
                <w:sz w:val="14"/>
                <w:szCs w:val="14"/>
                <w:color w:val="auto"/>
              </w:rPr>
              <w:t>Weighted average grant-date fair value (per RSU)</w:t>
            </w:r>
          </w:p>
        </w:tc>
        <w:tc>
          <w:tcPr>
            <w:tcW w:w="1160" w:type="dxa"/>
            <w:vAlign w:val="bottom"/>
          </w:tcPr>
          <w:p>
            <w:pPr>
              <w:jc w:val="right"/>
              <w:ind w:right="1008"/>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6"/>
                <w:szCs w:val="16"/>
                <w:color w:val="auto"/>
              </w:rPr>
            </w:pPr>
          </w:p>
        </w:tc>
        <w:tc>
          <w:tcPr>
            <w:tcW w:w="1160" w:type="dxa"/>
            <w:vAlign w:val="bottom"/>
          </w:tcPr>
          <w:p>
            <w:pPr>
              <w:jc w:val="right"/>
              <w:ind w:right="100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132</w:t>
            </w:r>
          </w:p>
        </w:tc>
      </w:tr>
      <w:tr>
        <w:trPr>
          <w:trHeight w:val="192"/>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Aggregate intrinsic value of distributed RSUs (in millions)</w:t>
            </w:r>
          </w:p>
        </w:tc>
        <w:tc>
          <w:tcPr>
            <w:tcW w:w="116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r>
    </w:tbl>
    <w:p>
      <w:pPr>
        <w:spacing w:after="0" w:line="202"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following table presents the changes in our outstanding RSUs, including PSUs, during 2020 and the associated weighted average grant-date fair values: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3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Number of RSUs (in millions)</w:t>
            </w:r>
          </w:p>
        </w:tc>
        <w:tc>
          <w:tcPr>
            <w:tcW w:w="100" w:type="dxa"/>
            <w:vAlign w:val="bottom"/>
          </w:tcPr>
          <w:p>
            <w:pPr>
              <w:spacing w:after="0"/>
              <w:rPr>
                <w:sz w:val="14"/>
                <w:szCs w:val="14"/>
                <w:color w:val="auto"/>
              </w:rPr>
            </w:pPr>
          </w:p>
        </w:tc>
        <w:tc>
          <w:tcPr>
            <w:tcW w:w="262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Weighted Average Grant-Date Fair Value</w:t>
            </w:r>
          </w:p>
        </w:tc>
        <w:tc>
          <w:tcPr>
            <w:tcW w:w="0" w:type="dxa"/>
            <w:vAlign w:val="bottom"/>
          </w:tcPr>
          <w:p>
            <w:pPr>
              <w:spacing w:after="0"/>
              <w:rPr>
                <w:sz w:val="1"/>
                <w:szCs w:val="1"/>
                <w:color w:val="auto"/>
              </w:rPr>
            </w:pPr>
          </w:p>
        </w:tc>
      </w:tr>
      <w:tr>
        <w:trPr>
          <w:trHeight w:val="188"/>
        </w:trPr>
        <w:tc>
          <w:tcPr>
            <w:tcW w:w="620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b w:val="1"/>
                <w:bCs w:val="1"/>
                <w:color w:val="auto"/>
              </w:rPr>
              <w:t>(per unit)</w:t>
            </w:r>
          </w:p>
        </w:tc>
        <w:tc>
          <w:tcPr>
            <w:tcW w:w="0" w:type="dxa"/>
            <w:vAlign w:val="bottom"/>
          </w:tcPr>
          <w:p>
            <w:pPr>
              <w:spacing w:after="0"/>
              <w:rPr>
                <w:sz w:val="1"/>
                <w:szCs w:val="1"/>
                <w:color w:val="auto"/>
              </w:rPr>
            </w:pPr>
          </w:p>
        </w:tc>
      </w:tr>
      <w:tr>
        <w:trPr>
          <w:trHeight w:val="184"/>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at year-end 2019</w:t>
            </w:r>
          </w:p>
        </w:tc>
        <w:tc>
          <w:tcPr>
            <w:tcW w:w="2320" w:type="dxa"/>
            <w:vAlign w:val="bottom"/>
            <w:shd w:val="clear" w:color="auto" w:fill="CCEEFF"/>
          </w:tcPr>
          <w:p>
            <w:pPr>
              <w:jc w:val="center"/>
              <w:ind w:left="1948"/>
              <w:spacing w:after="0"/>
              <w:rPr>
                <w:sz w:val="20"/>
                <w:szCs w:val="20"/>
                <w:color w:val="auto"/>
              </w:rPr>
            </w:pPr>
            <w:r>
              <w:rPr>
                <w:rFonts w:ascii="Arial" w:cs="Arial" w:eastAsia="Arial" w:hAnsi="Arial"/>
                <w:sz w:val="14"/>
                <w:szCs w:val="14"/>
                <w:color w:val="auto"/>
                <w:w w:val="92"/>
              </w:rPr>
              <w:t>4.1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6"/>
        </w:trPr>
        <w:tc>
          <w:tcPr>
            <w:tcW w:w="6200" w:type="dxa"/>
            <w:vAlign w:val="bottom"/>
          </w:tcPr>
          <w:p>
            <w:pPr>
              <w:ind w:left="20"/>
              <w:spacing w:after="0"/>
              <w:rPr>
                <w:sz w:val="20"/>
                <w:szCs w:val="20"/>
                <w:color w:val="auto"/>
              </w:rPr>
            </w:pPr>
            <w:r>
              <w:rPr>
                <w:rFonts w:ascii="Arial" w:cs="Arial" w:eastAsia="Arial" w:hAnsi="Arial"/>
                <w:sz w:val="14"/>
                <w:szCs w:val="14"/>
                <w:color w:val="auto"/>
              </w:rPr>
              <w:t>Granted</w:t>
            </w:r>
          </w:p>
        </w:tc>
        <w:tc>
          <w:tcPr>
            <w:tcW w:w="2320" w:type="dxa"/>
            <w:vAlign w:val="bottom"/>
          </w:tcPr>
          <w:p>
            <w:pPr>
              <w:jc w:val="center"/>
              <w:ind w:left="1948"/>
              <w:spacing w:after="0"/>
              <w:rPr>
                <w:sz w:val="20"/>
                <w:szCs w:val="20"/>
                <w:color w:val="auto"/>
              </w:rPr>
            </w:pPr>
            <w:r>
              <w:rPr>
                <w:rFonts w:ascii="Arial" w:cs="Arial" w:eastAsia="Arial" w:hAnsi="Arial"/>
                <w:sz w:val="14"/>
                <w:szCs w:val="14"/>
                <w:color w:val="auto"/>
                <w:w w:val="92"/>
              </w:rPr>
              <w:t>3.6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92"/>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Distributed</w:t>
            </w:r>
          </w:p>
        </w:tc>
        <w:tc>
          <w:tcPr>
            <w:tcW w:w="2320" w:type="dxa"/>
            <w:vAlign w:val="bottom"/>
            <w:shd w:val="clear" w:color="auto" w:fill="CCEEFF"/>
          </w:tcPr>
          <w:p>
            <w:pPr>
              <w:jc w:val="center"/>
              <w:ind w:left="1908"/>
              <w:spacing w:after="0"/>
              <w:rPr>
                <w:sz w:val="20"/>
                <w:szCs w:val="20"/>
                <w:color w:val="auto"/>
              </w:rPr>
            </w:pPr>
            <w:r>
              <w:rPr>
                <w:rFonts w:ascii="Arial" w:cs="Arial" w:eastAsia="Arial" w:hAnsi="Arial"/>
                <w:sz w:val="14"/>
                <w:szCs w:val="14"/>
                <w:color w:val="auto"/>
                <w:w w:val="90"/>
              </w:rPr>
              <w:t>(1.6)</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86"/>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2320" w:type="dxa"/>
            <w:vAlign w:val="bottom"/>
            <w:tcBorders>
              <w:bottom w:val="single" w:sz="8" w:color="auto"/>
            </w:tcBorders>
          </w:tcPr>
          <w:p>
            <w:pPr>
              <w:jc w:val="center"/>
              <w:ind w:left="1908"/>
              <w:spacing w:after="0"/>
              <w:rPr>
                <w:sz w:val="20"/>
                <w:szCs w:val="20"/>
                <w:color w:val="auto"/>
              </w:rPr>
            </w:pPr>
            <w:r>
              <w:rPr>
                <w:rFonts w:ascii="Arial" w:cs="Arial" w:eastAsia="Arial" w:hAnsi="Arial"/>
                <w:sz w:val="14"/>
                <w:szCs w:val="14"/>
                <w:color w:val="auto"/>
                <w:w w:val="90"/>
              </w:rPr>
              <w:t>(0.3)</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20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11"/>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year-end 2020</w:t>
            </w:r>
          </w:p>
        </w:tc>
        <w:tc>
          <w:tcPr>
            <w:tcW w:w="2320" w:type="dxa"/>
            <w:vAlign w:val="bottom"/>
            <w:tcBorders>
              <w:bottom w:val="single" w:sz="8" w:color="auto"/>
            </w:tcBorders>
            <w:shd w:val="clear" w:color="auto" w:fill="CCEEFF"/>
          </w:tcPr>
          <w:p>
            <w:pPr>
              <w:jc w:val="center"/>
              <w:ind w:left="1948"/>
              <w:spacing w:after="0"/>
              <w:rPr>
                <w:sz w:val="20"/>
                <w:szCs w:val="20"/>
                <w:color w:val="auto"/>
              </w:rPr>
            </w:pPr>
            <w:r>
              <w:rPr>
                <w:rFonts w:ascii="Arial" w:cs="Arial" w:eastAsia="Arial" w:hAnsi="Arial"/>
                <w:sz w:val="14"/>
                <w:szCs w:val="14"/>
                <w:color w:val="auto"/>
                <w:w w:val="92"/>
              </w:rPr>
              <w:t>5.8</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Information</w:t>
      </w:r>
    </w:p>
    <w:p>
      <w:pPr>
        <w:spacing w:after="0" w:line="171"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At year-end 2020, we had 27 million remaining shares authorized under the Marriott and Starwood Hotels &amp; Resorts Worldwide, LLC, formerly known as Starwood Hotels &amp; Resorts Worldwide, Inc. (“Starwood”) stock plans.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our (losses) earnings before income taxes for the last three fiscal years consisted of:</w:t>
      </w:r>
    </w:p>
    <w:p>
      <w:pPr>
        <w:spacing w:after="0" w:line="136" w:lineRule="exact"/>
        <w:rPr>
          <w:sz w:val="20"/>
          <w:szCs w:val="20"/>
          <w:color w:val="auto"/>
        </w:rPr>
      </w:pPr>
    </w:p>
    <w:tbl>
      <w:tblPr>
        <w:tblLayout w:type="fixed"/>
        <w:tblInd w:w="1320" w:type="dxa"/>
        <w:tblCellMar>
          <w:top w:w="0" w:type="dxa"/>
          <w:left w:w="0" w:type="dxa"/>
          <w:bottom w:w="0" w:type="dxa"/>
          <w:right w:w="0" w:type="dxa"/>
        </w:tblCellMar>
      </w:tblPr>
      <w:tr>
        <w:trPr>
          <w:trHeight w:val="192"/>
        </w:trPr>
        <w:tc>
          <w:tcPr>
            <w:tcW w:w="348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 in millions)</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r>
      <w:tr>
        <w:trPr>
          <w:trHeight w:val="188"/>
        </w:trPr>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U.S.</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1,311</w:t>
            </w:r>
          </w:p>
        </w:tc>
      </w:tr>
      <w:tr>
        <w:trPr>
          <w:trHeight w:val="186"/>
        </w:trPr>
        <w:tc>
          <w:tcPr>
            <w:tcW w:w="34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Non-U.S.</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1,034</w:t>
            </w:r>
          </w:p>
        </w:tc>
      </w:tr>
      <w:tr>
        <w:trPr>
          <w:trHeight w:val="208"/>
        </w:trPr>
        <w:tc>
          <w:tcPr>
            <w:tcW w:w="34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94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1,599</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2,345</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benefit (provision) for income taxes for the last three fiscal years consisted of:</w:t>
      </w:r>
    </w:p>
    <w:p>
      <w:pPr>
        <w:spacing w:after="0" w:line="136" w:lineRule="exact"/>
        <w:rPr>
          <w:sz w:val="20"/>
          <w:szCs w:val="20"/>
          <w:color w:val="auto"/>
        </w:rPr>
      </w:pPr>
    </w:p>
    <w:tbl>
      <w:tblPr>
        <w:tblLayout w:type="fixed"/>
        <w:tblInd w:w="1320" w:type="dxa"/>
        <w:tblCellMar>
          <w:top w:w="0" w:type="dxa"/>
          <w:left w:w="0" w:type="dxa"/>
          <w:bottom w:w="0" w:type="dxa"/>
          <w:right w:w="0" w:type="dxa"/>
        </w:tblCellMar>
      </w:tblPr>
      <w:tr>
        <w:trPr>
          <w:trHeight w:val="192"/>
        </w:trPr>
        <w:tc>
          <w:tcPr>
            <w:tcW w:w="102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 in millions)</w:t>
            </w:r>
          </w:p>
        </w:tc>
        <w:tc>
          <w:tcPr>
            <w:tcW w:w="24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r>
      <w:tr>
        <w:trPr>
          <w:trHeight w:val="188"/>
        </w:trPr>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Current</w:t>
            </w:r>
          </w:p>
        </w:tc>
        <w:tc>
          <w:tcPr>
            <w:tcW w:w="24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 Federal</w:t>
            </w: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r>
      <w:tr>
        <w:trPr>
          <w:trHeight w:val="186"/>
        </w:trPr>
        <w:tc>
          <w:tcPr>
            <w:tcW w:w="1020" w:type="dxa"/>
            <w:vAlign w:val="bottom"/>
          </w:tcPr>
          <w:p>
            <w:pPr>
              <w:spacing w:after="0"/>
              <w:rPr>
                <w:sz w:val="16"/>
                <w:szCs w:val="16"/>
                <w:color w:val="auto"/>
              </w:rPr>
            </w:pPr>
          </w:p>
        </w:tc>
        <w:tc>
          <w:tcPr>
            <w:tcW w:w="2480" w:type="dxa"/>
            <w:vAlign w:val="bottom"/>
          </w:tcPr>
          <w:p>
            <w:pPr>
              <w:ind w:left="200"/>
              <w:spacing w:after="0"/>
              <w:rPr>
                <w:sz w:val="20"/>
                <w:szCs w:val="20"/>
                <w:color w:val="auto"/>
              </w:rPr>
            </w:pPr>
            <w:r>
              <w:rPr>
                <w:rFonts w:ascii="Arial" w:cs="Arial" w:eastAsia="Arial" w:hAnsi="Arial"/>
                <w:sz w:val="14"/>
                <w:szCs w:val="14"/>
                <w:color w:val="auto"/>
              </w:rPr>
              <w:t>-U.S. State</w:t>
            </w: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189"/>
        </w:trPr>
        <w:tc>
          <w:tcPr>
            <w:tcW w:w="1020" w:type="dxa"/>
            <w:vAlign w:val="bottom"/>
            <w:shd w:val="clear" w:color="auto" w:fill="CCEEFF"/>
          </w:tcPr>
          <w:p>
            <w:pPr>
              <w:spacing w:after="0"/>
              <w:rPr>
                <w:sz w:val="16"/>
                <w:szCs w:val="16"/>
                <w:color w:val="auto"/>
              </w:rPr>
            </w:pPr>
          </w:p>
        </w:tc>
        <w:tc>
          <w:tcPr>
            <w:tcW w:w="24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-Non-U.S.</w:t>
            </w:r>
          </w:p>
        </w:tc>
        <w:tc>
          <w:tcPr>
            <w:tcW w:w="3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w:t>
            </w:r>
          </w:p>
        </w:tc>
      </w:tr>
      <w:tr>
        <w:trPr>
          <w:trHeight w:val="183"/>
        </w:trPr>
        <w:tc>
          <w:tcPr>
            <w:tcW w:w="10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(490)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(547)</w:t>
            </w:r>
          </w:p>
        </w:tc>
      </w:tr>
      <w:tr>
        <w:trPr>
          <w:trHeight w:val="260"/>
        </w:trPr>
        <w:tc>
          <w:tcPr>
            <w:tcW w:w="1020" w:type="dxa"/>
            <w:vAlign w:val="bottom"/>
            <w:shd w:val="clear" w:color="auto" w:fill="CCEEFF"/>
          </w:tcPr>
          <w:p>
            <w:pPr>
              <w:spacing w:after="0"/>
              <w:rPr>
                <w:sz w:val="22"/>
                <w:szCs w:val="22"/>
                <w:color w:val="auto"/>
              </w:rPr>
            </w:pPr>
          </w:p>
        </w:tc>
        <w:tc>
          <w:tcPr>
            <w:tcW w:w="24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186"/>
        </w:trPr>
        <w:tc>
          <w:tcPr>
            <w:tcW w:w="1020" w:type="dxa"/>
            <w:vAlign w:val="bottom"/>
          </w:tcPr>
          <w:p>
            <w:pPr>
              <w:spacing w:after="0"/>
              <w:rPr>
                <w:sz w:val="20"/>
                <w:szCs w:val="20"/>
                <w:color w:val="auto"/>
              </w:rPr>
            </w:pPr>
            <w:r>
              <w:rPr>
                <w:rFonts w:ascii="Arial" w:cs="Arial" w:eastAsia="Arial" w:hAnsi="Arial"/>
                <w:sz w:val="14"/>
                <w:szCs w:val="14"/>
                <w:color w:val="auto"/>
              </w:rPr>
              <w:t>Deferred</w:t>
            </w:r>
          </w:p>
        </w:tc>
        <w:tc>
          <w:tcPr>
            <w:tcW w:w="2480" w:type="dxa"/>
            <w:vAlign w:val="bottom"/>
          </w:tcPr>
          <w:p>
            <w:pPr>
              <w:ind w:left="200"/>
              <w:spacing w:after="0"/>
              <w:rPr>
                <w:sz w:val="20"/>
                <w:szCs w:val="20"/>
                <w:color w:val="auto"/>
              </w:rPr>
            </w:pPr>
            <w:r>
              <w:rPr>
                <w:rFonts w:ascii="Arial" w:cs="Arial" w:eastAsia="Arial" w:hAnsi="Arial"/>
                <w:sz w:val="14"/>
                <w:szCs w:val="14"/>
                <w:color w:val="auto"/>
              </w:rPr>
              <w:t>-U.S. Federal</w:t>
            </w: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92"/>
        </w:trPr>
        <w:tc>
          <w:tcPr>
            <w:tcW w:w="1020" w:type="dxa"/>
            <w:vAlign w:val="bottom"/>
            <w:shd w:val="clear" w:color="auto" w:fill="CCEEFF"/>
          </w:tcPr>
          <w:p>
            <w:pPr>
              <w:spacing w:after="0"/>
              <w:rPr>
                <w:sz w:val="16"/>
                <w:szCs w:val="16"/>
                <w:color w:val="auto"/>
              </w:rPr>
            </w:pPr>
          </w:p>
        </w:tc>
        <w:tc>
          <w:tcPr>
            <w:tcW w:w="24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 State</w:t>
            </w: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6"/>
        </w:trPr>
        <w:tc>
          <w:tcPr>
            <w:tcW w:w="1020" w:type="dxa"/>
            <w:vAlign w:val="bottom"/>
            <w:tcBorders>
              <w:bottom w:val="single" w:sz="8" w:color="CCEEFF"/>
            </w:tcBorders>
          </w:tcPr>
          <w:p>
            <w:pPr>
              <w:spacing w:after="0"/>
              <w:rPr>
                <w:sz w:val="16"/>
                <w:szCs w:val="16"/>
                <w:color w:val="auto"/>
              </w:rPr>
            </w:pPr>
          </w:p>
        </w:tc>
        <w:tc>
          <w:tcPr>
            <w:tcW w:w="24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-Non-U.S.</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r>
      <w:tr>
        <w:trPr>
          <w:trHeight w:val="183"/>
        </w:trPr>
        <w:tc>
          <w:tcPr>
            <w:tcW w:w="102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w:t>
            </w:r>
          </w:p>
        </w:tc>
      </w:tr>
      <w:tr>
        <w:trPr>
          <w:trHeight w:val="183"/>
        </w:trPr>
        <w:tc>
          <w:tcPr>
            <w:tcW w:w="10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15"/>
                <w:szCs w:val="15"/>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w:t>
            </w:r>
          </w:p>
        </w:tc>
        <w:tc>
          <w:tcPr>
            <w:tcW w:w="120" w:type="dxa"/>
            <w:vAlign w:val="bottom"/>
          </w:tcPr>
          <w:p>
            <w:pPr>
              <w:spacing w:after="0"/>
              <w:rPr>
                <w:sz w:val="15"/>
                <w:szCs w:val="15"/>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w:t>
            </w:r>
          </w:p>
        </w:tc>
      </w:tr>
      <w:tr>
        <w:trPr>
          <w:trHeight w:val="24"/>
        </w:trPr>
        <w:tc>
          <w:tcPr>
            <w:tcW w:w="10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Unrecognized Tax Benefits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reconciles our unrecognized tax benefit balance for each year from the beginning of 2018 to the end of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Amount</w:t>
            </w:r>
          </w:p>
        </w:tc>
      </w:tr>
      <w:tr>
        <w:trPr>
          <w:trHeight w:val="188"/>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Unrecognized tax benefit at beginning of 2018</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r>
      <w:tr>
        <w:trPr>
          <w:trHeight w:val="186"/>
        </w:trPr>
        <w:tc>
          <w:tcPr>
            <w:tcW w:w="9560" w:type="dxa"/>
            <w:vAlign w:val="bottom"/>
          </w:tcPr>
          <w:p>
            <w:pPr>
              <w:ind w:left="360"/>
              <w:spacing w:after="0"/>
              <w:rPr>
                <w:sz w:val="20"/>
                <w:szCs w:val="20"/>
                <w:color w:val="auto"/>
              </w:rPr>
            </w:pPr>
            <w:r>
              <w:rPr>
                <w:rFonts w:ascii="Arial" w:cs="Arial" w:eastAsia="Arial" w:hAnsi="Arial"/>
                <w:sz w:val="14"/>
                <w:szCs w:val="14"/>
                <w:color w:val="auto"/>
              </w:rPr>
              <w:t>Change attributable to tax positions taken in prior years</w:t>
            </w: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192"/>
        </w:trPr>
        <w:tc>
          <w:tcPr>
            <w:tcW w:w="9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 attributable to tax positions taken during the current period</w:t>
            </w:r>
          </w:p>
        </w:tc>
        <w:tc>
          <w:tcPr>
            <w:tcW w:w="3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r>
      <w:tr>
        <w:trPr>
          <w:trHeight w:val="186"/>
        </w:trPr>
        <w:tc>
          <w:tcPr>
            <w:tcW w:w="95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Decrease attributable to settlements with taxing authorities</w:t>
            </w: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r>
      <w:tr>
        <w:trPr>
          <w:trHeight w:val="186"/>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Unrecognized tax benefit at year-end 2018</w:t>
            </w:r>
          </w:p>
        </w:tc>
        <w:tc>
          <w:tcPr>
            <w:tcW w:w="3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w:t>
            </w:r>
          </w:p>
        </w:tc>
      </w:tr>
      <w:tr>
        <w:trPr>
          <w:trHeight w:val="186"/>
        </w:trPr>
        <w:tc>
          <w:tcPr>
            <w:tcW w:w="9560" w:type="dxa"/>
            <w:vAlign w:val="bottom"/>
          </w:tcPr>
          <w:p>
            <w:pPr>
              <w:ind w:left="360"/>
              <w:spacing w:after="0"/>
              <w:rPr>
                <w:sz w:val="20"/>
                <w:szCs w:val="20"/>
                <w:color w:val="auto"/>
              </w:rPr>
            </w:pPr>
            <w:r>
              <w:rPr>
                <w:rFonts w:ascii="Arial" w:cs="Arial" w:eastAsia="Arial" w:hAnsi="Arial"/>
                <w:sz w:val="14"/>
                <w:szCs w:val="14"/>
                <w:color w:val="auto"/>
              </w:rPr>
              <w:t>Change attributable to tax positions taken in prior years</w:t>
            </w: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92"/>
        </w:trPr>
        <w:tc>
          <w:tcPr>
            <w:tcW w:w="9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 attributable to tax positions taken during the current period</w:t>
            </w:r>
          </w:p>
        </w:tc>
        <w:tc>
          <w:tcPr>
            <w:tcW w:w="3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86"/>
        </w:trPr>
        <w:tc>
          <w:tcPr>
            <w:tcW w:w="95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Decrease attributable to settlements with taxing authorities</w:t>
            </w: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r>
      <w:tr>
        <w:trPr>
          <w:trHeight w:val="186"/>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Unrecognized tax benefit at year-end 2019</w:t>
            </w:r>
          </w:p>
        </w:tc>
        <w:tc>
          <w:tcPr>
            <w:tcW w:w="3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w:t>
            </w:r>
          </w:p>
        </w:tc>
      </w:tr>
      <w:tr>
        <w:trPr>
          <w:trHeight w:val="186"/>
        </w:trPr>
        <w:tc>
          <w:tcPr>
            <w:tcW w:w="9560" w:type="dxa"/>
            <w:vAlign w:val="bottom"/>
          </w:tcPr>
          <w:p>
            <w:pPr>
              <w:ind w:left="360"/>
              <w:spacing w:after="0"/>
              <w:rPr>
                <w:sz w:val="20"/>
                <w:szCs w:val="20"/>
                <w:color w:val="auto"/>
              </w:rPr>
            </w:pPr>
            <w:r>
              <w:rPr>
                <w:rFonts w:ascii="Arial" w:cs="Arial" w:eastAsia="Arial" w:hAnsi="Arial"/>
                <w:sz w:val="14"/>
                <w:szCs w:val="14"/>
                <w:color w:val="auto"/>
              </w:rPr>
              <w:t>Change attributable to tax positions taken in prior years</w:t>
            </w: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192"/>
        </w:trPr>
        <w:tc>
          <w:tcPr>
            <w:tcW w:w="9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 attributable to tax positions taken during the current period</w:t>
            </w:r>
          </w:p>
        </w:tc>
        <w:tc>
          <w:tcPr>
            <w:tcW w:w="3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86"/>
        </w:trPr>
        <w:tc>
          <w:tcPr>
            <w:tcW w:w="95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Decrease attributable to settlements with taxing authorities</w:t>
            </w: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r>
      <w:tr>
        <w:trPr>
          <w:trHeight w:val="211"/>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Unrecognized tax benefit at year-end 2020</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45"/>
        <w:spacing w:after="0" w:line="239" w:lineRule="auto"/>
        <w:rPr>
          <w:sz w:val="20"/>
          <w:szCs w:val="20"/>
          <w:color w:val="auto"/>
        </w:rPr>
      </w:pPr>
      <w:r>
        <w:rPr>
          <w:rFonts w:ascii="Arial" w:cs="Arial" w:eastAsia="Arial" w:hAnsi="Arial"/>
          <w:sz w:val="18"/>
          <w:szCs w:val="18"/>
          <w:color w:val="auto"/>
        </w:rPr>
        <w:t>Our unrecognized tax benefit balances included $410 million at year-end 2020, $498 million at year-end 2019, and $497 million at year-end 2018 of tax positions that, if recognized, would impact our effective tax rate. It is reasonably possible that within the next twelve months we will reach resolution of income tax examinations in one or more jurisdictions. The actual amount of any change to our unrecognized tax benefits could vary depending on the timing and nature of the settlement. Therefore, an estimate of the change cannot be provided. We recognize accrued interest and penalties for our unrecognized tax benefits as a component of tax expense. Related interest (benefit) expense totaled $(15) million in 2020, $28 million in 2019, and $3 million in 2018. We accrued interest and penalties related to our unrecognized tax benefits of approximately $85 million at year-end 2020 and $100 million at year-end 2019 on our Balance Sheets.</w:t>
      </w:r>
    </w:p>
    <w:p>
      <w:pPr>
        <w:spacing w:after="0" w:line="13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file income tax returns, including returns for our subsidiaries, in various jurisdictions around the world. The U.S. Internal Revenue Service (“IRS”) has examined our federal income tax returns, and as of year-end 2020, we have settled all issues for tax years through 2013 for Marriott and through 2012 for Starwood. Our Marriott 2014 and 2015 tax year audits are substantially complete, and our Marriott 2016 through 2018 tax year audits are currently ongoing. Starwood is currently under audit by the IRS for years 2013 through 2016. Various foreign, state, and local income tax returns are also under examination by the applicable taxing authorities.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w:t>
      </w:r>
    </w:p>
    <w:p>
      <w:pPr>
        <w:spacing w:after="0" w:line="171"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Deferred income tax balances reflect the effects of temporary differences between the carrying amounts of assets and liabilities and their tax bases, as well as from net operating loss and tax credit carry-forwards. We state those balances at the enacted tax rates we expect will be in effect when we pay or recover the taxes. Deferred income tax assets represent amounts available to reduce income taxes we will pay on taxable income in future years. We evaluate our ability to realize these future tax deductions and credits by assessing whether we expect to have sufficient future taxable income from all sources, including reversal of taxable temporary differences, forecasted operating earnings, and available tax planning strategies to utilize these future deductions and credits. We establish a valuation allowance when we no longer consider it more likely than not that a deferred tax asset will be realized.</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presents the tax effect of each type of temporary difference and carry-forward that gave rise to significant portions of our deferred tax assets and liabilities as of year-end 2020 and year-end 2019:</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4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At Year-End 2020</w:t>
            </w:r>
          </w:p>
        </w:tc>
        <w:tc>
          <w:tcPr>
            <w:tcW w:w="140" w:type="dxa"/>
            <w:vAlign w:val="bottom"/>
          </w:tcPr>
          <w:p>
            <w:pPr>
              <w:spacing w:after="0"/>
              <w:rPr>
                <w:sz w:val="16"/>
                <w:szCs w:val="16"/>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b w:val="1"/>
                <w:bCs w:val="1"/>
                <w:color w:val="auto"/>
                <w:w w:val="95"/>
              </w:rPr>
              <w:t>At Year-End 2019</w:t>
            </w:r>
          </w:p>
        </w:tc>
      </w:tr>
      <w:tr>
        <w:trPr>
          <w:trHeight w:val="175"/>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 Assets</w:t>
            </w:r>
          </w:p>
        </w:tc>
        <w:tc>
          <w:tcPr>
            <w:tcW w:w="1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r>
      <w:tr>
        <w:trPr>
          <w:trHeight w:val="186"/>
        </w:trPr>
        <w:tc>
          <w:tcPr>
            <w:tcW w:w="7980" w:type="dxa"/>
            <w:vAlign w:val="bottom"/>
          </w:tcPr>
          <w:p>
            <w:pPr>
              <w:ind w:left="20"/>
              <w:spacing w:after="0"/>
              <w:rPr>
                <w:sz w:val="20"/>
                <w:szCs w:val="20"/>
                <w:color w:val="auto"/>
              </w:rPr>
            </w:pPr>
            <w:r>
              <w:rPr>
                <w:rFonts w:ascii="Arial" w:cs="Arial" w:eastAsia="Arial" w:hAnsi="Arial"/>
                <w:sz w:val="14"/>
                <w:szCs w:val="14"/>
                <w:color w:val="auto"/>
              </w:rPr>
              <w:t>Employee benefits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267</w:t>
            </w:r>
          </w:p>
        </w:tc>
      </w:tr>
      <w:tr>
        <w:trPr>
          <w:trHeight w:val="192"/>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operating loss carry-forwards</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w:t>
            </w:r>
          </w:p>
        </w:tc>
      </w:tr>
      <w:tr>
        <w:trPr>
          <w:trHeight w:val="186"/>
        </w:trPr>
        <w:tc>
          <w:tcPr>
            <w:tcW w:w="7980" w:type="dxa"/>
            <w:vAlign w:val="bottom"/>
          </w:tcPr>
          <w:p>
            <w:pPr>
              <w:ind w:left="20"/>
              <w:spacing w:after="0"/>
              <w:rPr>
                <w:sz w:val="20"/>
                <w:szCs w:val="20"/>
                <w:color w:val="auto"/>
              </w:rPr>
            </w:pPr>
            <w:r>
              <w:rPr>
                <w:rFonts w:ascii="Arial" w:cs="Arial" w:eastAsia="Arial" w:hAnsi="Arial"/>
                <w:sz w:val="14"/>
                <w:szCs w:val="14"/>
                <w:color w:val="auto"/>
              </w:rPr>
              <w:t>Accrued expenses and other reserves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162</w:t>
            </w:r>
          </w:p>
        </w:tc>
      </w:tr>
      <w:tr>
        <w:trPr>
          <w:trHeight w:val="192"/>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Receivables, net</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86"/>
        </w:trPr>
        <w:tc>
          <w:tcPr>
            <w:tcW w:w="7980" w:type="dxa"/>
            <w:vAlign w:val="bottom"/>
          </w:tcPr>
          <w:p>
            <w:pPr>
              <w:ind w:left="20"/>
              <w:spacing w:after="0"/>
              <w:rPr>
                <w:sz w:val="20"/>
                <w:szCs w:val="20"/>
                <w:color w:val="auto"/>
              </w:rPr>
            </w:pPr>
            <w:r>
              <w:rPr>
                <w:rFonts w:ascii="Arial" w:cs="Arial" w:eastAsia="Arial" w:hAnsi="Arial"/>
                <w:sz w:val="14"/>
                <w:szCs w:val="14"/>
                <w:color w:val="auto"/>
              </w:rPr>
              <w:t>Tax credits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192"/>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Loyalty Program</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r>
      <w:tr>
        <w:trPr>
          <w:trHeight w:val="186"/>
        </w:trPr>
        <w:tc>
          <w:tcPr>
            <w:tcW w:w="7980" w:type="dxa"/>
            <w:vAlign w:val="bottom"/>
          </w:tcPr>
          <w:p>
            <w:pPr>
              <w:ind w:left="20"/>
              <w:spacing w:after="0"/>
              <w:rPr>
                <w:sz w:val="20"/>
                <w:szCs w:val="20"/>
                <w:color w:val="auto"/>
              </w:rPr>
            </w:pPr>
            <w:r>
              <w:rPr>
                <w:rFonts w:ascii="Arial" w:cs="Arial" w:eastAsia="Arial" w:hAnsi="Arial"/>
                <w:sz w:val="14"/>
                <w:szCs w:val="14"/>
                <w:color w:val="auto"/>
              </w:rPr>
              <w:t>Deferred income</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192"/>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liabilities</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r>
      <w:tr>
        <w:trPr>
          <w:trHeight w:val="186"/>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r>
      <w:tr>
        <w:trPr>
          <w:trHeight w:val="186"/>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1,756</w:t>
            </w:r>
          </w:p>
        </w:tc>
      </w:tr>
      <w:tr>
        <w:trPr>
          <w:trHeight w:val="186"/>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Valuation allowance</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w:t>
            </w:r>
          </w:p>
        </w:tc>
      </w:tr>
      <w:tr>
        <w:trPr>
          <w:trHeight w:val="186"/>
        </w:trPr>
        <w:tc>
          <w:tcPr>
            <w:tcW w:w="7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tax assets after valuation allowance</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w:t>
            </w:r>
          </w:p>
        </w:tc>
      </w:tr>
      <w:tr>
        <w:trPr>
          <w:trHeight w:val="188"/>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Deferred Tax Liabilities</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0"/>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method investments</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r>
      <w:tr>
        <w:trPr>
          <w:trHeight w:val="186"/>
        </w:trPr>
        <w:tc>
          <w:tcPr>
            <w:tcW w:w="7980" w:type="dxa"/>
            <w:vAlign w:val="bottom"/>
          </w:tcPr>
          <w:p>
            <w:pPr>
              <w:ind w:left="20"/>
              <w:spacing w:after="0"/>
              <w:rPr>
                <w:sz w:val="20"/>
                <w:szCs w:val="20"/>
                <w:color w:val="auto"/>
              </w:rPr>
            </w:pPr>
            <w:r>
              <w:rPr>
                <w:rFonts w:ascii="Arial" w:cs="Arial" w:eastAsia="Arial" w:hAnsi="Arial"/>
                <w:sz w:val="14"/>
                <w:szCs w:val="14"/>
                <w:color w:val="auto"/>
              </w:rPr>
              <w:t>Property and equipment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192"/>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Intangibles</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w:t>
            </w:r>
          </w:p>
        </w:tc>
      </w:tr>
      <w:tr>
        <w:trPr>
          <w:trHeight w:val="186"/>
        </w:trPr>
        <w:tc>
          <w:tcPr>
            <w:tcW w:w="7980" w:type="dxa"/>
            <w:vAlign w:val="bottom"/>
          </w:tcPr>
          <w:p>
            <w:pPr>
              <w:ind w:left="20"/>
              <w:spacing w:after="0"/>
              <w:rPr>
                <w:sz w:val="20"/>
                <w:szCs w:val="20"/>
                <w:color w:val="auto"/>
              </w:rPr>
            </w:pPr>
            <w:r>
              <w:rPr>
                <w:rFonts w:ascii="Arial" w:cs="Arial" w:eastAsia="Arial" w:hAnsi="Arial"/>
                <w:sz w:val="14"/>
                <w:szCs w:val="14"/>
                <w:color w:val="auto"/>
              </w:rPr>
              <w:t>Right-of-use assets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(229)</w:t>
            </w:r>
          </w:p>
        </w:tc>
      </w:tr>
      <w:tr>
        <w:trPr>
          <w:trHeight w:val="192"/>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Self-insurance</w:t>
            </w:r>
          </w:p>
        </w:tc>
        <w:tc>
          <w:tcPr>
            <w:tcW w:w="1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79"/>
        </w:trPr>
        <w:tc>
          <w:tcPr>
            <w:tcW w:w="7980" w:type="dxa"/>
            <w:vAlign w:val="bottom"/>
          </w:tcPr>
          <w:p>
            <w:pPr>
              <w:ind w:left="140"/>
              <w:spacing w:after="0"/>
              <w:rPr>
                <w:sz w:val="20"/>
                <w:szCs w:val="20"/>
                <w:color w:val="auto"/>
              </w:rPr>
            </w:pPr>
            <w:r>
              <w:rPr>
                <w:rFonts w:ascii="Arial" w:cs="Arial" w:eastAsia="Arial" w:hAnsi="Arial"/>
                <w:sz w:val="14"/>
                <w:szCs w:val="14"/>
                <w:color w:val="auto"/>
              </w:rPr>
              <w:t>Deferred tax liabilities</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(950)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(1,276)</w:t>
            </w:r>
          </w:p>
        </w:tc>
      </w:tr>
      <w:tr>
        <w:trPr>
          <w:trHeight w:val="214"/>
        </w:trPr>
        <w:tc>
          <w:tcPr>
            <w:tcW w:w="7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deferred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Our valuation allowance is attributable to non-U.S. and U.S. state net operating loss carry-forwards. During 2020, our valuation allowance increased primarily due to legislative changes in Switzerland and net operating losses in Luxembourg.</w:t>
      </w:r>
    </w:p>
    <w:p>
      <w:pPr>
        <w:spacing w:after="0" w:line="116"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At year-end 2020, we had approximately $31 million of tax credits that will expire through 2030 and $17 million of tax credits that do not expire. We recorded $44 million of net operating loss benefits in 2020 and $10 million in 2019. At year-end 2020, we had approximately $3,938 million of primarily state and foreign net operating losses, of which $2,315 million will expire through 2040.</w:t>
      </w:r>
    </w:p>
    <w:p>
      <w:pPr>
        <w:spacing w:after="0" w:line="130"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We made no provision for U.S. income taxes or additional non-U.S. taxes on certain undistributed earnings of non-U.S. subsidiaries. These earnings could become subject to additional taxes if the non-U.S. subsidiaries dividend or loan those earnings to an affiliate or if we sell our interests in the non-U.S. subsidiaries. We cannot practically estimate the amount of additional taxes that might be payable on the undistributed earnings.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Federal Statutory Income Tax Rate to Actual Income Tax Rate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reconciles the U.S. statutory tax rate to our effective income tax rate for the last three fiscal years: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gridSpan w:val="2"/>
          </w:tcPr>
          <w:p>
            <w:pPr>
              <w:ind w:left="6260"/>
              <w:spacing w:after="0"/>
              <w:rPr>
                <w:sz w:val="20"/>
                <w:szCs w:val="20"/>
                <w:color w:val="auto"/>
              </w:rPr>
            </w:pPr>
            <w:r>
              <w:rPr>
                <w:rFonts w:ascii="Arial" w:cs="Arial" w:eastAsia="Arial" w:hAnsi="Arial"/>
                <w:sz w:val="14"/>
                <w:szCs w:val="14"/>
                <w:b w:val="1"/>
                <w:bCs w:val="1"/>
                <w:color w:val="auto"/>
              </w:rPr>
              <w:t>2020</w:t>
            </w:r>
          </w:p>
        </w:tc>
        <w:tc>
          <w:tcPr>
            <w:tcW w:w="18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right"/>
              <w:ind w:right="648"/>
              <w:spacing w:after="0"/>
              <w:rPr>
                <w:sz w:val="20"/>
                <w:szCs w:val="20"/>
                <w:color w:val="auto"/>
              </w:rPr>
            </w:pPr>
            <w:r>
              <w:rPr>
                <w:rFonts w:ascii="Arial" w:cs="Arial" w:eastAsia="Arial" w:hAnsi="Arial"/>
                <w:sz w:val="14"/>
                <w:szCs w:val="14"/>
                <w:b w:val="1"/>
                <w:bCs w:val="1"/>
                <w:color w:val="auto"/>
              </w:rPr>
              <w:t>2018</w:t>
            </w:r>
          </w:p>
        </w:tc>
      </w:tr>
      <w:tr>
        <w:trPr>
          <w:trHeight w:val="188"/>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statutory tax rate</w:t>
            </w:r>
          </w:p>
        </w:tc>
        <w:tc>
          <w:tcPr>
            <w:tcW w:w="1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0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21.0 %</w:t>
            </w:r>
          </w:p>
        </w:tc>
      </w:tr>
      <w:tr>
        <w:trPr>
          <w:trHeight w:val="186"/>
        </w:trPr>
        <w:tc>
          <w:tcPr>
            <w:tcW w:w="6660" w:type="dxa"/>
            <w:vAlign w:val="bottom"/>
            <w:gridSpan w:val="2"/>
          </w:tcPr>
          <w:p>
            <w:pPr>
              <w:ind w:left="20"/>
              <w:spacing w:after="0"/>
              <w:rPr>
                <w:sz w:val="20"/>
                <w:szCs w:val="20"/>
                <w:color w:val="auto"/>
              </w:rPr>
            </w:pPr>
            <w:r>
              <w:rPr>
                <w:rFonts w:ascii="Arial" w:cs="Arial" w:eastAsia="Arial" w:hAnsi="Arial"/>
                <w:sz w:val="14"/>
                <w:szCs w:val="14"/>
                <w:color w:val="auto"/>
              </w:rPr>
              <w:t>U.S. state income taxes, net of U.S. federal tax benefit</w:t>
            </w:r>
          </w:p>
        </w:tc>
        <w:tc>
          <w:tcPr>
            <w:tcW w:w="620" w:type="dxa"/>
            <w:vAlign w:val="bottom"/>
          </w:tcPr>
          <w:p>
            <w:pPr>
              <w:jc w:val="right"/>
              <w:ind w:right="12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720" w:type="dxa"/>
            <w:vAlign w:val="bottom"/>
          </w:tcPr>
          <w:p>
            <w:pPr>
              <w:jc w:val="right"/>
              <w:ind w:right="108"/>
              <w:spacing w:after="0"/>
              <w:rPr>
                <w:sz w:val="20"/>
                <w:szCs w:val="20"/>
                <w:color w:val="auto"/>
              </w:rPr>
            </w:pPr>
            <w:r>
              <w:rPr>
                <w:rFonts w:ascii="Arial" w:cs="Arial" w:eastAsia="Arial" w:hAnsi="Arial"/>
                <w:sz w:val="14"/>
                <w:szCs w:val="14"/>
                <w:color w:val="auto"/>
              </w:rPr>
              <w:t>2.5</w:t>
            </w:r>
          </w:p>
        </w:tc>
      </w:tr>
      <w:tr>
        <w:trPr>
          <w:trHeight w:val="192"/>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Non-U.S. income</w:t>
            </w:r>
          </w:p>
        </w:tc>
        <w:tc>
          <w:tcPr>
            <w:tcW w:w="6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w:t>
            </w:r>
          </w:p>
        </w:tc>
      </w:tr>
      <w:tr>
        <w:trPr>
          <w:trHeight w:val="186"/>
        </w:trPr>
        <w:tc>
          <w:tcPr>
            <w:tcW w:w="6660" w:type="dxa"/>
            <w:vAlign w:val="bottom"/>
            <w:gridSpan w:val="2"/>
          </w:tcPr>
          <w:p>
            <w:pPr>
              <w:ind w:left="20"/>
              <w:spacing w:after="0"/>
              <w:rPr>
                <w:sz w:val="20"/>
                <w:szCs w:val="20"/>
                <w:color w:val="auto"/>
              </w:rPr>
            </w:pPr>
            <w:r>
              <w:rPr>
                <w:rFonts w:ascii="Arial" w:cs="Arial" w:eastAsia="Arial" w:hAnsi="Arial"/>
                <w:sz w:val="14"/>
                <w:szCs w:val="14"/>
                <w:color w:val="auto"/>
              </w:rPr>
              <w:t>Change in valuation allowance</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1720" w:type="dxa"/>
            <w:vAlign w:val="bottom"/>
          </w:tcPr>
          <w:p>
            <w:pPr>
              <w:jc w:val="right"/>
              <w:ind w:right="108"/>
              <w:spacing w:after="0"/>
              <w:rPr>
                <w:sz w:val="20"/>
                <w:szCs w:val="20"/>
                <w:color w:val="auto"/>
              </w:rPr>
            </w:pPr>
            <w:r>
              <w:rPr>
                <w:rFonts w:ascii="Arial" w:cs="Arial" w:eastAsia="Arial" w:hAnsi="Arial"/>
                <w:sz w:val="14"/>
                <w:szCs w:val="14"/>
                <w:color w:val="auto"/>
              </w:rPr>
              <w:t>2.6</w:t>
            </w:r>
          </w:p>
        </w:tc>
      </w:tr>
      <w:tr>
        <w:trPr>
          <w:trHeight w:val="192"/>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Change in uncertain tax positions</w:t>
            </w:r>
          </w:p>
        </w:tc>
        <w:tc>
          <w:tcPr>
            <w:tcW w:w="6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w:t>
            </w:r>
          </w:p>
        </w:tc>
      </w:tr>
      <w:tr>
        <w:trPr>
          <w:trHeight w:val="186"/>
        </w:trPr>
        <w:tc>
          <w:tcPr>
            <w:tcW w:w="6660" w:type="dxa"/>
            <w:vAlign w:val="bottom"/>
            <w:gridSpan w:val="2"/>
          </w:tcPr>
          <w:p>
            <w:pPr>
              <w:ind w:left="20"/>
              <w:spacing w:after="0"/>
              <w:rPr>
                <w:sz w:val="20"/>
                <w:szCs w:val="20"/>
                <w:color w:val="auto"/>
              </w:rPr>
            </w:pPr>
            <w:r>
              <w:rPr>
                <w:rFonts w:ascii="Arial" w:cs="Arial" w:eastAsia="Arial" w:hAnsi="Arial"/>
                <w:sz w:val="14"/>
                <w:szCs w:val="14"/>
                <w:color w:val="auto"/>
              </w:rPr>
              <w:t>Change in U.S. tax rate</w:t>
            </w:r>
          </w:p>
        </w:tc>
        <w:tc>
          <w:tcPr>
            <w:tcW w:w="620" w:type="dxa"/>
            <w:vAlign w:val="bottom"/>
          </w:tcPr>
          <w:p>
            <w:pPr>
              <w:jc w:val="right"/>
              <w:ind w:right="128"/>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6"/>
                <w:szCs w:val="16"/>
                <w:color w:val="auto"/>
              </w:rPr>
            </w:pPr>
          </w:p>
        </w:tc>
        <w:tc>
          <w:tcPr>
            <w:tcW w:w="1720" w:type="dxa"/>
            <w:vAlign w:val="bottom"/>
          </w:tcPr>
          <w:p>
            <w:pPr>
              <w:jc w:val="right"/>
              <w:ind w:right="88"/>
              <w:spacing w:after="0"/>
              <w:rPr>
                <w:sz w:val="20"/>
                <w:szCs w:val="20"/>
                <w:color w:val="auto"/>
              </w:rPr>
            </w:pPr>
            <w:r>
              <w:rPr>
                <w:rFonts w:ascii="Arial" w:cs="Arial" w:eastAsia="Arial" w:hAnsi="Arial"/>
                <w:sz w:val="14"/>
                <w:szCs w:val="14"/>
                <w:color w:val="auto"/>
              </w:rPr>
              <w:t>(1.7)</w:t>
            </w:r>
          </w:p>
        </w:tc>
      </w:tr>
      <w:tr>
        <w:trPr>
          <w:trHeight w:val="192"/>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Permanent items</w:t>
            </w:r>
          </w:p>
        </w:tc>
        <w:tc>
          <w:tcPr>
            <w:tcW w:w="6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w:t>
            </w:r>
          </w:p>
        </w:tc>
      </w:tr>
      <w:tr>
        <w:trPr>
          <w:trHeight w:val="186"/>
        </w:trPr>
        <w:tc>
          <w:tcPr>
            <w:tcW w:w="6660" w:type="dxa"/>
            <w:vAlign w:val="bottom"/>
            <w:gridSpan w:val="2"/>
          </w:tcPr>
          <w:p>
            <w:pPr>
              <w:ind w:left="20"/>
              <w:spacing w:after="0"/>
              <w:rPr>
                <w:sz w:val="20"/>
                <w:szCs w:val="20"/>
                <w:color w:val="auto"/>
              </w:rPr>
            </w:pPr>
            <w:r>
              <w:rPr>
                <w:rFonts w:ascii="Arial" w:cs="Arial" w:eastAsia="Arial" w:hAnsi="Arial"/>
                <w:sz w:val="14"/>
                <w:szCs w:val="14"/>
                <w:color w:val="auto"/>
              </w:rPr>
              <w:t>Tax on asset dispositions</w:t>
            </w:r>
          </w:p>
        </w:tc>
        <w:tc>
          <w:tcPr>
            <w:tcW w:w="620" w:type="dxa"/>
            <w:vAlign w:val="bottom"/>
          </w:tcPr>
          <w:p>
            <w:pPr>
              <w:jc w:val="right"/>
              <w:ind w:right="128"/>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1720" w:type="dxa"/>
            <w:vAlign w:val="bottom"/>
          </w:tcPr>
          <w:p>
            <w:pPr>
              <w:jc w:val="right"/>
              <w:ind w:right="88"/>
              <w:spacing w:after="0"/>
              <w:rPr>
                <w:sz w:val="20"/>
                <w:szCs w:val="20"/>
                <w:color w:val="auto"/>
              </w:rPr>
            </w:pPr>
            <w:r>
              <w:rPr>
                <w:rFonts w:ascii="Arial" w:cs="Arial" w:eastAsia="Arial" w:hAnsi="Arial"/>
                <w:sz w:val="14"/>
                <w:szCs w:val="14"/>
                <w:color w:val="auto"/>
              </w:rPr>
              <w:t>(2.9)</w:t>
            </w:r>
          </w:p>
        </w:tc>
      </w:tr>
      <w:tr>
        <w:trPr>
          <w:trHeight w:val="192"/>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Excess tax benefits related to equity awards</w:t>
            </w:r>
          </w:p>
        </w:tc>
        <w:tc>
          <w:tcPr>
            <w:tcW w:w="6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w:t>
            </w:r>
          </w:p>
        </w:tc>
      </w:tr>
      <w:tr>
        <w:trPr>
          <w:trHeight w:val="186"/>
        </w:trPr>
        <w:tc>
          <w:tcPr>
            <w:tcW w:w="6660" w:type="dxa"/>
            <w:vAlign w:val="bottom"/>
            <w:gridSpan w:val="2"/>
          </w:tcPr>
          <w:p>
            <w:pPr>
              <w:ind w:left="20"/>
              <w:spacing w:after="0"/>
              <w:rPr>
                <w:sz w:val="20"/>
                <w:szCs w:val="20"/>
                <w:color w:val="auto"/>
              </w:rPr>
            </w:pPr>
            <w:r>
              <w:rPr>
                <w:rFonts w:ascii="Arial" w:cs="Arial" w:eastAsia="Arial" w:hAnsi="Arial"/>
                <w:sz w:val="14"/>
                <w:szCs w:val="14"/>
                <w:color w:val="auto"/>
              </w:rPr>
              <w:t>U.S. tax on foreign earnings</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720" w:type="dxa"/>
            <w:vAlign w:val="bottom"/>
          </w:tcPr>
          <w:p>
            <w:pPr>
              <w:jc w:val="right"/>
              <w:ind w:right="108"/>
              <w:spacing w:after="0"/>
              <w:rPr>
                <w:sz w:val="20"/>
                <w:szCs w:val="20"/>
                <w:color w:val="auto"/>
              </w:rPr>
            </w:pPr>
            <w:r>
              <w:rPr>
                <w:rFonts w:ascii="Arial" w:cs="Arial" w:eastAsia="Arial" w:hAnsi="Arial"/>
                <w:sz w:val="14"/>
                <w:szCs w:val="14"/>
                <w:color w:val="auto"/>
              </w:rPr>
              <w:t>0.0</w:t>
            </w:r>
          </w:p>
        </w:tc>
      </w:tr>
      <w:tr>
        <w:trPr>
          <w:trHeight w:val="192"/>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net</w:t>
            </w:r>
          </w:p>
        </w:tc>
        <w:tc>
          <w:tcPr>
            <w:tcW w:w="6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w:t>
            </w:r>
          </w:p>
        </w:tc>
      </w:tr>
      <w:tr>
        <w:trPr>
          <w:trHeight w:val="179"/>
        </w:trPr>
        <w:tc>
          <w:tcPr>
            <w:tcW w:w="5560" w:type="dxa"/>
            <w:vAlign w:val="bottom"/>
          </w:tcPr>
          <w:p>
            <w:pPr>
              <w:ind w:left="20"/>
              <w:spacing w:after="0"/>
              <w:rPr>
                <w:sz w:val="20"/>
                <w:szCs w:val="20"/>
                <w:color w:val="auto"/>
              </w:rPr>
            </w:pPr>
            <w:r>
              <w:rPr>
                <w:rFonts w:ascii="Arial" w:cs="Arial" w:eastAsia="Arial" w:hAnsi="Arial"/>
                <w:sz w:val="14"/>
                <w:szCs w:val="14"/>
                <w:color w:val="auto"/>
              </w:rPr>
              <w:t>Effective rate</w:t>
            </w:r>
          </w:p>
        </w:tc>
        <w:tc>
          <w:tcPr>
            <w:tcW w:w="11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42.9 %</w:t>
            </w:r>
          </w:p>
        </w:tc>
        <w:tc>
          <w:tcPr>
            <w:tcW w:w="100" w:type="dxa"/>
            <w:vAlign w:val="bottom"/>
          </w:tcPr>
          <w:p>
            <w:pPr>
              <w:spacing w:after="0"/>
              <w:rPr>
                <w:sz w:val="15"/>
                <w:szCs w:val="15"/>
                <w:color w:val="auto"/>
              </w:rPr>
            </w:pPr>
          </w:p>
        </w:tc>
        <w:tc>
          <w:tcPr>
            <w:tcW w:w="114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20.4 %</w:t>
            </w:r>
          </w:p>
        </w:tc>
        <w:tc>
          <w:tcPr>
            <w:tcW w:w="100" w:type="dxa"/>
            <w:vAlign w:val="bottom"/>
          </w:tcPr>
          <w:p>
            <w:pPr>
              <w:spacing w:after="0"/>
              <w:rPr>
                <w:sz w:val="15"/>
                <w:szCs w:val="15"/>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18.7 %</w:t>
            </w:r>
          </w:p>
        </w:tc>
      </w:tr>
      <w:tr>
        <w:trPr>
          <w:trHeight w:val="24"/>
        </w:trPr>
        <w:tc>
          <w:tcPr>
            <w:tcW w:w="55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right="240" w:firstLine="445"/>
        <w:spacing w:after="0" w:line="301" w:lineRule="auto"/>
        <w:rPr>
          <w:sz w:val="20"/>
          <w:szCs w:val="20"/>
          <w:color w:val="auto"/>
        </w:rPr>
      </w:pPr>
      <w:r>
        <w:rPr>
          <w:rFonts w:ascii="Arial" w:cs="Arial" w:eastAsia="Arial" w:hAnsi="Arial"/>
          <w:sz w:val="16"/>
          <w:szCs w:val="16"/>
          <w:color w:val="auto"/>
        </w:rPr>
        <w:t>The non-U.S. income tax benefit presented in the table above includes tax-exempt income in Hong Kong and Singapore, and a deemed interest deduction in Switzerland, which collectively represented 12.9% in 2020, 8.8% in 2019, and 4.0% in 2018. We included the impact of these items in the non-U.S. income line above because we consider them to be equivalent to a reduction of the statutory tax rates in these jurisdictions. Pre-tax income in Switzerland, Singapore, and Hong Kong totaled $314 million in 2020, $709 million in 2019, and $513 million in 2018.</w:t>
      </w:r>
    </w:p>
    <w:p>
      <w:pPr>
        <w:spacing w:after="0" w:line="103"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non-U.S. income tax benefit also includes U.S. income tax expense on non-U.S. operations, which represents 0.8% in 2020, 2.0% in 2019, and 1.4% in 2018. We included the impact of this tax in the non-U.S. income line above because we consider this tax to be an integral part of the foreign taxes.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Information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paid cash for income taxes, net of refunds, of $279 million in 2020, $526 million in 2019, and $678 million in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71"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We issue guarantees to certain lenders and hotel owners, chiefly to obtain long-term management and franchise contracts. The guarantees generally have a stated maximum funding amount and a term of three to ten years. The terms of guarantees to lenders generally require us to fund if cash flows from hotel operations are inadequate to cover annual debt service or to repay the loan at maturity. The terms of the guarantees to hotel owners generally require us to fund if the hotels do not attain specified levels of operating profit. Guarantee fundings to lenders and hotel owners are generally recoverable out of future hotel cash flows and/or proceeds from the sale or refinancing of hotels.</w:t>
      </w:r>
    </w:p>
    <w:p>
      <w:pPr>
        <w:spacing w:after="0" w:line="122"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We present the maximum potential amount of our future guarantee fundings and the carrying amount of our liability for our debt service, operating profit, and other guarantees (excluding contingent purchase obligations) for which we are the primary obligor at year-end 2020 in the following table:</w:t>
      </w:r>
    </w:p>
    <w:p>
      <w:pPr>
        <w:spacing w:after="0" w:line="4"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65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in millions)</w:t>
            </w:r>
          </w:p>
        </w:tc>
        <w:tc>
          <w:tcPr>
            <w:tcW w:w="16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Maximum Potential</w:t>
            </w:r>
          </w:p>
        </w:tc>
        <w:tc>
          <w:tcPr>
            <w:tcW w:w="120" w:type="dxa"/>
            <w:vAlign w:val="bottom"/>
          </w:tcPr>
          <w:p>
            <w:pPr>
              <w:spacing w:after="0"/>
              <w:rPr>
                <w:sz w:val="14"/>
                <w:szCs w:val="14"/>
                <w:color w:val="auto"/>
              </w:rPr>
            </w:pPr>
          </w:p>
        </w:tc>
        <w:tc>
          <w:tcPr>
            <w:tcW w:w="16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7"/>
              </w:rPr>
              <w:t>Recorded Liability for</w:t>
            </w:r>
          </w:p>
        </w:tc>
        <w:tc>
          <w:tcPr>
            <w:tcW w:w="0" w:type="dxa"/>
            <w:vAlign w:val="bottom"/>
          </w:tcPr>
          <w:p>
            <w:pPr>
              <w:spacing w:after="0"/>
              <w:rPr>
                <w:sz w:val="1"/>
                <w:szCs w:val="1"/>
                <w:color w:val="auto"/>
              </w:rPr>
            </w:pPr>
          </w:p>
        </w:tc>
      </w:tr>
      <w:tr>
        <w:trPr>
          <w:trHeight w:val="135"/>
        </w:trPr>
        <w:tc>
          <w:tcPr>
            <w:tcW w:w="65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Guarantee Type</w:t>
            </w:r>
          </w:p>
        </w:tc>
        <w:tc>
          <w:tcPr>
            <w:tcW w:w="160" w:type="dxa"/>
            <w:vAlign w:val="bottom"/>
          </w:tcPr>
          <w:p>
            <w:pPr>
              <w:spacing w:after="0"/>
              <w:rPr>
                <w:sz w:val="16"/>
                <w:szCs w:val="16"/>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of Future Fundings</w:t>
            </w:r>
          </w:p>
        </w:tc>
        <w:tc>
          <w:tcPr>
            <w:tcW w:w="120" w:type="dxa"/>
            <w:vAlign w:val="bottom"/>
          </w:tcPr>
          <w:p>
            <w:pPr>
              <w:spacing w:after="0"/>
              <w:rPr>
                <w:sz w:val="16"/>
                <w:szCs w:val="16"/>
                <w:color w:val="auto"/>
              </w:rPr>
            </w:pPr>
          </w:p>
        </w:tc>
        <w:tc>
          <w:tcPr>
            <w:tcW w:w="1600" w:type="dxa"/>
            <w:vAlign w:val="bottom"/>
          </w:tcPr>
          <w:p>
            <w:pPr>
              <w:jc w:val="right"/>
              <w:ind w:right="428"/>
              <w:spacing w:after="0"/>
              <w:rPr>
                <w:sz w:val="20"/>
                <w:szCs w:val="20"/>
                <w:color w:val="auto"/>
              </w:rPr>
            </w:pPr>
            <w:r>
              <w:rPr>
                <w:rFonts w:ascii="Arial" w:cs="Arial" w:eastAsia="Arial" w:hAnsi="Arial"/>
                <w:sz w:val="14"/>
                <w:szCs w:val="14"/>
                <w:b w:val="1"/>
                <w:bCs w:val="1"/>
                <w:color w:val="auto"/>
              </w:rPr>
              <w:t>Guarantees</w:t>
            </w:r>
          </w:p>
        </w:tc>
        <w:tc>
          <w:tcPr>
            <w:tcW w:w="0" w:type="dxa"/>
            <w:vAlign w:val="bottom"/>
          </w:tcPr>
          <w:p>
            <w:pPr>
              <w:spacing w:after="0"/>
              <w:rPr>
                <w:sz w:val="1"/>
                <w:szCs w:val="1"/>
                <w:color w:val="auto"/>
              </w:rPr>
            </w:pPr>
          </w:p>
        </w:tc>
      </w:tr>
      <w:tr>
        <w:trPr>
          <w:trHeight w:val="184"/>
        </w:trPr>
        <w:tc>
          <w:tcPr>
            <w:tcW w:w="6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Debt service</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6"/>
        </w:trPr>
        <w:tc>
          <w:tcPr>
            <w:tcW w:w="652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16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3"/>
        </w:trPr>
        <w:tc>
          <w:tcPr>
            <w:tcW w:w="652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4"/>
        </w:trPr>
        <w:tc>
          <w:tcPr>
            <w:tcW w:w="6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Our liability at year-end 2020 for guarantees for which we are the primary obligor is reflected in our Balance Sheets as $16 million of “Accrued expenses and other” and $122 million of “Other noncurrent liabilities.”</w:t>
      </w: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00" w:firstLine="405"/>
        <w:spacing w:after="0" w:line="308" w:lineRule="auto"/>
        <w:rPr>
          <w:sz w:val="20"/>
          <w:szCs w:val="20"/>
          <w:color w:val="auto"/>
        </w:rPr>
      </w:pPr>
      <w:r>
        <w:rPr>
          <w:rFonts w:ascii="Arial" w:cs="Arial" w:eastAsia="Arial" w:hAnsi="Arial"/>
          <w:sz w:val="17"/>
          <w:szCs w:val="17"/>
          <w:color w:val="auto"/>
        </w:rPr>
        <w:t>Our maximum potential guarantees listed in the preceding table include $90 million of operating profit guarantees and $7 million of other guarantees that will not be in effect until the underlying properties open and we begin to operate the properties or certain other events occur.</w:t>
      </w:r>
    </w:p>
    <w:p>
      <w:pPr>
        <w:spacing w:after="0" w:line="92" w:lineRule="exact"/>
        <w:rPr>
          <w:sz w:val="20"/>
          <w:szCs w:val="20"/>
          <w:color w:val="auto"/>
        </w:rPr>
      </w:pPr>
    </w:p>
    <w:p>
      <w:pPr>
        <w:ind w:right="240" w:firstLine="445"/>
        <w:spacing w:after="0" w:line="342" w:lineRule="auto"/>
        <w:rPr>
          <w:sz w:val="20"/>
          <w:szCs w:val="20"/>
          <w:color w:val="auto"/>
        </w:rPr>
      </w:pPr>
      <w:r>
        <w:rPr>
          <w:rFonts w:ascii="Arial" w:cs="Arial" w:eastAsia="Arial" w:hAnsi="Arial"/>
          <w:sz w:val="16"/>
          <w:szCs w:val="16"/>
          <w:color w:val="auto"/>
        </w:rPr>
        <w:t>In conjunction with financing obtained for specific projects or properties owned by us or entities in which we have an investment, we may provide industry standard indemnifications to the lender for loss, liability, or damage occurring as a result of the actions of the entity or our own actions.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Purchase Obligation</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u w:val="single" w:color="auto"/>
          <w:color w:val="auto"/>
        </w:rPr>
        <w:t>Sheraton Grand Chicago</w:t>
      </w:r>
      <w:r>
        <w:rPr>
          <w:rFonts w:ascii="Arial" w:cs="Arial" w:eastAsia="Arial" w:hAnsi="Arial"/>
          <w:sz w:val="18"/>
          <w:szCs w:val="18"/>
          <w:color w:val="auto"/>
        </w:rPr>
        <w:t>. In 2017, we granted the owner a one-time right, exercisable in 2022, to require us to purchase the leasehold interest in the land and the hotel for $300 million in cash (the “put option”). If the owner exercises the put option, we have the option to purchase, at the same time the put transaction closes, the fee simple interest in the underlying land for an additional $200 million in cash. We account for the put option as a guarantee. In the 2020 fourth quarter, we estimated that the put option is probable of being exercised under the terms of the agreement, and accordingly, we increased our recorded liability from $57 million at year-end 2019 to $300 million at year-end 2020. We recorded the related expense in the “Restructuring and merger-related charges” caption of our Income Statements.</w:t>
      </w:r>
    </w:p>
    <w:p>
      <w:pPr>
        <w:spacing w:after="0" w:line="138"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We concluded that the entity that owns the Sheraton Grand Chicago hotel is a variable interest entity. We did not consolidate the entity because we do not have the power to direct the activities that most significantly impact the entity’s economic performance. Our maximum exposure to loss related to the entity is equal to the difference between the purchase price and the fair value of the hotel at the time that the put option is exercised, plus the maximum funding amount of an operating profit guarantee that we provided for the hotel.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171"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At year-end 2020, we had various purchase commitments for goods and services in the normal course of business, primarily for programs and services for which we are reimbursed by third-party owners, totaling $437 million. We expect to purchase goods and services subject to these commitments as follows: $186 million in 2021, $137 million in 2022, $48 million in 2023, and $66 million thereafter.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171" w:lineRule="exact"/>
        <w:rPr>
          <w:sz w:val="20"/>
          <w:szCs w:val="20"/>
          <w:color w:val="auto"/>
        </w:rPr>
      </w:pPr>
    </w:p>
    <w:p>
      <w:pPr>
        <w:jc w:val="both"/>
        <w:ind w:right="100" w:firstLine="445"/>
        <w:spacing w:after="0" w:line="263" w:lineRule="auto"/>
        <w:rPr>
          <w:sz w:val="20"/>
          <w:szCs w:val="20"/>
          <w:color w:val="auto"/>
        </w:rPr>
      </w:pPr>
      <w:r>
        <w:rPr>
          <w:rFonts w:ascii="Arial" w:cs="Arial" w:eastAsia="Arial" w:hAnsi="Arial"/>
          <w:sz w:val="18"/>
          <w:szCs w:val="18"/>
          <w:color w:val="auto"/>
        </w:rPr>
        <w:t>At year-end 2020, we had $156 million of letters of credit outstanding (all outside the Credit Facility, as defined in Note 10), most of which were for our self-insurance programs. Surety bonds issued as of year-end 2020 totaled $163 million, most of which state governments requested in connection with our self-insurance programs.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Starwood Data Security Incident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Event</w:t>
      </w:r>
    </w:p>
    <w:p>
      <w:pPr>
        <w:spacing w:after="0" w:line="17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 xml:space="preserve">On November 30, 2018, we announced a data security incident involving </w:t>
      </w:r>
      <w:r>
        <w:rPr>
          <w:rFonts w:ascii="Arial" w:cs="Arial" w:eastAsia="Arial" w:hAnsi="Arial"/>
          <w:sz w:val="18"/>
          <w:szCs w:val="18"/>
          <w:color w:val="1C1C1C"/>
        </w:rPr>
        <w:t>unauthorized access to</w:t>
      </w:r>
      <w:r>
        <w:rPr>
          <w:rFonts w:ascii="Arial" w:cs="Arial" w:eastAsia="Arial" w:hAnsi="Arial"/>
          <w:sz w:val="18"/>
          <w:szCs w:val="18"/>
          <w:color w:val="auto"/>
        </w:rPr>
        <w:t xml:space="preserve"> the Starwood reservations database </w:t>
      </w:r>
      <w:r>
        <w:rPr>
          <w:rFonts w:ascii="Arial" w:cs="Arial" w:eastAsia="Arial" w:hAnsi="Arial"/>
          <w:sz w:val="18"/>
          <w:szCs w:val="18"/>
          <w:color w:val="1C1C1C"/>
        </w:rPr>
        <w:t>(the “Data</w:t>
      </w:r>
      <w:r>
        <w:rPr>
          <w:rFonts w:ascii="Arial" w:cs="Arial" w:eastAsia="Arial" w:hAnsi="Arial"/>
          <w:sz w:val="18"/>
          <w:szCs w:val="18"/>
          <w:color w:val="auto"/>
        </w:rPr>
        <w:t xml:space="preserve"> </w:t>
      </w:r>
      <w:r>
        <w:rPr>
          <w:rFonts w:ascii="Arial" w:cs="Arial" w:eastAsia="Arial" w:hAnsi="Arial"/>
          <w:sz w:val="18"/>
          <w:szCs w:val="18"/>
          <w:color w:val="1C1C1C"/>
        </w:rPr>
        <w:t xml:space="preserve">Security Incident”). Working with leading security experts, we </w:t>
      </w:r>
      <w:r>
        <w:rPr>
          <w:rFonts w:ascii="Arial" w:cs="Arial" w:eastAsia="Arial" w:hAnsi="Arial"/>
          <w:sz w:val="18"/>
          <w:szCs w:val="18"/>
          <w:color w:val="000000"/>
        </w:rPr>
        <w:t>determined that there was unauthorized access to the</w:t>
      </w:r>
      <w:r>
        <w:rPr>
          <w:rFonts w:ascii="Arial" w:cs="Arial" w:eastAsia="Arial" w:hAnsi="Arial"/>
          <w:sz w:val="18"/>
          <w:szCs w:val="18"/>
          <w:color w:val="1C1C1C"/>
        </w:rPr>
        <w:t xml:space="preserve"> Starwood network since 2014 and that an unauthorized party had copied information from the Starwood reservations database and taken steps towards removing it. </w:t>
      </w:r>
      <w:r>
        <w:rPr>
          <w:rFonts w:ascii="Arial" w:cs="Arial" w:eastAsia="Arial" w:hAnsi="Arial"/>
          <w:sz w:val="18"/>
          <w:szCs w:val="18"/>
          <w:color w:val="000000"/>
        </w:rPr>
        <w:t>The</w:t>
      </w:r>
      <w:r>
        <w:rPr>
          <w:rFonts w:ascii="Arial" w:cs="Arial" w:eastAsia="Arial" w:hAnsi="Arial"/>
          <w:sz w:val="18"/>
          <w:szCs w:val="18"/>
          <w:color w:val="1C1C1C"/>
        </w:rPr>
        <w:t xml:space="preserve"> Starwood reservations database is no longer used for business operations</w:t>
      </w:r>
      <w:r>
        <w:rPr>
          <w:rFonts w:ascii="Arial" w:cs="Arial" w:eastAsia="Arial" w:hAnsi="Arial"/>
          <w:sz w:val="18"/>
          <w:szCs w:val="18"/>
          <w:color w:val="000000"/>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Expenses and Insurance Recoveries</w:t>
      </w:r>
    </w:p>
    <w:p>
      <w:pPr>
        <w:spacing w:after="0" w:line="171"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In 2020, we recorded an $11 million net reversal of expenses and $29 million of accrued insurance recoveries related to the Data Security Incident; in 2019, we recorded $148 million of expenses and $84 million of accrued insurance recoveries related to the Data Security Incident; and in 2018, we recorded $28 million of expenses and $25 million of accrued insurance recoveries related to the Data Security Incident. We received insurance recoveries of $47 million in 2020 and $58 million in 2019. The net reversal of expenses for 2020 is primarily due to the reduction of the accrual for the ICO fine to reflect the amount of the final ICO fine, as further described below. We recognize insurance recoveries when they are probable of receipt and present them in our Income Statements in the same caption as the related expense, up to the amount of total expense incurred in prior and current periods. We present expenses and insurance recoveries related to the Data Security Incident in either the “Reimbursed expenses” or “Restructuring and merger-related charges” captions of our Income Statements.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Claims, and Government Investigations</w:t>
      </w:r>
    </w:p>
    <w:p>
      <w:pPr>
        <w:spacing w:after="0" w:line="171"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 xml:space="preserve">Following our announcement of the Data Security Incident, approximately 100 lawsuits were filed by consumers and others against us in U.S. federal, U.S. state and Canadian courts related to the incident. All but one of the U.S. cases were consolidated and transferred to the U.S. District Court for the District of Maryland, pursuant to orders of the U.S. Judicial Panel on Multidistrict Litigation (the “MDL”). The plaintiffs </w:t>
      </w:r>
      <w:r>
        <w:rPr>
          <w:rFonts w:ascii="Arial" w:cs="Arial" w:eastAsia="Arial" w:hAnsi="Arial"/>
          <w:sz w:val="17"/>
          <w:szCs w:val="17"/>
          <w:color w:val="auto"/>
        </w:rPr>
        <w:t>in th</w:t>
      </w:r>
      <w:r>
        <w:rPr>
          <w:rFonts w:ascii="Arial" w:cs="Arial" w:eastAsia="Arial" w:hAnsi="Arial"/>
          <w:sz w:val="16"/>
          <w:szCs w:val="16"/>
          <w:color w:val="auto"/>
        </w:rPr>
        <w:t>e U.S. and Canadian cases, who generally purport to represent various classes of consumers, generally claim to have been harmed by alleged actions and/or omissions by the Company in connection with the Data Security Incident and assert a variety of common law and statutory claims seeking monetary damages, injunctive relief, costs and attorneys’ fees, and other related relief. Among the U.S. cases consolidated in the MDL proceeding is a putative class action lawsuit that was filed against us and certain of our current officers and directors on December 1, 2018, alleging violations of the federal securities laws in connection with statements regarding our cybersecurity systems and controls, and seeking certification of a class of affected persons, unspecified monetary damages, costs and attorneys’ fees, and other related relief. The MDL proceeding also includes two shareholder derivative complaints that were filed on February 26, 2019 and March 15, 2019, respectively, against the Company, certain of its officers and certain current and former members of our Board of Directors, alleging, among other claims, breach of fiduciary duty, corporate waste, unjust enrichment, mismanagement and violations of the federal securities laws, and seeking unspecified monetary damages and restitution, changes to the Company’s corporate governance and internal procedures, costs and attorneys’ fees, and other related relief. A separate shareholder derivative complaint was filed in the Delaware Court of Chancery on December 3, 2019 against the Company and certain of its officers and certain current and former members of our Board of Directors, alleging claims and seeking relief generally similar to the claims made and relief sought in the other two derivative cases. This case will not be consolidated with the MDL proceeding. We dispute the allegations in the lawsuits described above and are vigorously defending against such claims. We have filed motions to dismiss in each of these cases, some of which have been denied, but the cases generally remain at an early stage. The Canadian cases have effectively been consolidated into a single case in the province of Ontario. In April 2019, we received a letter purportedly on behalf of a stockholder of the Company (also one of the named plaintiffs in the putative securities class action described above) demanding that our Board of Directors take action against the Company’s current and certain former officers and directors to recover damages for alleged breaches of fiduciary duties and related claims arising from the Data Security Incident. The Board of Directors has constituted a demand review committee to investigate the claims made in the demand letter, and the committee has retained independent counsel to assist with the investigation. The committee’s investigation is ongoing. In addition, on August 18, 2020, a purported representative action was brought against us in the High Court of Justice for England and Wales on behalf of an alleged claimant class of English and Welsh residents alleging breaches of the General Data Protection Regulation and/or the U.K. Data Protection Act 2018 (the “U.K. DPA”) in connection with the Data Security Incident. We dispute all of the allegations in this purported action and will vigorously defend against any such claims. On November 5, 2020, the court issued an order with the consent of all parties staying this action pending resolution of another case raising similar issues, but not involving the Company, that is pending before the U.K. Supreme Court.</w:t>
      </w:r>
    </w:p>
    <w:p>
      <w:pPr>
        <w:spacing w:after="0" w:line="333" w:lineRule="exact"/>
        <w:rPr>
          <w:sz w:val="20"/>
          <w:szCs w:val="20"/>
          <w:color w:val="auto"/>
        </w:rPr>
      </w:pPr>
    </w:p>
    <w:p>
      <w:pPr>
        <w:ind w:firstLine="405"/>
        <w:spacing w:after="0" w:line="283" w:lineRule="auto"/>
        <w:rPr>
          <w:sz w:val="20"/>
          <w:szCs w:val="20"/>
          <w:color w:val="auto"/>
        </w:rPr>
      </w:pPr>
      <w:r>
        <w:rPr>
          <w:rFonts w:ascii="Arial" w:cs="Arial" w:eastAsia="Arial" w:hAnsi="Arial"/>
          <w:sz w:val="16"/>
          <w:szCs w:val="16"/>
          <w:color w:val="auto"/>
        </w:rPr>
        <w:t>In addition, numerous U.S. federal, U.S. state and foreign governmental authorities made inquiries, opened investigations, or requested information and/or documents related to the Data Security Incident and related matters, including Attorneys General offices from all 50 states and the District of Columbia, the Federal Trade Commission, the Securities and Exchange Commission, certain committees of the U.S. Senate and House of Representatives, the Information Commissioner’s Office in the United Kingdom (the “ICO”) as lead supervisory authority in the European Economic Area, and regulatory authorities in various other jurisdictions. With the exception of the ICO proceeding, these matters generally remain open. In July 2019, the ICO issued a formal notice of intent under the U.K. DPA proposing a fine in the amount of £99 million against the Company in relation to the Data Security Incident. We submitted written responses to the ICO vigorously defending our position and engaged with the ICO regarding the Data Security Incident and proposed fine. In October 2020, the ICO issued a final decision under the U.K. DPA, which includes a fine of £18.4 million. The Company did not appeal the ICO’s decision, but has made no admission of liability in relation to the decision or the underlying allegations. In 2019, we expensed $65 million for this loss contingency, in the “Restructuring and merger-related charges” caption of our Income Statements, based on the fine initially proposed by the ICO in July 2019 and the ongoing proceeding. In 2020, we recorded a $39 million reversal of expense, based on the ICO’s issuance of the final decision. We paid a portion of the ICO fine in the 2020 fourth quarter, and the remainder is payable over the next two years. Our accrual for this loss contingency, which we present in the “Accrued expenses and other” and “Other noncurrent liabilities” captions of our Balance Sheets, was $65 million at year-end 2019 and</w:t>
      </w:r>
    </w:p>
    <w:p>
      <w:pPr>
        <w:spacing w:after="0" w:line="2"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$17 million at year-end 2020. Our production of information and/or documents to the state Attorneys General and the Federal Trade Commission is now complete, and we are in the early stages of discussions with those authorities to resolve their investigations and requests.</w:t>
      </w:r>
    </w:p>
    <w:p>
      <w:pPr>
        <w:spacing w:after="0" w:line="10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While we believe it is reasonably possible that we may incur additional losses associated with the above described proceedings and investigations related to the Data Security Incident, it is not possible to estimate the amount of loss or range of loss, if any, in excess of the amounts already incurred that might result from adverse judgments, settlements, fines, penalties or other resolution of these proceedings and investigations based on the current stage of these proceedings and investigations, the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absence of specific allegations as to alleged damages, the uncertainty as to the certification of a class or classes and the size of any certified class, if applicable, and/or the lack of resolution of significant factual and legal issues.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175" w:lineRule="exact"/>
        <w:rPr>
          <w:sz w:val="20"/>
          <w:szCs w:val="20"/>
          <w:color w:val="auto"/>
        </w:rPr>
      </w:pPr>
    </w:p>
    <w:p>
      <w:pPr>
        <w:jc w:val="both"/>
        <w:ind w:right="200" w:firstLine="405"/>
        <w:spacing w:after="0" w:line="263" w:lineRule="auto"/>
        <w:rPr>
          <w:sz w:val="20"/>
          <w:szCs w:val="20"/>
          <w:color w:val="auto"/>
        </w:rPr>
      </w:pPr>
      <w:r>
        <w:rPr>
          <w:rFonts w:ascii="Arial" w:cs="Arial" w:eastAsia="Arial" w:hAnsi="Arial"/>
          <w:sz w:val="18"/>
          <w:szCs w:val="18"/>
          <w:color w:val="auto"/>
        </w:rPr>
        <w:t>We enter into operating and finance leases primarily for hotels, offices, and equipment. Most leases have initial terms of up to 20 years, and contain one or more renewals at our option, generally for five- or 10-year periods. We have generally not included these renewal periods in the lease term as it is not reasonably certain that we will exercise the renewal option.</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the composition of lease expense for 2020 and 2019:</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4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r>
      <w:tr>
        <w:trPr>
          <w:trHeight w:val="184"/>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r>
      <w:tr>
        <w:trPr>
          <w:trHeight w:val="182"/>
        </w:trPr>
        <w:tc>
          <w:tcPr>
            <w:tcW w:w="7940" w:type="dxa"/>
            <w:vAlign w:val="bottom"/>
          </w:tcPr>
          <w:p>
            <w:pPr>
              <w:ind w:left="20"/>
              <w:spacing w:after="0"/>
              <w:rPr>
                <w:sz w:val="20"/>
                <w:szCs w:val="20"/>
                <w:color w:val="auto"/>
              </w:rPr>
            </w:pPr>
            <w:r>
              <w:rPr>
                <w:rFonts w:ascii="Arial" w:cs="Arial" w:eastAsia="Arial" w:hAnsi="Arial"/>
                <w:sz w:val="14"/>
                <w:szCs w:val="14"/>
                <w:color w:val="auto"/>
              </w:rPr>
              <w:t>Variable lease cost</w:t>
            </w: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60</w:t>
            </w: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113</w:t>
            </w:r>
          </w:p>
        </w:tc>
      </w:tr>
    </w:tbl>
    <w:p>
      <w:pPr>
        <w:spacing w:after="0" w:line="154" w:lineRule="exact"/>
        <w:rPr>
          <w:sz w:val="20"/>
          <w:szCs w:val="20"/>
          <w:color w:val="auto"/>
        </w:rPr>
      </w:pPr>
    </w:p>
    <w:p>
      <w:pPr>
        <w:ind w:right="140" w:firstLine="405"/>
        <w:spacing w:after="0" w:line="290" w:lineRule="auto"/>
        <w:rPr>
          <w:sz w:val="20"/>
          <w:szCs w:val="20"/>
          <w:color w:val="auto"/>
        </w:rPr>
      </w:pPr>
      <w:r>
        <w:rPr>
          <w:rFonts w:ascii="Arial" w:cs="Arial" w:eastAsia="Arial" w:hAnsi="Arial"/>
          <w:sz w:val="16"/>
          <w:szCs w:val="16"/>
          <w:color w:val="auto"/>
        </w:rPr>
        <w:t>We recorded impairment charges of $116 million in 2020 and $99 million in 2019 in the “Depreciation, amortization, and other” caption of our Income Statements to reduce the carrying amount of certain U.S. &amp; Canada hotel leases right-of-use assets and property and equipment, including leasehold improvements. The impairment charges recorded in 2020 were due to the impact of COVID-19. We determined that we may not be able to fully recover the carrying amount of these U.S. &amp; Canada hotel leases after evaluating the assets for recovery due to declines in market performance and future cash flow projections. We estimated the fair value using an income approach reflecting internally developed Level 3 discounted cash flows that included, among other things, our expectations of future cash flows based on historical experience and projected growth rates, usage estimates and demand trends. Additionally, during the year ended 2019, we recorded expense of $34 million in the “Restructuring and merger-related charges” caption of our Income Statements due to the impairment of a legacy-Starwood office building accounted for as a finance lease.</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future minimum lease payments at year-end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80" w:type="dxa"/>
            <w:vAlign w:val="bottom"/>
          </w:tcPr>
          <w:p>
            <w:pPr>
              <w:spacing w:after="0"/>
              <w:rPr>
                <w:sz w:val="16"/>
                <w:szCs w:val="16"/>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 Leases</w:t>
            </w:r>
          </w:p>
        </w:tc>
        <w:tc>
          <w:tcPr>
            <w:tcW w:w="220" w:type="dxa"/>
            <w:vAlign w:val="bottom"/>
          </w:tcPr>
          <w:p>
            <w:pPr>
              <w:spacing w:after="0"/>
              <w:rPr>
                <w:sz w:val="16"/>
                <w:szCs w:val="16"/>
                <w:color w:val="auto"/>
              </w:rPr>
            </w:pPr>
          </w:p>
        </w:tc>
        <w:tc>
          <w:tcPr>
            <w:tcW w:w="1420" w:type="dxa"/>
            <w:vAlign w:val="bottom"/>
          </w:tcPr>
          <w:p>
            <w:pPr>
              <w:jc w:val="right"/>
              <w:ind w:right="288"/>
              <w:spacing w:after="0"/>
              <w:rPr>
                <w:sz w:val="20"/>
                <w:szCs w:val="20"/>
                <w:color w:val="auto"/>
              </w:rPr>
            </w:pPr>
            <w:r>
              <w:rPr>
                <w:rFonts w:ascii="Arial" w:cs="Arial" w:eastAsia="Arial" w:hAnsi="Arial"/>
                <w:sz w:val="14"/>
                <w:szCs w:val="14"/>
                <w:b w:val="1"/>
                <w:bCs w:val="1"/>
                <w:color w:val="auto"/>
                <w:w w:val="99"/>
              </w:rPr>
              <w:t>Finance Leases</w:t>
            </w:r>
          </w:p>
        </w:tc>
      </w:tr>
      <w:tr>
        <w:trPr>
          <w:trHeight w:val="189"/>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86"/>
        </w:trPr>
        <w:tc>
          <w:tcPr>
            <w:tcW w:w="7800" w:type="dxa"/>
            <w:vAlign w:val="bottom"/>
          </w:tcPr>
          <w:p>
            <w:pPr>
              <w:ind w:left="20"/>
              <w:spacing w:after="0"/>
              <w:rPr>
                <w:sz w:val="20"/>
                <w:szCs w:val="20"/>
                <w:color w:val="auto"/>
              </w:rPr>
            </w:pPr>
            <w:r>
              <w:rPr>
                <w:rFonts w:ascii="Arial" w:cs="Arial" w:eastAsia="Arial" w:hAnsi="Arial"/>
                <w:sz w:val="14"/>
                <w:szCs w:val="14"/>
                <w:color w:val="auto"/>
              </w:rPr>
              <w:t>2022</w:t>
            </w: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92"/>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86"/>
        </w:trPr>
        <w:tc>
          <w:tcPr>
            <w:tcW w:w="7800" w:type="dxa"/>
            <w:vAlign w:val="bottom"/>
          </w:tcPr>
          <w:p>
            <w:pPr>
              <w:ind w:left="20"/>
              <w:spacing w:after="0"/>
              <w:rPr>
                <w:sz w:val="20"/>
                <w:szCs w:val="20"/>
                <w:color w:val="auto"/>
              </w:rPr>
            </w:pPr>
            <w:r>
              <w:rPr>
                <w:rFonts w:ascii="Arial" w:cs="Arial" w:eastAsia="Arial" w:hAnsi="Arial"/>
                <w:sz w:val="14"/>
                <w:szCs w:val="14"/>
                <w:color w:val="auto"/>
              </w:rPr>
              <w:t>2024</w:t>
            </w: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92"/>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86"/>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r>
      <w:tr>
        <w:trPr>
          <w:trHeight w:val="186"/>
        </w:trPr>
        <w:tc>
          <w:tcPr>
            <w:tcW w:w="7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minimum lease payments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r>
      <w:tr>
        <w:trPr>
          <w:trHeight w:val="186"/>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Less: Amount representing interest</w:t>
            </w: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r>
      <w:tr>
        <w:trPr>
          <w:trHeight w:val="208"/>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Present value of minimum lease payments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composition of our current and noncurrent lease liability at year-end 2020 and 2019:</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200" w:type="dxa"/>
            <w:vAlign w:val="bottom"/>
            <w:tcBorders>
              <w:top w:val="single" w:sz="8" w:color="auto"/>
              <w:bottom w:val="single" w:sz="8" w:color="auto"/>
            </w:tcBorders>
          </w:tcPr>
          <w:p>
            <w:pPr>
              <w:spacing w:after="0"/>
              <w:rPr>
                <w:sz w:val="17"/>
                <w:szCs w:val="17"/>
                <w:color w:val="auto"/>
              </w:rPr>
            </w:pPr>
          </w:p>
        </w:tc>
        <w:tc>
          <w:tcPr>
            <w:tcW w:w="2860" w:type="dxa"/>
            <w:vAlign w:val="bottom"/>
            <w:tcBorders>
              <w:top w:val="single" w:sz="8" w:color="auto"/>
              <w:bottom w:val="single" w:sz="8" w:color="auto"/>
            </w:tcBorders>
            <w:gridSpan w:val="3"/>
          </w:tcPr>
          <w:p>
            <w:pPr>
              <w:jc w:val="right"/>
              <w:ind w:right="708"/>
              <w:spacing w:after="0"/>
              <w:rPr>
                <w:sz w:val="20"/>
                <w:szCs w:val="20"/>
                <w:color w:val="auto"/>
              </w:rPr>
            </w:pPr>
            <w:r>
              <w:rPr>
                <w:rFonts w:ascii="Arial" w:cs="Arial" w:eastAsia="Arial" w:hAnsi="Arial"/>
                <w:sz w:val="14"/>
                <w:szCs w:val="14"/>
                <w:b w:val="1"/>
                <w:bCs w:val="1"/>
                <w:color w:val="auto"/>
              </w:rPr>
              <w:t>December 31, 2020</w:t>
            </w:r>
          </w:p>
        </w:tc>
        <w:tc>
          <w:tcPr>
            <w:tcW w:w="32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3200" w:type="dxa"/>
            <w:vAlign w:val="bottom"/>
            <w:tcBorders>
              <w:top w:val="single" w:sz="8" w:color="auto"/>
              <w:bottom w:val="single" w:sz="8" w:color="auto"/>
            </w:tcBorders>
            <w:gridSpan w:val="4"/>
          </w:tcPr>
          <w:p>
            <w:pPr>
              <w:jc w:val="right"/>
              <w:ind w:right="1048"/>
              <w:spacing w:after="0"/>
              <w:rPr>
                <w:sz w:val="20"/>
                <w:szCs w:val="20"/>
                <w:color w:val="auto"/>
              </w:rPr>
            </w:pPr>
            <w:r>
              <w:rPr>
                <w:rFonts w:ascii="Arial" w:cs="Arial" w:eastAsia="Arial" w:hAnsi="Arial"/>
                <w:sz w:val="14"/>
                <w:szCs w:val="14"/>
                <w:b w:val="1"/>
                <w:bCs w:val="1"/>
                <w:color w:val="auto"/>
              </w:rPr>
              <w:t>December 31, 2019</w:t>
            </w:r>
          </w:p>
        </w:tc>
      </w:tr>
      <w:tr>
        <w:trPr>
          <w:trHeight w:val="183"/>
        </w:trPr>
        <w:tc>
          <w:tcPr>
            <w:tcW w:w="4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Operating Leases</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Finance Leases</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Operating Leases</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w w:val="99"/>
              </w:rPr>
              <w:t>Finance Leases</w:t>
            </w:r>
          </w:p>
        </w:tc>
      </w:tr>
      <w:tr>
        <w:trPr>
          <w:trHeight w:val="183"/>
        </w:trPr>
        <w:tc>
          <w:tcPr>
            <w:tcW w:w="4360" w:type="dxa"/>
            <w:vAlign w:val="bottom"/>
          </w:tcPr>
          <w:p>
            <w:pPr>
              <w:ind w:left="20"/>
              <w:spacing w:after="0" w:line="182" w:lineRule="exact"/>
              <w:rPr>
                <w:sz w:val="20"/>
                <w:szCs w:val="20"/>
                <w:color w:val="auto"/>
              </w:rPr>
            </w:pPr>
            <w:r>
              <w:rPr>
                <w:rFonts w:ascii="Arial" w:cs="Arial" w:eastAsia="Arial" w:hAnsi="Arial"/>
                <w:sz w:val="14"/>
                <w:szCs w:val="14"/>
                <w:color w:val="auto"/>
              </w:rPr>
              <w:t xml:space="preserve">Current </w:t>
            </w:r>
            <w:r>
              <w:rPr>
                <w:rFonts w:ascii="Arial" w:cs="Arial" w:eastAsia="Arial" w:hAnsi="Arial"/>
                <w:sz w:val="18"/>
                <w:szCs w:val="18"/>
                <w:color w:val="auto"/>
                <w:vertAlign w:val="superscript"/>
              </w:rPr>
              <w:t>(1)</w:t>
            </w: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5"/>
                <w:szCs w:val="15"/>
                <w:color w:val="auto"/>
              </w:rPr>
            </w:pPr>
          </w:p>
        </w:tc>
        <w:tc>
          <w:tcPr>
            <w:tcW w:w="1320" w:type="dxa"/>
            <w:vAlign w:val="bottom"/>
            <w:tcBorders>
              <w:top w:val="single" w:sz="8" w:color="auto"/>
            </w:tcBorders>
          </w:tcPr>
          <w:p>
            <w:pPr>
              <w:jc w:val="right"/>
              <w:ind w:right="114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189"/>
        </w:trPr>
        <w:tc>
          <w:tcPr>
            <w:tcW w:w="43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Noncurrent </w:t>
            </w:r>
            <w:r>
              <w:rPr>
                <w:rFonts w:ascii="Arial" w:cs="Arial" w:eastAsia="Arial" w:hAnsi="Arial"/>
                <w:sz w:val="18"/>
                <w:szCs w:val="18"/>
                <w:color w:val="auto"/>
                <w:vertAlign w:val="superscript"/>
              </w:rPr>
              <w:t>(2)</w:t>
            </w:r>
          </w:p>
        </w:tc>
        <w:tc>
          <w:tcPr>
            <w:tcW w:w="20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823</w:t>
            </w:r>
          </w:p>
        </w:tc>
        <w:tc>
          <w:tcPr>
            <w:tcW w:w="10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w:t>
            </w:r>
          </w:p>
        </w:tc>
      </w:tr>
      <w:tr>
        <w:trPr>
          <w:trHeight w:val="179"/>
        </w:trPr>
        <w:tc>
          <w:tcPr>
            <w:tcW w:w="436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970</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right"/>
              <w:ind w:right="11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1,012</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r>
      <w:tr>
        <w:trPr>
          <w:trHeight w:val="24"/>
        </w:trPr>
        <w:tc>
          <w:tcPr>
            <w:tcW w:w="4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7"/>
          <w:szCs w:val="17"/>
          <w:color w:val="auto"/>
          <w:vertAlign w:val="superscript"/>
        </w:rPr>
      </w:pPr>
      <w:r>
        <w:rPr>
          <w:rFonts w:ascii="Arial" w:cs="Arial" w:eastAsia="Arial" w:hAnsi="Arial"/>
          <w:sz w:val="13"/>
          <w:szCs w:val="13"/>
          <w:color w:val="auto"/>
        </w:rPr>
        <w:t>Operating leases are recorded in the “Accrued expenses and other” and finance leases are recorded in the “Current portion of long-term debt” captions of our Balance Sheets.</w:t>
      </w:r>
    </w:p>
    <w:p>
      <w:pPr>
        <w:spacing w:after="0" w:line="45" w:lineRule="exact"/>
        <w:rPr>
          <w:rFonts w:ascii="Arial" w:cs="Arial" w:eastAsia="Arial" w:hAnsi="Arial"/>
          <w:sz w:val="17"/>
          <w:szCs w:val="17"/>
          <w:color w:val="auto"/>
          <w:vertAlign w:val="superscript"/>
        </w:rPr>
      </w:pPr>
    </w:p>
    <w:p>
      <w:pPr>
        <w:ind w:left="640" w:hanging="308"/>
        <w:spacing w:after="0" w:line="186" w:lineRule="auto"/>
        <w:tabs>
          <w:tab w:leader="none" w:pos="640"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Operating leases are recorded in the “Operating lease liabilities” and finance leases are recorded in the “Long-term debt” captions of our Balance Sheets.</w:t>
      </w:r>
    </w:p>
    <w:p>
      <w:pPr>
        <w:spacing w:after="0" w:line="14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At year-end 2020, we had entered into an agreement that we expect to account for as an operating lease with a 20-year term for our new headquarters office, which is not reflected in our Balance Sheets or in the table above as the lease has not commenced.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additional information about our lease obligations at year-end 2020 and 2019:</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300" w:type="dxa"/>
            <w:vAlign w:val="bottom"/>
            <w:tcBorders>
              <w:bottom w:val="single" w:sz="8" w:color="CCEEFF"/>
            </w:tcBorders>
          </w:tcPr>
          <w:p>
            <w:pPr>
              <w:spacing w:after="0"/>
              <w:rPr>
                <w:sz w:val="17"/>
                <w:szCs w:val="17"/>
                <w:color w:val="auto"/>
              </w:rPr>
            </w:pPr>
          </w:p>
        </w:tc>
        <w:tc>
          <w:tcPr>
            <w:tcW w:w="1980" w:type="dxa"/>
            <w:vAlign w:val="bottom"/>
            <w:tcBorders>
              <w:top w:val="single" w:sz="8" w:color="auto"/>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140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0" w:type="dxa"/>
            <w:vAlign w:val="bottom"/>
            <w:tcBorders>
              <w:top w:val="single" w:sz="8" w:color="auto"/>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1420" w:type="dxa"/>
            <w:vAlign w:val="bottom"/>
            <w:tcBorders>
              <w:top w:val="single" w:sz="8" w:color="auto"/>
              <w:bottom w:val="single" w:sz="8" w:color="auto"/>
            </w:tcBorders>
          </w:tcPr>
          <w:p>
            <w:pPr>
              <w:spacing w:after="0"/>
              <w:rPr>
                <w:sz w:val="17"/>
                <w:szCs w:val="17"/>
                <w:color w:val="auto"/>
              </w:rPr>
            </w:pPr>
          </w:p>
        </w:tc>
      </w:tr>
      <w:tr>
        <w:trPr>
          <w:trHeight w:val="184"/>
        </w:trPr>
        <w:tc>
          <w:tcPr>
            <w:tcW w:w="4300" w:type="dxa"/>
            <w:vAlign w:val="bottom"/>
            <w:shd w:val="clear" w:color="auto" w:fill="CCEEFF"/>
          </w:tcPr>
          <w:p>
            <w:pPr>
              <w:spacing w:after="0"/>
              <w:rPr>
                <w:sz w:val="15"/>
                <w:szCs w:val="15"/>
                <w:color w:val="auto"/>
              </w:rPr>
            </w:pPr>
          </w:p>
        </w:tc>
        <w:tc>
          <w:tcPr>
            <w:tcW w:w="1980" w:type="dxa"/>
            <w:vAlign w:val="bottom"/>
            <w:gridSpan w:val="3"/>
            <w:shd w:val="clear" w:color="auto" w:fill="CCEEFF"/>
          </w:tcPr>
          <w:p>
            <w:pPr>
              <w:jc w:val="right"/>
              <w:ind w:right="640"/>
              <w:spacing w:after="0"/>
              <w:rPr>
                <w:sz w:val="20"/>
                <w:szCs w:val="20"/>
                <w:color w:val="auto"/>
              </w:rPr>
            </w:pPr>
            <w:r>
              <w:rPr>
                <w:rFonts w:ascii="Arial" w:cs="Arial" w:eastAsia="Arial" w:hAnsi="Arial"/>
                <w:sz w:val="14"/>
                <w:szCs w:val="14"/>
                <w:b w:val="1"/>
                <w:bCs w:val="1"/>
                <w:color w:val="auto"/>
              </w:rPr>
              <w:t>Operating leases</w:t>
            </w:r>
          </w:p>
        </w:tc>
        <w:tc>
          <w:tcPr>
            <w:tcW w:w="140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Finance leases</w:t>
            </w:r>
          </w:p>
        </w:tc>
        <w:tc>
          <w:tcPr>
            <w:tcW w:w="120" w:type="dxa"/>
            <w:vAlign w:val="bottom"/>
            <w:shd w:val="clear" w:color="auto" w:fill="CCEEFF"/>
          </w:tcPr>
          <w:p>
            <w:pPr>
              <w:spacing w:after="0"/>
              <w:rPr>
                <w:sz w:val="15"/>
                <w:szCs w:val="15"/>
                <w:color w:val="auto"/>
              </w:rPr>
            </w:pPr>
          </w:p>
        </w:tc>
        <w:tc>
          <w:tcPr>
            <w:tcW w:w="2000" w:type="dxa"/>
            <w:vAlign w:val="bottom"/>
            <w:gridSpan w:val="3"/>
            <w:shd w:val="clear" w:color="auto" w:fill="CCEEFF"/>
          </w:tcPr>
          <w:p>
            <w:pPr>
              <w:jc w:val="right"/>
              <w:ind w:right="660"/>
              <w:spacing w:after="0"/>
              <w:rPr>
                <w:sz w:val="20"/>
                <w:szCs w:val="20"/>
                <w:color w:val="auto"/>
              </w:rPr>
            </w:pPr>
            <w:r>
              <w:rPr>
                <w:rFonts w:ascii="Arial" w:cs="Arial" w:eastAsia="Arial" w:hAnsi="Arial"/>
                <w:sz w:val="14"/>
                <w:szCs w:val="14"/>
                <w:b w:val="1"/>
                <w:bCs w:val="1"/>
                <w:color w:val="auto"/>
              </w:rPr>
              <w:t>Operating leases</w:t>
            </w:r>
          </w:p>
        </w:tc>
        <w:tc>
          <w:tcPr>
            <w:tcW w:w="142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Finance leases</w:t>
            </w:r>
          </w:p>
        </w:tc>
      </w:tr>
      <w:tr>
        <w:trPr>
          <w:trHeight w:val="179"/>
        </w:trPr>
        <w:tc>
          <w:tcPr>
            <w:tcW w:w="430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Weighted Average Remaining Lease Term (in years)</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192"/>
        </w:trPr>
        <w:tc>
          <w:tcPr>
            <w:tcW w:w="4300" w:type="dxa"/>
            <w:vAlign w:val="bottom"/>
            <w:shd w:val="clear" w:color="auto" w:fill="CCEEFF"/>
          </w:tcPr>
          <w:p>
            <w:pPr>
              <w:jc w:val="center"/>
              <w:ind w:right="28"/>
              <w:spacing w:after="0"/>
              <w:rPr>
                <w:sz w:val="20"/>
                <w:szCs w:val="20"/>
                <w:color w:val="auto"/>
              </w:rPr>
            </w:pPr>
            <w:r>
              <w:rPr>
                <w:rFonts w:ascii="Arial" w:cs="Arial" w:eastAsia="Arial" w:hAnsi="Arial"/>
                <w:sz w:val="14"/>
                <w:szCs w:val="14"/>
                <w:b w:val="1"/>
                <w:bCs w:val="1"/>
                <w:color w:val="auto"/>
                <w:w w:val="92"/>
              </w:rPr>
              <w:t>Weighted Average Discount Rate</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4.6 %</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4.4 %</w:t>
            </w:r>
          </w:p>
        </w:tc>
        <w:tc>
          <w:tcPr>
            <w:tcW w:w="12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4.4 %</w:t>
            </w: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supplemental cash flow information for 2020 and 2019:</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2019</w:t>
            </w:r>
          </w:p>
        </w:tc>
      </w:tr>
      <w:tr>
        <w:trPr>
          <w:trHeight w:val="170"/>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86"/>
        </w:trPr>
        <w:tc>
          <w:tcPr>
            <w:tcW w:w="7780" w:type="dxa"/>
            <w:vAlign w:val="bottom"/>
          </w:tcPr>
          <w:p>
            <w:pPr>
              <w:ind w:left="140"/>
              <w:spacing w:after="0"/>
              <w:rPr>
                <w:sz w:val="20"/>
                <w:szCs w:val="20"/>
                <w:color w:val="auto"/>
              </w:rPr>
            </w:pPr>
            <w:r>
              <w:rPr>
                <w:rFonts w:ascii="Arial" w:cs="Arial" w:eastAsia="Arial" w:hAnsi="Arial"/>
                <w:sz w:val="14"/>
                <w:szCs w:val="14"/>
                <w:color w:val="auto"/>
              </w:rPr>
              <w:t>Operating cash outflows for operating leases</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162</w:t>
            </w: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176</w:t>
            </w:r>
          </w:p>
        </w:tc>
      </w:tr>
      <w:tr>
        <w:trPr>
          <w:trHeight w:val="192"/>
        </w:trPr>
        <w:tc>
          <w:tcPr>
            <w:tcW w:w="7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cash outflows for finance leases</w:t>
            </w: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4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86"/>
        </w:trPr>
        <w:tc>
          <w:tcPr>
            <w:tcW w:w="7780" w:type="dxa"/>
            <w:vAlign w:val="bottom"/>
          </w:tcPr>
          <w:p>
            <w:pPr>
              <w:ind w:left="140"/>
              <w:spacing w:after="0"/>
              <w:rPr>
                <w:sz w:val="20"/>
                <w:szCs w:val="20"/>
                <w:color w:val="auto"/>
              </w:rPr>
            </w:pPr>
            <w:r>
              <w:rPr>
                <w:rFonts w:ascii="Arial" w:cs="Arial" w:eastAsia="Arial" w:hAnsi="Arial"/>
                <w:sz w:val="14"/>
                <w:szCs w:val="14"/>
                <w:color w:val="auto"/>
              </w:rPr>
              <w:t>Financing cash outflows for finance leases</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w:t>
            </w:r>
          </w:p>
        </w:tc>
        <w:tc>
          <w:tcPr>
            <w:tcW w:w="4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92"/>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assets obtained in exchange for lease obligations:</w:t>
            </w: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2"/>
        </w:trPr>
        <w:tc>
          <w:tcPr>
            <w:tcW w:w="7780" w:type="dxa"/>
            <w:vAlign w:val="bottom"/>
          </w:tcPr>
          <w:p>
            <w:pPr>
              <w:ind w:left="140"/>
              <w:spacing w:after="0"/>
              <w:rPr>
                <w:sz w:val="20"/>
                <w:szCs w:val="20"/>
                <w:color w:val="auto"/>
              </w:rPr>
            </w:pPr>
            <w:r>
              <w:rPr>
                <w:rFonts w:ascii="Arial" w:cs="Arial" w:eastAsia="Arial" w:hAnsi="Arial"/>
                <w:sz w:val="14"/>
                <w:szCs w:val="14"/>
                <w:color w:val="auto"/>
              </w:rPr>
              <w:t>Operating leases</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35</w:t>
            </w:r>
          </w:p>
        </w:tc>
        <w:tc>
          <w:tcPr>
            <w:tcW w:w="4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LONG-TERM DEBT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provide detail on our long-term debt balances, net of discounts, premiums, and debt issuance costs, in the following table at year-end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21"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4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At Year-End 2020</w:t>
            </w:r>
          </w:p>
        </w:tc>
        <w:tc>
          <w:tcPr>
            <w:tcW w:w="140" w:type="dxa"/>
            <w:vAlign w:val="bottom"/>
          </w:tcPr>
          <w:p>
            <w:pPr>
              <w:spacing w:after="0"/>
              <w:rPr>
                <w:sz w:val="16"/>
                <w:szCs w:val="16"/>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b w:val="1"/>
                <w:bCs w:val="1"/>
                <w:color w:val="auto"/>
                <w:w w:val="97"/>
              </w:rPr>
              <w:t>At Year-End 2019</w:t>
            </w:r>
          </w:p>
        </w:tc>
        <w:tc>
          <w:tcPr>
            <w:tcW w:w="0" w:type="dxa"/>
            <w:vAlign w:val="bottom"/>
          </w:tcPr>
          <w:p>
            <w:pPr>
              <w:spacing w:after="0"/>
              <w:rPr>
                <w:sz w:val="1"/>
                <w:szCs w:val="1"/>
                <w:color w:val="auto"/>
              </w:rPr>
            </w:pPr>
          </w:p>
        </w:tc>
      </w:tr>
      <w:tr>
        <w:trPr>
          <w:trHeight w:val="175"/>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Senior Notes:</w:t>
            </w:r>
          </w:p>
        </w:tc>
        <w:tc>
          <w:tcPr>
            <w:tcW w:w="1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8020" w:type="dxa"/>
            <w:vAlign w:val="bottom"/>
          </w:tcPr>
          <w:p>
            <w:pPr>
              <w:ind w:left="360"/>
              <w:spacing w:after="0" w:line="135" w:lineRule="exact"/>
              <w:rPr>
                <w:sz w:val="20"/>
                <w:szCs w:val="20"/>
                <w:color w:val="auto"/>
              </w:rPr>
            </w:pPr>
            <w:r>
              <w:rPr>
                <w:rFonts w:ascii="Arial" w:cs="Arial" w:eastAsia="Arial" w:hAnsi="Arial"/>
                <w:sz w:val="14"/>
                <w:szCs w:val="14"/>
                <w:color w:val="auto"/>
              </w:rPr>
              <w:t>Series L Notes, interest rate of 3.3%, face amount of $173, maturing September 15, 2022</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86"/>
        </w:trPr>
        <w:tc>
          <w:tcPr>
            <w:tcW w:w="8020" w:type="dxa"/>
            <w:vAlign w:val="bottom"/>
          </w:tcPr>
          <w:p>
            <w:pPr>
              <w:ind w:left="360"/>
              <w:spacing w:after="0"/>
              <w:rPr>
                <w:sz w:val="20"/>
                <w:szCs w:val="20"/>
                <w:color w:val="auto"/>
              </w:rPr>
            </w:pPr>
            <w:r>
              <w:rPr>
                <w:rFonts w:ascii="Arial" w:cs="Arial" w:eastAsia="Arial" w:hAnsi="Arial"/>
                <w:sz w:val="14"/>
                <w:szCs w:val="14"/>
                <w:color w:val="auto"/>
              </w:rPr>
              <w:t>(effective interest rate of 3.4%)</w:t>
            </w:r>
          </w:p>
        </w:tc>
        <w:tc>
          <w:tcPr>
            <w:tcW w:w="14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020" w:type="dxa"/>
            <w:vAlign w:val="bottom"/>
            <w:shd w:val="clear" w:color="auto" w:fill="CCEEFF"/>
          </w:tcPr>
          <w:p>
            <w:pPr>
              <w:ind w:left="360"/>
              <w:spacing w:after="0" w:line="139" w:lineRule="exact"/>
              <w:rPr>
                <w:sz w:val="20"/>
                <w:szCs w:val="20"/>
                <w:color w:val="auto"/>
              </w:rPr>
            </w:pPr>
            <w:r>
              <w:rPr>
                <w:rFonts w:ascii="Arial" w:cs="Arial" w:eastAsia="Arial" w:hAnsi="Arial"/>
                <w:sz w:val="14"/>
                <w:szCs w:val="14"/>
                <w:color w:val="auto"/>
              </w:rPr>
              <w:t>Series M Notes, interest rate of 3.4%, face amount of $350, matured October 15, 2020</w:t>
            </w:r>
          </w:p>
        </w:tc>
        <w:tc>
          <w:tcPr>
            <w:tcW w:w="14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(effective interest rate of 3.6%)</w:t>
            </w:r>
          </w:p>
        </w:tc>
        <w:tc>
          <w:tcPr>
            <w:tcW w:w="14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020" w:type="dxa"/>
            <w:vAlign w:val="bottom"/>
          </w:tcPr>
          <w:p>
            <w:pPr>
              <w:ind w:left="360"/>
              <w:spacing w:after="0" w:line="135" w:lineRule="exact"/>
              <w:rPr>
                <w:sz w:val="20"/>
                <w:szCs w:val="20"/>
                <w:color w:val="auto"/>
              </w:rPr>
            </w:pPr>
            <w:r>
              <w:rPr>
                <w:rFonts w:ascii="Arial" w:cs="Arial" w:eastAsia="Arial" w:hAnsi="Arial"/>
                <w:sz w:val="14"/>
                <w:szCs w:val="14"/>
                <w:color w:val="auto"/>
              </w:rPr>
              <w:t>Series N Notes, interest rate of 3.1%, face amount of $400, maturing October 15, 2021</w:t>
            </w:r>
          </w:p>
        </w:tc>
        <w:tc>
          <w:tcPr>
            <w:tcW w:w="14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86"/>
        </w:trPr>
        <w:tc>
          <w:tcPr>
            <w:tcW w:w="8020" w:type="dxa"/>
            <w:vAlign w:val="bottom"/>
          </w:tcPr>
          <w:p>
            <w:pPr>
              <w:ind w:left="360"/>
              <w:spacing w:after="0"/>
              <w:rPr>
                <w:sz w:val="20"/>
                <w:szCs w:val="20"/>
                <w:color w:val="auto"/>
              </w:rPr>
            </w:pPr>
            <w:r>
              <w:rPr>
                <w:rFonts w:ascii="Arial" w:cs="Arial" w:eastAsia="Arial" w:hAnsi="Arial"/>
                <w:sz w:val="14"/>
                <w:szCs w:val="14"/>
                <w:color w:val="auto"/>
              </w:rPr>
              <w:t>(effective interest rate of 3.4%)</w:t>
            </w: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020" w:type="dxa"/>
            <w:vAlign w:val="bottom"/>
            <w:shd w:val="clear" w:color="auto" w:fill="CCEEFF"/>
          </w:tcPr>
          <w:p>
            <w:pPr>
              <w:ind w:left="360"/>
              <w:spacing w:after="0" w:line="139" w:lineRule="exact"/>
              <w:rPr>
                <w:sz w:val="20"/>
                <w:szCs w:val="20"/>
                <w:color w:val="auto"/>
              </w:rPr>
            </w:pPr>
            <w:r>
              <w:rPr>
                <w:rFonts w:ascii="Arial" w:cs="Arial" w:eastAsia="Arial" w:hAnsi="Arial"/>
                <w:sz w:val="14"/>
                <w:szCs w:val="14"/>
                <w:color w:val="auto"/>
              </w:rPr>
              <w:t>Series O Notes, interest rate of 2.9%, face amount of $450, maturing March 1, 2021</w:t>
            </w: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(effective interest rate of 3.1%)</w:t>
            </w:r>
          </w:p>
        </w:tc>
        <w:tc>
          <w:tcPr>
            <w:tcW w:w="1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020" w:type="dxa"/>
            <w:vAlign w:val="bottom"/>
          </w:tcPr>
          <w:p>
            <w:pPr>
              <w:ind w:left="360"/>
              <w:spacing w:after="0" w:line="135" w:lineRule="exact"/>
              <w:rPr>
                <w:sz w:val="20"/>
                <w:szCs w:val="20"/>
                <w:color w:val="auto"/>
              </w:rPr>
            </w:pPr>
            <w:r>
              <w:rPr>
                <w:rFonts w:ascii="Arial" w:cs="Arial" w:eastAsia="Arial" w:hAnsi="Arial"/>
                <w:sz w:val="14"/>
                <w:szCs w:val="14"/>
                <w:color w:val="auto"/>
              </w:rPr>
              <w:t>Series P Notes, interest rate of 3.8%, face amount of $350, maturing October 1, 2025</w:t>
            </w:r>
          </w:p>
        </w:tc>
        <w:tc>
          <w:tcPr>
            <w:tcW w:w="14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186"/>
        </w:trPr>
        <w:tc>
          <w:tcPr>
            <w:tcW w:w="8020" w:type="dxa"/>
            <w:vAlign w:val="bottom"/>
          </w:tcPr>
          <w:p>
            <w:pPr>
              <w:ind w:left="360"/>
              <w:spacing w:after="0"/>
              <w:rPr>
                <w:sz w:val="20"/>
                <w:szCs w:val="20"/>
                <w:color w:val="auto"/>
              </w:rPr>
            </w:pPr>
            <w:r>
              <w:rPr>
                <w:rFonts w:ascii="Arial" w:cs="Arial" w:eastAsia="Arial" w:hAnsi="Arial"/>
                <w:sz w:val="14"/>
                <w:szCs w:val="14"/>
                <w:color w:val="auto"/>
              </w:rPr>
              <w:t>(effective interest rate of 4.0%)</w:t>
            </w: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020" w:type="dxa"/>
            <w:vAlign w:val="bottom"/>
            <w:shd w:val="clear" w:color="auto" w:fill="CCEEFF"/>
          </w:tcPr>
          <w:p>
            <w:pPr>
              <w:ind w:left="360"/>
              <w:spacing w:after="0" w:line="139" w:lineRule="exact"/>
              <w:rPr>
                <w:sz w:val="20"/>
                <w:szCs w:val="20"/>
                <w:color w:val="auto"/>
              </w:rPr>
            </w:pPr>
            <w:r>
              <w:rPr>
                <w:rFonts w:ascii="Arial" w:cs="Arial" w:eastAsia="Arial" w:hAnsi="Arial"/>
                <w:sz w:val="14"/>
                <w:szCs w:val="14"/>
                <w:color w:val="auto"/>
              </w:rPr>
              <w:t>Series Q Notes, interest rate of 2.3%, face amount of $399, maturing January 15, 2022</w:t>
            </w: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(effective interest rate of 2.5%)</w:t>
            </w:r>
          </w:p>
        </w:tc>
        <w:tc>
          <w:tcPr>
            <w:tcW w:w="1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020" w:type="dxa"/>
            <w:vAlign w:val="bottom"/>
          </w:tcPr>
          <w:p>
            <w:pPr>
              <w:ind w:left="360"/>
              <w:spacing w:after="0" w:line="135" w:lineRule="exact"/>
              <w:rPr>
                <w:sz w:val="20"/>
                <w:szCs w:val="20"/>
                <w:color w:val="auto"/>
              </w:rPr>
            </w:pPr>
            <w:r>
              <w:rPr>
                <w:rFonts w:ascii="Arial" w:cs="Arial" w:eastAsia="Arial" w:hAnsi="Arial"/>
                <w:sz w:val="14"/>
                <w:szCs w:val="14"/>
                <w:color w:val="auto"/>
              </w:rPr>
              <w:t>Series R Notes, interest rate of 3.1%, face amount of $750, maturing June 15, 2026</w:t>
            </w:r>
          </w:p>
        </w:tc>
        <w:tc>
          <w:tcPr>
            <w:tcW w:w="14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745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744</w:t>
            </w:r>
          </w:p>
        </w:tc>
        <w:tc>
          <w:tcPr>
            <w:tcW w:w="0" w:type="dxa"/>
            <w:vAlign w:val="bottom"/>
          </w:tcPr>
          <w:p>
            <w:pPr>
              <w:spacing w:after="0"/>
              <w:rPr>
                <w:sz w:val="1"/>
                <w:szCs w:val="1"/>
                <w:color w:val="auto"/>
              </w:rPr>
            </w:pPr>
          </w:p>
        </w:tc>
      </w:tr>
      <w:tr>
        <w:trPr>
          <w:trHeight w:val="186"/>
        </w:trPr>
        <w:tc>
          <w:tcPr>
            <w:tcW w:w="8020" w:type="dxa"/>
            <w:vAlign w:val="bottom"/>
          </w:tcPr>
          <w:p>
            <w:pPr>
              <w:ind w:left="360"/>
              <w:spacing w:after="0"/>
              <w:rPr>
                <w:sz w:val="20"/>
                <w:szCs w:val="20"/>
                <w:color w:val="auto"/>
              </w:rPr>
            </w:pPr>
            <w:r>
              <w:rPr>
                <w:rFonts w:ascii="Arial" w:cs="Arial" w:eastAsia="Arial" w:hAnsi="Arial"/>
                <w:sz w:val="14"/>
                <w:szCs w:val="14"/>
                <w:color w:val="auto"/>
              </w:rPr>
              <w:t>(effective interest rate of 3.3%)</w:t>
            </w: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020" w:type="dxa"/>
            <w:vAlign w:val="bottom"/>
            <w:shd w:val="clear" w:color="auto" w:fill="CCEEFF"/>
          </w:tcPr>
          <w:p>
            <w:pPr>
              <w:ind w:left="360"/>
              <w:spacing w:after="0" w:line="139" w:lineRule="exact"/>
              <w:rPr>
                <w:sz w:val="20"/>
                <w:szCs w:val="20"/>
                <w:color w:val="auto"/>
              </w:rPr>
            </w:pPr>
            <w:r>
              <w:rPr>
                <w:rFonts w:ascii="Arial" w:cs="Arial" w:eastAsia="Arial" w:hAnsi="Arial"/>
                <w:sz w:val="14"/>
                <w:szCs w:val="14"/>
                <w:color w:val="auto"/>
              </w:rPr>
              <w:t>Series U Notes, interest rate of 3.1%, face amount of $291, maturing February 15, 2023</w:t>
            </w: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(effective interest rate of 3.1%)</w:t>
            </w:r>
          </w:p>
        </w:tc>
        <w:tc>
          <w:tcPr>
            <w:tcW w:w="1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020" w:type="dxa"/>
            <w:vAlign w:val="bottom"/>
          </w:tcPr>
          <w:p>
            <w:pPr>
              <w:ind w:left="360"/>
              <w:spacing w:after="0" w:line="135" w:lineRule="exact"/>
              <w:rPr>
                <w:sz w:val="20"/>
                <w:szCs w:val="20"/>
                <w:color w:val="auto"/>
              </w:rPr>
            </w:pPr>
            <w:r>
              <w:rPr>
                <w:rFonts w:ascii="Arial" w:cs="Arial" w:eastAsia="Arial" w:hAnsi="Arial"/>
                <w:sz w:val="14"/>
                <w:szCs w:val="14"/>
                <w:color w:val="auto"/>
              </w:rPr>
              <w:t>Series V Notes, interest rate of 3.8%, face amount of $318, maturing March 15, 2025</w:t>
            </w:r>
          </w:p>
        </w:tc>
        <w:tc>
          <w:tcPr>
            <w:tcW w:w="14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186"/>
        </w:trPr>
        <w:tc>
          <w:tcPr>
            <w:tcW w:w="8020" w:type="dxa"/>
            <w:vAlign w:val="bottom"/>
          </w:tcPr>
          <w:p>
            <w:pPr>
              <w:ind w:left="360"/>
              <w:spacing w:after="0"/>
              <w:rPr>
                <w:sz w:val="20"/>
                <w:szCs w:val="20"/>
                <w:color w:val="auto"/>
              </w:rPr>
            </w:pPr>
            <w:r>
              <w:rPr>
                <w:rFonts w:ascii="Arial" w:cs="Arial" w:eastAsia="Arial" w:hAnsi="Arial"/>
                <w:sz w:val="14"/>
                <w:szCs w:val="14"/>
                <w:color w:val="auto"/>
              </w:rPr>
              <w:t>(effective interest rate of 2.8%)</w:t>
            </w: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020" w:type="dxa"/>
            <w:vAlign w:val="bottom"/>
            <w:shd w:val="clear" w:color="auto" w:fill="CCEEFF"/>
          </w:tcPr>
          <w:p>
            <w:pPr>
              <w:ind w:left="360"/>
              <w:spacing w:after="0" w:line="139" w:lineRule="exact"/>
              <w:rPr>
                <w:sz w:val="20"/>
                <w:szCs w:val="20"/>
                <w:color w:val="auto"/>
              </w:rPr>
            </w:pPr>
            <w:r>
              <w:rPr>
                <w:rFonts w:ascii="Arial" w:cs="Arial" w:eastAsia="Arial" w:hAnsi="Arial"/>
                <w:sz w:val="14"/>
                <w:szCs w:val="14"/>
                <w:color w:val="auto"/>
              </w:rPr>
              <w:t>Series W Notes, interest rate of 4.5%, face amount of $278, maturing October 1, 2034</w:t>
            </w: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(effective interest rate of 4.1%)</w:t>
            </w:r>
          </w:p>
        </w:tc>
        <w:tc>
          <w:tcPr>
            <w:tcW w:w="1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020" w:type="dxa"/>
            <w:vAlign w:val="bottom"/>
          </w:tcPr>
          <w:p>
            <w:pPr>
              <w:ind w:left="360"/>
              <w:spacing w:after="0" w:line="135" w:lineRule="exact"/>
              <w:rPr>
                <w:sz w:val="20"/>
                <w:szCs w:val="20"/>
                <w:color w:val="auto"/>
              </w:rPr>
            </w:pPr>
            <w:r>
              <w:rPr>
                <w:rFonts w:ascii="Arial" w:cs="Arial" w:eastAsia="Arial" w:hAnsi="Arial"/>
                <w:sz w:val="14"/>
                <w:szCs w:val="14"/>
                <w:color w:val="auto"/>
              </w:rPr>
              <w:t>Series X Notes, interest rate of 4.0%, face amount of $450, maturing April 15, 2028</w:t>
            </w:r>
          </w:p>
        </w:tc>
        <w:tc>
          <w:tcPr>
            <w:tcW w:w="14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186"/>
        </w:trPr>
        <w:tc>
          <w:tcPr>
            <w:tcW w:w="8020" w:type="dxa"/>
            <w:vAlign w:val="bottom"/>
          </w:tcPr>
          <w:p>
            <w:pPr>
              <w:ind w:left="360"/>
              <w:spacing w:after="0"/>
              <w:rPr>
                <w:sz w:val="20"/>
                <w:szCs w:val="20"/>
                <w:color w:val="auto"/>
              </w:rPr>
            </w:pPr>
            <w:r>
              <w:rPr>
                <w:rFonts w:ascii="Arial" w:cs="Arial" w:eastAsia="Arial" w:hAnsi="Arial"/>
                <w:sz w:val="14"/>
                <w:szCs w:val="14"/>
                <w:color w:val="auto"/>
              </w:rPr>
              <w:t>(effective interest rate of 4.2%)</w:t>
            </w: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Series Y Notes, floating rate, face amount of $550, matured December 1, 2020</w:t>
            </w:r>
          </w:p>
        </w:tc>
        <w:tc>
          <w:tcPr>
            <w:tcW w:w="1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135"/>
        </w:trPr>
        <w:tc>
          <w:tcPr>
            <w:tcW w:w="8020" w:type="dxa"/>
            <w:vAlign w:val="bottom"/>
          </w:tcPr>
          <w:p>
            <w:pPr>
              <w:ind w:left="360"/>
              <w:spacing w:after="0" w:line="135" w:lineRule="exact"/>
              <w:rPr>
                <w:sz w:val="20"/>
                <w:szCs w:val="20"/>
                <w:color w:val="auto"/>
              </w:rPr>
            </w:pPr>
            <w:r>
              <w:rPr>
                <w:rFonts w:ascii="Arial" w:cs="Arial" w:eastAsia="Arial" w:hAnsi="Arial"/>
                <w:sz w:val="14"/>
                <w:szCs w:val="14"/>
                <w:color w:val="auto"/>
              </w:rPr>
              <w:t>Series Z Notes, interest rate of 4.2%, face amount of $350, maturing December 1, 2023</w:t>
            </w:r>
          </w:p>
        </w:tc>
        <w:tc>
          <w:tcPr>
            <w:tcW w:w="14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86"/>
        </w:trPr>
        <w:tc>
          <w:tcPr>
            <w:tcW w:w="8020" w:type="dxa"/>
            <w:vAlign w:val="bottom"/>
          </w:tcPr>
          <w:p>
            <w:pPr>
              <w:ind w:left="360"/>
              <w:spacing w:after="0"/>
              <w:rPr>
                <w:sz w:val="20"/>
                <w:szCs w:val="20"/>
                <w:color w:val="auto"/>
              </w:rPr>
            </w:pPr>
            <w:r>
              <w:rPr>
                <w:rFonts w:ascii="Arial" w:cs="Arial" w:eastAsia="Arial" w:hAnsi="Arial"/>
                <w:sz w:val="14"/>
                <w:szCs w:val="14"/>
                <w:color w:val="auto"/>
              </w:rPr>
              <w:t>(effective interest rate of 4.4%)</w:t>
            </w: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020" w:type="dxa"/>
            <w:vAlign w:val="bottom"/>
            <w:shd w:val="clear" w:color="auto" w:fill="CCEEFF"/>
          </w:tcPr>
          <w:p>
            <w:pPr>
              <w:ind w:left="360"/>
              <w:spacing w:after="0" w:line="139" w:lineRule="exact"/>
              <w:rPr>
                <w:sz w:val="20"/>
                <w:szCs w:val="20"/>
                <w:color w:val="auto"/>
              </w:rPr>
            </w:pPr>
            <w:r>
              <w:rPr>
                <w:rFonts w:ascii="Arial" w:cs="Arial" w:eastAsia="Arial" w:hAnsi="Arial"/>
                <w:sz w:val="14"/>
                <w:szCs w:val="14"/>
                <w:color w:val="auto"/>
              </w:rPr>
              <w:t>Series AA Notes, interest rate of 4.7%, face amount of $300, maturing December 1, 2028</w:t>
            </w: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(effective interest rate of 4.8%)</w:t>
            </w:r>
          </w:p>
        </w:tc>
        <w:tc>
          <w:tcPr>
            <w:tcW w:w="1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020" w:type="dxa"/>
            <w:vAlign w:val="bottom"/>
          </w:tcPr>
          <w:p>
            <w:pPr>
              <w:ind w:left="360"/>
              <w:spacing w:after="0" w:line="135" w:lineRule="exact"/>
              <w:rPr>
                <w:sz w:val="20"/>
                <w:szCs w:val="20"/>
                <w:color w:val="auto"/>
              </w:rPr>
            </w:pPr>
            <w:r>
              <w:rPr>
                <w:rFonts w:ascii="Arial" w:cs="Arial" w:eastAsia="Arial" w:hAnsi="Arial"/>
                <w:sz w:val="14"/>
                <w:szCs w:val="14"/>
                <w:color w:val="auto"/>
              </w:rPr>
              <w:t>Series BB Notes, floating rate, face amount of $300, maturing March 8, 2021</w:t>
            </w:r>
          </w:p>
        </w:tc>
        <w:tc>
          <w:tcPr>
            <w:tcW w:w="14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86"/>
        </w:trPr>
        <w:tc>
          <w:tcPr>
            <w:tcW w:w="8020" w:type="dxa"/>
            <w:vAlign w:val="bottom"/>
          </w:tcPr>
          <w:p>
            <w:pPr>
              <w:ind w:left="360"/>
              <w:spacing w:after="0"/>
              <w:rPr>
                <w:sz w:val="20"/>
                <w:szCs w:val="20"/>
                <w:color w:val="auto"/>
              </w:rPr>
            </w:pPr>
            <w:r>
              <w:rPr>
                <w:rFonts w:ascii="Arial" w:cs="Arial" w:eastAsia="Arial" w:hAnsi="Arial"/>
                <w:sz w:val="14"/>
                <w:szCs w:val="14"/>
                <w:color w:val="auto"/>
              </w:rPr>
              <w:t>(effective interest rate of 0.9% at December 31, 2020)</w:t>
            </w: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020" w:type="dxa"/>
            <w:vAlign w:val="bottom"/>
            <w:shd w:val="clear" w:color="auto" w:fill="CCEEFF"/>
          </w:tcPr>
          <w:p>
            <w:pPr>
              <w:ind w:left="360"/>
              <w:spacing w:after="0" w:line="139" w:lineRule="exact"/>
              <w:rPr>
                <w:sz w:val="20"/>
                <w:szCs w:val="20"/>
                <w:color w:val="auto"/>
              </w:rPr>
            </w:pPr>
            <w:r>
              <w:rPr>
                <w:rFonts w:ascii="Arial" w:cs="Arial" w:eastAsia="Arial" w:hAnsi="Arial"/>
                <w:sz w:val="14"/>
                <w:szCs w:val="14"/>
                <w:color w:val="auto"/>
              </w:rPr>
              <w:t>Series CC Notes, interest rate of 3.6%, face amount of $550, maturing April 15, 2024</w:t>
            </w: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(effective interest rate of 3.9%)</w:t>
            </w:r>
          </w:p>
        </w:tc>
        <w:tc>
          <w:tcPr>
            <w:tcW w:w="1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020" w:type="dxa"/>
            <w:vAlign w:val="bottom"/>
          </w:tcPr>
          <w:p>
            <w:pPr>
              <w:ind w:left="360"/>
              <w:spacing w:after="0" w:line="135" w:lineRule="exact"/>
              <w:rPr>
                <w:sz w:val="20"/>
                <w:szCs w:val="20"/>
                <w:color w:val="auto"/>
              </w:rPr>
            </w:pPr>
            <w:r>
              <w:rPr>
                <w:rFonts w:ascii="Arial" w:cs="Arial" w:eastAsia="Arial" w:hAnsi="Arial"/>
                <w:sz w:val="14"/>
                <w:szCs w:val="14"/>
                <w:color w:val="auto"/>
              </w:rPr>
              <w:t>Series DD Notes, interest rate of 2.1%, face amount of $224, maturing October 3, 2022</w:t>
            </w:r>
          </w:p>
        </w:tc>
        <w:tc>
          <w:tcPr>
            <w:tcW w:w="14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86"/>
        </w:trPr>
        <w:tc>
          <w:tcPr>
            <w:tcW w:w="8020" w:type="dxa"/>
            <w:vAlign w:val="bottom"/>
          </w:tcPr>
          <w:p>
            <w:pPr>
              <w:ind w:left="360"/>
              <w:spacing w:after="0"/>
              <w:rPr>
                <w:sz w:val="20"/>
                <w:szCs w:val="20"/>
                <w:color w:val="auto"/>
              </w:rPr>
            </w:pPr>
            <w:r>
              <w:rPr>
                <w:rFonts w:ascii="Arial" w:cs="Arial" w:eastAsia="Arial" w:hAnsi="Arial"/>
                <w:sz w:val="14"/>
                <w:szCs w:val="14"/>
                <w:color w:val="auto"/>
              </w:rPr>
              <w:t>(effective interest rate of 1.2%)</w:t>
            </w: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020" w:type="dxa"/>
            <w:vAlign w:val="bottom"/>
            <w:shd w:val="clear" w:color="auto" w:fill="CCEEFF"/>
          </w:tcPr>
          <w:p>
            <w:pPr>
              <w:ind w:left="360"/>
              <w:spacing w:after="0" w:line="139" w:lineRule="exact"/>
              <w:rPr>
                <w:sz w:val="20"/>
                <w:szCs w:val="20"/>
                <w:color w:val="auto"/>
              </w:rPr>
            </w:pPr>
            <w:r>
              <w:rPr>
                <w:rFonts w:ascii="Arial" w:cs="Arial" w:eastAsia="Arial" w:hAnsi="Arial"/>
                <w:sz w:val="14"/>
                <w:szCs w:val="14"/>
                <w:color w:val="auto"/>
              </w:rPr>
              <w:t>Series EE Notes, interest rate of 5.8%, face amount of $1,600, maturing May 1, 2025</w:t>
            </w: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1,583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(effective interest rate of 6.0%)</w:t>
            </w:r>
          </w:p>
        </w:tc>
        <w:tc>
          <w:tcPr>
            <w:tcW w:w="1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020" w:type="dxa"/>
            <w:vAlign w:val="bottom"/>
          </w:tcPr>
          <w:p>
            <w:pPr>
              <w:ind w:left="360"/>
              <w:spacing w:after="0" w:line="135" w:lineRule="exact"/>
              <w:rPr>
                <w:sz w:val="20"/>
                <w:szCs w:val="20"/>
                <w:color w:val="auto"/>
              </w:rPr>
            </w:pPr>
            <w:r>
              <w:rPr>
                <w:rFonts w:ascii="Arial" w:cs="Arial" w:eastAsia="Arial" w:hAnsi="Arial"/>
                <w:sz w:val="14"/>
                <w:szCs w:val="14"/>
                <w:color w:val="auto"/>
              </w:rPr>
              <w:t>Series FF Notes, interest rate of 4.6%, face amount of $1,000, maturing June 15, 2030</w:t>
            </w:r>
          </w:p>
        </w:tc>
        <w:tc>
          <w:tcPr>
            <w:tcW w:w="14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986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020" w:type="dxa"/>
            <w:vAlign w:val="bottom"/>
          </w:tcPr>
          <w:p>
            <w:pPr>
              <w:ind w:left="360"/>
              <w:spacing w:after="0"/>
              <w:rPr>
                <w:sz w:val="20"/>
                <w:szCs w:val="20"/>
                <w:color w:val="auto"/>
              </w:rPr>
            </w:pPr>
            <w:r>
              <w:rPr>
                <w:rFonts w:ascii="Arial" w:cs="Arial" w:eastAsia="Arial" w:hAnsi="Arial"/>
                <w:sz w:val="14"/>
                <w:szCs w:val="14"/>
                <w:color w:val="auto"/>
              </w:rPr>
              <w:t>(effective interest rate of 4.8%)</w:t>
            </w: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020" w:type="dxa"/>
            <w:vAlign w:val="bottom"/>
            <w:shd w:val="clear" w:color="auto" w:fill="CCEEFF"/>
          </w:tcPr>
          <w:p>
            <w:pPr>
              <w:ind w:left="360"/>
              <w:spacing w:after="0" w:line="139" w:lineRule="exact"/>
              <w:rPr>
                <w:sz w:val="20"/>
                <w:szCs w:val="20"/>
                <w:color w:val="auto"/>
              </w:rPr>
            </w:pPr>
            <w:r>
              <w:rPr>
                <w:rFonts w:ascii="Arial" w:cs="Arial" w:eastAsia="Arial" w:hAnsi="Arial"/>
                <w:sz w:val="14"/>
                <w:szCs w:val="14"/>
                <w:color w:val="auto"/>
              </w:rPr>
              <w:t>Series GG Notes, interest rate of 3.5%, face amount of $1,000, maturing October 15, 2032</w:t>
            </w: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(effective interest rate of 3.7%)</w:t>
            </w:r>
          </w:p>
        </w:tc>
        <w:tc>
          <w:tcPr>
            <w:tcW w:w="1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8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1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3,197</w:t>
            </w: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Credit Facility</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obligations</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8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10,376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10,940</w:t>
            </w:r>
          </w:p>
        </w:tc>
        <w:tc>
          <w:tcPr>
            <w:tcW w:w="0" w:type="dxa"/>
            <w:vAlign w:val="bottom"/>
          </w:tcPr>
          <w:p>
            <w:pPr>
              <w:spacing w:after="0"/>
              <w:rPr>
                <w:sz w:val="1"/>
                <w:szCs w:val="1"/>
                <w:color w:val="auto"/>
              </w:rPr>
            </w:pPr>
          </w:p>
        </w:tc>
      </w:tr>
      <w:tr>
        <w:trPr>
          <w:trHeight w:val="17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current portion</w:t>
            </w: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(977)</w:t>
            </w:r>
          </w:p>
        </w:tc>
        <w:tc>
          <w:tcPr>
            <w:tcW w:w="0" w:type="dxa"/>
            <w:vAlign w:val="bottom"/>
          </w:tcPr>
          <w:p>
            <w:pPr>
              <w:spacing w:after="0"/>
              <w:rPr>
                <w:sz w:val="1"/>
                <w:szCs w:val="1"/>
                <w:color w:val="auto"/>
              </w:rPr>
            </w:pPr>
          </w:p>
        </w:tc>
      </w:tr>
      <w:tr>
        <w:trPr>
          <w:trHeight w:val="208"/>
        </w:trPr>
        <w:tc>
          <w:tcPr>
            <w:tcW w:w="80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9,203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9,963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All our long-term debt is recourse to us but unsecured, other than debt assumed in our acquisition of Elegant which we paid off in January 2020 and debt associated with one of our owned properties. All the Senior Notes shown in the table above are our unsecured and unsubordinated obligations, which rank equally with our other Senior Notes and all other unsecured and unsubordinated indebtedness that we have issued or will issue from time to time, and are governed by the terms of an indenture, dated as of November 16, 1998, between us and The Bank of New York Mellon (formerly The Bank of New York), as trustee. With the exception of the floating rate Series BB Notes, we may redeem some or all of each series of the Senior Notes before maturity under the terms provided in the applicable form of Senior Note.</w:t>
      </w:r>
    </w:p>
    <w:p>
      <w:pPr>
        <w:spacing w:after="0" w:line="200" w:lineRule="exact"/>
        <w:rPr>
          <w:sz w:val="20"/>
          <w:szCs w:val="20"/>
          <w:color w:val="auto"/>
        </w:rPr>
      </w:pPr>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We are party to a multicurrency revolving credit agreement (as amended, the “Credit Facility”) that provides for up to $4.5 billion of aggregate effective borrowings for general corporate needs, including working capital, capital expenditures, letters of credit, acquisitions and to support our commercial paper program if and when we resume issuing commercial paper. Borrowings under the Credit Facility generally bear interest at LIBOR (the London Interbank Offered Rate) plus a spread based on our public debt rating. We also pay quarterly fees on the Credit Facility at a rate based on our public debt rating. We classify outstanding borrowings under the Credit Facility and outstanding commercial paper borrowings (if any) as long-term based on our ability and intent to refinance the outstanding borrowings on a long-term basis. The Credit Facility expires on June 28, 2024. In 2020, we made borrowings of $4.5 billion and repayments of $3.6 billion, resulting in total outstanding borrowings under the Credit Facility of $0.9 billion as of December 31, 2020.</w:t>
      </w:r>
    </w:p>
    <w:p>
      <w:pPr>
        <w:spacing w:after="0" w:line="138"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April 2020, we entered into an amendment to the Credit Facility (the “First Credit Facility Amendment”). The First Credit Facility Amendment waives the quarterly-tested leverage covenant in the Credit Facility through and including the first quarter of 2021 (the “Covenant Waiver Period”), which waiver period may end sooner at our election, adjusts the required leverage levels for the covenant when it is re-imposed at the end of the Covenant Waiver Period, and imposes a new monthly-tested liquidity covenant for the duration of the Covenant Waiver Period. The First Credit Facility Amendment also makes certain other amendments to the terms of the Credit Facility, including increasing the interest and fees payable on the Credit Facility for the duration of the Covenant Waiver Period, tightening certain existing covenants, and imposing additional covenants for the duration of the Covenant Waiver Period. These covenant changes include tightening the lien covenant and the covenant on dividends, share repurchases and distributions, and imposing new covenants limiting asset sales, investments and discretionary capital expenditures.</w:t>
      </w:r>
    </w:p>
    <w:p>
      <w:pPr>
        <w:spacing w:after="0" w:line="12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In January 2021, we entered into two more amendments to the Credit Facility (the “New Credit Facility Amendments,” and together with the First Credit Facility Amendment, the “Credit Facility Amendments”), which extend the Covenant Waiver Period through and including the fourth quarter of 2021 (which waiver period may end sooner at our election), revise the required leverage levels for such covenant when it is re-imposed at the end of the Covenant Waiver Period (starting at 5.50 to 1.00 when the leverage test is first re-imposed and gradually stepping down to 4.00 to 1.00 over the succeeding five fiscal quarters, as further described in the Credit Facility), and increase the minimum liquidity amount under the liquidity covenant that is tested monthly for the duration of the Covenant Waiver Period. The New Credit Facility Amendments also make certain other amendments to the terms of the Credit Facility, including reducing the rate floor for the LIBOR Daily Floating Rate and the Eurocurrency Rate.</w:t>
      </w:r>
    </w:p>
    <w:p>
      <w:pPr>
        <w:spacing w:after="0" w:line="123"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In April 2020, we issued $1.6 billion aggregate principal amount of 5.750 percent Series EE Notes due May 1, 2025 (the “Series EE Notes”). We pay interest on the Series EE Notes in May and November of each year, commencing in November 2020. We received net proceeds of approximately $1.581 billion from the offering of the Series EE Notes, after deducting the underwriting discount and estimated expenses, which were made available for general corporate purposes.</w:t>
      </w:r>
    </w:p>
    <w:p>
      <w:pPr>
        <w:spacing w:after="0" w:line="13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June 2020, we issued $1.0 billion aggregate principal amount of 4.625 percent Series FF Notes due June 15, 2030 (the “Series FF Notes”). We pay interest on the Series FF Notes in June and December of each year, commencing in December 2020. We received net proceeds of approximately $985 million from the offering of the Series FF Notes, after deducting the underwriting discount and estimated expenses. We used the majority of these proceeds to repurchase Senior Notes with near term maturities, as further described below.</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June 2020, we completed a tender offer (the “Tender Offer”) and retired $853 million aggregate principal amount of our Senior Notes consisting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15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$351 million of our 2.3% Series Q Notes maturing January 15, 2022;</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$176 million of our 3.3% Series L Notes maturing September 15, 2022;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$326 million of our 2.1% Series DD Notes maturing October 3, 2022.</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used proceeds from our Series FF Notes offering to complete the repurchase of such notes, including the payment of accrued interest and other costs incurred.</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July 2020, we redeemed all $350 million aggregate principal amount of our Series M Notes due in October 2020.</w:t>
      </w:r>
    </w:p>
    <w:p>
      <w:pPr>
        <w:spacing w:after="0" w:line="171"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In August 2020, we issued $1.0 billion aggregate principal amount of 3.500 percent Series GG Notes due October 15, 2032 (the “Series GG Notes”). We will pay interest on the Series GG Notes in April and October of each year, commencing in April 2021. We received net proceeds of approximately $984 million from the offering of the Series GG Notes, after deducting the underwriting discount and estimated expenses, which were made available for general corporate purposes, including the repayment of a portion of our outstanding borrowings under the Credit Facility.</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future principal payments, net of discounts, premiums, and debt issuance costs, for our debt at year-end 2020:</w:t>
      </w:r>
    </w:p>
    <w:p>
      <w:pPr>
        <w:spacing w:after="0" w:line="215" w:lineRule="exact"/>
        <w:rPr>
          <w:sz w:val="20"/>
          <w:szCs w:val="20"/>
          <w:color w:val="auto"/>
        </w:rPr>
      </w:pPr>
    </w:p>
    <w:tbl>
      <w:tblPr>
        <w:tblLayout w:type="fixed"/>
        <w:tblInd w:w="1900" w:type="dxa"/>
        <w:tblCellMar>
          <w:top w:w="0" w:type="dxa"/>
          <w:left w:w="0" w:type="dxa"/>
          <w:bottom w:w="0" w:type="dxa"/>
          <w:right w:w="0" w:type="dxa"/>
        </w:tblCellMar>
      </w:tblPr>
      <w:tr>
        <w:trPr>
          <w:trHeight w:val="192"/>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Debt Principal Payments </w:t>
            </w:r>
            <w:r>
              <w:rPr>
                <w:rFonts w:ascii="Arial" w:cs="Arial" w:eastAsia="Arial" w:hAnsi="Arial"/>
                <w:sz w:val="14"/>
                <w:szCs w:val="14"/>
                <w:i w:val="1"/>
                <w:iCs w:val="1"/>
                <w:color w:val="auto"/>
              </w:rPr>
              <w:t>($ in millions)</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Amount</w:t>
            </w:r>
          </w:p>
        </w:tc>
      </w:tr>
      <w:tr>
        <w:trPr>
          <w:trHeight w:val="188"/>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w:t>
            </w:r>
          </w:p>
        </w:tc>
      </w:tr>
      <w:tr>
        <w:trPr>
          <w:trHeight w:val="186"/>
        </w:trPr>
        <w:tc>
          <w:tcPr>
            <w:tcW w:w="6000" w:type="dxa"/>
            <w:vAlign w:val="bottom"/>
          </w:tcPr>
          <w:p>
            <w:pPr>
              <w:ind w:left="20"/>
              <w:spacing w:after="0"/>
              <w:rPr>
                <w:sz w:val="20"/>
                <w:szCs w:val="20"/>
                <w:color w:val="auto"/>
              </w:rPr>
            </w:pPr>
            <w:r>
              <w:rPr>
                <w:rFonts w:ascii="Arial" w:cs="Arial" w:eastAsia="Arial" w:hAnsi="Arial"/>
                <w:sz w:val="14"/>
                <w:szCs w:val="14"/>
                <w:color w:val="auto"/>
              </w:rPr>
              <w:t>2022</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807</w:t>
            </w:r>
          </w:p>
        </w:tc>
      </w:tr>
      <w:tr>
        <w:trPr>
          <w:trHeight w:val="192"/>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w:t>
            </w:r>
          </w:p>
        </w:tc>
      </w:tr>
      <w:tr>
        <w:trPr>
          <w:trHeight w:val="186"/>
        </w:trPr>
        <w:tc>
          <w:tcPr>
            <w:tcW w:w="6000" w:type="dxa"/>
            <w:vAlign w:val="bottom"/>
          </w:tcPr>
          <w:p>
            <w:pPr>
              <w:ind w:left="20"/>
              <w:spacing w:after="0"/>
              <w:rPr>
                <w:sz w:val="20"/>
                <w:szCs w:val="20"/>
                <w:color w:val="auto"/>
              </w:rPr>
            </w:pPr>
            <w:r>
              <w:rPr>
                <w:rFonts w:ascii="Arial" w:cs="Arial" w:eastAsia="Arial" w:hAnsi="Arial"/>
                <w:sz w:val="14"/>
                <w:szCs w:val="14"/>
                <w:color w:val="auto"/>
              </w:rPr>
              <w:t>2024</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1,494</w:t>
            </w:r>
          </w:p>
        </w:tc>
      </w:tr>
      <w:tr>
        <w:trPr>
          <w:trHeight w:val="192"/>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2,302</w:t>
            </w:r>
          </w:p>
        </w:tc>
      </w:tr>
      <w:tr>
        <w:trPr>
          <w:trHeight w:val="186"/>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3,918</w:t>
            </w:r>
          </w:p>
        </w:tc>
      </w:tr>
      <w:tr>
        <w:trPr>
          <w:trHeight w:val="211"/>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year-end 2020</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10,376</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paid cash for interest, net of amounts capitalized, of $377 million in 2020, $348 million in 2019, and $290 million in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INTANGIBLE ASSETS AND GOODWILL</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the composition of our intangible assets at year-end 2020 and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60" w:type="dxa"/>
            <w:vAlign w:val="bottom"/>
          </w:tcPr>
          <w:p>
            <w:pPr>
              <w:spacing w:after="0"/>
              <w:rPr>
                <w:sz w:val="16"/>
                <w:szCs w:val="16"/>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At Year-End 2020</w:t>
            </w:r>
          </w:p>
        </w:tc>
        <w:tc>
          <w:tcPr>
            <w:tcW w:w="160" w:type="dxa"/>
            <w:vAlign w:val="bottom"/>
          </w:tcPr>
          <w:p>
            <w:pPr>
              <w:spacing w:after="0"/>
              <w:rPr>
                <w:sz w:val="16"/>
                <w:szCs w:val="16"/>
                <w:color w:val="auto"/>
              </w:rPr>
            </w:pPr>
          </w:p>
        </w:tc>
        <w:tc>
          <w:tcPr>
            <w:tcW w:w="1400" w:type="dxa"/>
            <w:vAlign w:val="bottom"/>
          </w:tcPr>
          <w:p>
            <w:pPr>
              <w:jc w:val="right"/>
              <w:ind w:right="148"/>
              <w:spacing w:after="0"/>
              <w:rPr>
                <w:sz w:val="20"/>
                <w:szCs w:val="20"/>
                <w:color w:val="auto"/>
              </w:rPr>
            </w:pPr>
            <w:r>
              <w:rPr>
                <w:rFonts w:ascii="Arial" w:cs="Arial" w:eastAsia="Arial" w:hAnsi="Arial"/>
                <w:sz w:val="14"/>
                <w:szCs w:val="14"/>
                <w:b w:val="1"/>
                <w:bCs w:val="1"/>
                <w:color w:val="auto"/>
              </w:rPr>
              <w:t>At Year-End 2019</w:t>
            </w:r>
          </w:p>
        </w:tc>
      </w:tr>
      <w:tr>
        <w:trPr>
          <w:trHeight w:val="175"/>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Definite-lived Intangible Assets</w:t>
            </w:r>
          </w:p>
        </w:tc>
        <w:tc>
          <w:tcPr>
            <w:tcW w:w="16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r>
      <w:tr>
        <w:trPr>
          <w:trHeight w:val="186"/>
        </w:trPr>
        <w:tc>
          <w:tcPr>
            <w:tcW w:w="7420" w:type="dxa"/>
            <w:vAlign w:val="bottom"/>
          </w:tcPr>
          <w:p>
            <w:pPr>
              <w:ind w:left="360"/>
              <w:spacing w:after="0"/>
              <w:rPr>
                <w:sz w:val="20"/>
                <w:szCs w:val="20"/>
                <w:color w:val="auto"/>
              </w:rPr>
            </w:pPr>
            <w:r>
              <w:rPr>
                <w:rFonts w:ascii="Arial" w:cs="Arial" w:eastAsia="Arial" w:hAnsi="Arial"/>
                <w:sz w:val="14"/>
                <w:szCs w:val="14"/>
                <w:color w:val="auto"/>
              </w:rPr>
              <w:t>Costs incurred to obtain contracts with customers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1,674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1,588</w:t>
            </w:r>
          </w:p>
        </w:tc>
      </w:tr>
      <w:tr>
        <w:trPr>
          <w:trHeight w:val="189"/>
        </w:trPr>
        <w:tc>
          <w:tcPr>
            <w:tcW w:w="74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Contracts acquired in business combinations and other</w:t>
            </w:r>
          </w:p>
        </w:tc>
        <w:tc>
          <w:tcPr>
            <w:tcW w:w="16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2,257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1,972</w:t>
            </w:r>
          </w:p>
        </w:tc>
      </w:tr>
      <w:tr>
        <w:trPr>
          <w:trHeight w:val="183"/>
        </w:trPr>
        <w:tc>
          <w:tcPr>
            <w:tcW w:w="7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3,931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3,560</w:t>
            </w:r>
          </w:p>
        </w:tc>
      </w:tr>
      <w:tr>
        <w:trPr>
          <w:trHeight w:val="189"/>
        </w:trPr>
        <w:tc>
          <w:tcPr>
            <w:tcW w:w="7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amortization</w:t>
            </w:r>
          </w:p>
        </w:tc>
        <w:tc>
          <w:tcPr>
            <w:tcW w:w="16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(808)</w:t>
            </w:r>
          </w:p>
        </w:tc>
      </w:tr>
      <w:tr>
        <w:trPr>
          <w:trHeight w:val="183"/>
        </w:trPr>
        <w:tc>
          <w:tcPr>
            <w:tcW w:w="7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2,994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2,752</w:t>
            </w:r>
          </w:p>
        </w:tc>
      </w:tr>
      <w:tr>
        <w:trPr>
          <w:trHeight w:val="189"/>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Indefinite-lived Intangible Brand Assets</w:t>
            </w:r>
          </w:p>
        </w:tc>
        <w:tc>
          <w:tcPr>
            <w:tcW w:w="16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5,995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5,889</w:t>
            </w:r>
          </w:p>
        </w:tc>
      </w:tr>
      <w:tr>
        <w:trPr>
          <w:trHeight w:val="183"/>
        </w:trPr>
        <w:tc>
          <w:tcPr>
            <w:tcW w:w="742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8,989</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8,641</w:t>
            </w:r>
          </w:p>
        </w:tc>
      </w:tr>
      <w:tr>
        <w:trPr>
          <w:trHeight w:val="24"/>
        </w:trPr>
        <w:tc>
          <w:tcPr>
            <w:tcW w:w="7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We capitalize direct costs that we incur to obtain management, franchise, and license agreements. We amortize these costs on a straight-line basis over the initial term of the agreements, ranging from 15 to 30 years. In 2020, we recorded impairment charges totaling $64 million in the “Contract investment amortization” caption of our Income Statements to reduce the carrying amount of certain capitalized costs incurred to obtain contracts with customers, primarily due to the impact of COVID-19, most of which we recorded in our U.S. &amp; Canada business segment.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acquired definite-lived intangible assets, we recorded amortization expense of $97 million in 2020, $105 million in 2019, and $111 million in</w:t>
      </w:r>
    </w:p>
    <w:p>
      <w:pPr>
        <w:spacing w:after="0" w:line="35" w:lineRule="exact"/>
        <w:rPr>
          <w:sz w:val="20"/>
          <w:szCs w:val="20"/>
          <w:color w:val="auto"/>
        </w:rPr>
      </w:pPr>
    </w:p>
    <w:p>
      <w:pPr>
        <w:ind w:right="580"/>
        <w:spacing w:after="0" w:line="260" w:lineRule="auto"/>
        <w:rPr>
          <w:sz w:val="20"/>
          <w:szCs w:val="20"/>
          <w:color w:val="auto"/>
        </w:rPr>
      </w:pPr>
      <w:r>
        <w:rPr>
          <w:rFonts w:ascii="Arial" w:cs="Arial" w:eastAsia="Arial" w:hAnsi="Arial"/>
          <w:sz w:val="18"/>
          <w:szCs w:val="18"/>
          <w:color w:val="auto"/>
        </w:rPr>
        <w:t>2018 in the “Depreciation, amortization, and other” caption of our Income Statements. For these assets, we estimate that our aggregate amortization expense will be $95 million for each of the next five fiscal years.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the carrying amount of our goodwill at year-end 2020 and 2019:</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in millions)</w:t>
            </w:r>
          </w:p>
        </w:tc>
        <w:tc>
          <w:tcPr>
            <w:tcW w:w="160" w:type="dxa"/>
            <w:vAlign w:val="bottom"/>
          </w:tcPr>
          <w:p>
            <w:pPr>
              <w:spacing w:after="0"/>
              <w:rPr>
                <w:sz w:val="14"/>
                <w:szCs w:val="14"/>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U.S. &amp; Canada</w:t>
            </w:r>
          </w:p>
        </w:tc>
        <w:tc>
          <w:tcPr>
            <w:tcW w:w="200" w:type="dxa"/>
            <w:vAlign w:val="bottom"/>
          </w:tcPr>
          <w:p>
            <w:pPr>
              <w:spacing w:after="0"/>
              <w:rPr>
                <w:sz w:val="14"/>
                <w:szCs w:val="14"/>
                <w:color w:val="auto"/>
              </w:rPr>
            </w:pPr>
          </w:p>
        </w:tc>
        <w:tc>
          <w:tcPr>
            <w:tcW w:w="12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Asia Pacific</w:t>
            </w:r>
          </w:p>
        </w:tc>
        <w:tc>
          <w:tcPr>
            <w:tcW w:w="280" w:type="dxa"/>
            <w:vAlign w:val="bottom"/>
          </w:tcPr>
          <w:p>
            <w:pPr>
              <w:spacing w:after="0"/>
              <w:rPr>
                <w:sz w:val="14"/>
                <w:szCs w:val="14"/>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EMEA</w:t>
            </w:r>
          </w:p>
        </w:tc>
        <w:tc>
          <w:tcPr>
            <w:tcW w:w="280" w:type="dxa"/>
            <w:vAlign w:val="bottom"/>
          </w:tcPr>
          <w:p>
            <w:pPr>
              <w:spacing w:after="0"/>
              <w:rPr>
                <w:sz w:val="14"/>
                <w:szCs w:val="14"/>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CALA</w:t>
            </w:r>
          </w:p>
        </w:tc>
        <w:tc>
          <w:tcPr>
            <w:tcW w:w="240" w:type="dxa"/>
            <w:vAlign w:val="bottom"/>
          </w:tcPr>
          <w:p>
            <w:pPr>
              <w:spacing w:after="0"/>
              <w:rPr>
                <w:sz w:val="14"/>
                <w:szCs w:val="14"/>
                <w:color w:val="auto"/>
              </w:rPr>
            </w:pPr>
          </w:p>
        </w:tc>
        <w:tc>
          <w:tcPr>
            <w:tcW w:w="114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3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348"/>
              <w:spacing w:after="0"/>
              <w:rPr>
                <w:sz w:val="20"/>
                <w:szCs w:val="20"/>
                <w:color w:val="auto"/>
              </w:rPr>
            </w:pPr>
            <w:r>
              <w:rPr>
                <w:rFonts w:ascii="Arial" w:cs="Arial" w:eastAsia="Arial" w:hAnsi="Arial"/>
                <w:sz w:val="14"/>
                <w:szCs w:val="14"/>
                <w:b w:val="1"/>
                <w:bCs w:val="1"/>
                <w:color w:val="auto"/>
              </w:rPr>
              <w:t>Goodwill</w:t>
            </w:r>
          </w:p>
        </w:tc>
        <w:tc>
          <w:tcPr>
            <w:tcW w:w="0" w:type="dxa"/>
            <w:vAlign w:val="bottom"/>
          </w:tcPr>
          <w:p>
            <w:pPr>
              <w:spacing w:after="0"/>
              <w:rPr>
                <w:sz w:val="1"/>
                <w:szCs w:val="1"/>
                <w:color w:val="auto"/>
              </w:rPr>
            </w:pPr>
          </w:p>
        </w:tc>
      </w:tr>
      <w:tr>
        <w:trPr>
          <w:trHeight w:val="184"/>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year-end 2019</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5,338</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1,864</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1,522</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rPr>
              <w:t>324</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9,048</w:t>
            </w:r>
          </w:p>
        </w:tc>
        <w:tc>
          <w:tcPr>
            <w:tcW w:w="0" w:type="dxa"/>
            <w:vAlign w:val="bottom"/>
          </w:tcPr>
          <w:p>
            <w:pPr>
              <w:spacing w:after="0"/>
              <w:rPr>
                <w:sz w:val="1"/>
                <w:szCs w:val="1"/>
                <w:color w:val="auto"/>
              </w:rPr>
            </w:pPr>
          </w:p>
        </w:tc>
      </w:tr>
      <w:tr>
        <w:trPr>
          <w:trHeight w:val="186"/>
        </w:trPr>
        <w:tc>
          <w:tcPr>
            <w:tcW w:w="33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Foreign currency translation</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w w:val="96"/>
              </w:rPr>
              <w:t>(10)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11"/>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year-end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1,579</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rPr>
              <w:t>314</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9,175</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PROPERTY AND EQUIPMENT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composition of our property and equipment balances at year-end 2020 and 2019:</w:t>
      </w:r>
    </w:p>
    <w:p>
      <w:pPr>
        <w:spacing w:after="0" w:line="203" w:lineRule="exact"/>
        <w:rPr>
          <w:sz w:val="20"/>
          <w:szCs w:val="20"/>
          <w:color w:val="auto"/>
        </w:rPr>
      </w:pPr>
    </w:p>
    <w:tbl>
      <w:tblPr>
        <w:tblLayout w:type="fixed"/>
        <w:tblInd w:w="780" w:type="dxa"/>
        <w:tblCellMar>
          <w:top w:w="0" w:type="dxa"/>
          <w:left w:w="0" w:type="dxa"/>
          <w:bottom w:w="0" w:type="dxa"/>
          <w:right w:w="0" w:type="dxa"/>
        </w:tblCellMar>
      </w:tblPr>
      <w:tr>
        <w:trPr>
          <w:trHeight w:val="192"/>
        </w:trPr>
        <w:tc>
          <w:tcPr>
            <w:tcW w:w="650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At Year-End 2020</w:t>
            </w:r>
          </w:p>
        </w:tc>
        <w:tc>
          <w:tcPr>
            <w:tcW w:w="140" w:type="dxa"/>
            <w:vAlign w:val="bottom"/>
          </w:tcPr>
          <w:p>
            <w:pPr>
              <w:spacing w:after="0"/>
              <w:rPr>
                <w:sz w:val="16"/>
                <w:szCs w:val="16"/>
                <w:color w:val="auto"/>
              </w:rPr>
            </w:pPr>
          </w:p>
        </w:tc>
        <w:tc>
          <w:tcPr>
            <w:tcW w:w="1400" w:type="dxa"/>
            <w:vAlign w:val="bottom"/>
          </w:tcPr>
          <w:p>
            <w:pPr>
              <w:jc w:val="right"/>
              <w:ind w:right="168"/>
              <w:spacing w:after="0"/>
              <w:rPr>
                <w:sz w:val="20"/>
                <w:szCs w:val="20"/>
                <w:color w:val="auto"/>
              </w:rPr>
            </w:pPr>
            <w:r>
              <w:rPr>
                <w:rFonts w:ascii="Arial" w:cs="Arial" w:eastAsia="Arial" w:hAnsi="Arial"/>
                <w:sz w:val="14"/>
                <w:szCs w:val="14"/>
                <w:b w:val="1"/>
                <w:bCs w:val="1"/>
                <w:color w:val="auto"/>
                <w:w w:val="98"/>
              </w:rPr>
              <w:t>At Year-End 2019</w:t>
            </w:r>
          </w:p>
        </w:tc>
      </w:tr>
      <w:tr>
        <w:trPr>
          <w:trHeight w:val="189"/>
        </w:trPr>
        <w:tc>
          <w:tcPr>
            <w:tcW w:w="6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Land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684</w:t>
            </w:r>
          </w:p>
        </w:tc>
      </w:tr>
      <w:tr>
        <w:trPr>
          <w:trHeight w:val="186"/>
        </w:trPr>
        <w:tc>
          <w:tcPr>
            <w:tcW w:w="6500" w:type="dxa"/>
            <w:vAlign w:val="bottom"/>
          </w:tcPr>
          <w:p>
            <w:pPr>
              <w:ind w:left="20"/>
              <w:spacing w:after="0"/>
              <w:rPr>
                <w:sz w:val="20"/>
                <w:szCs w:val="20"/>
                <w:color w:val="auto"/>
              </w:rPr>
            </w:pPr>
            <w:r>
              <w:rPr>
                <w:rFonts w:ascii="Arial" w:cs="Arial" w:eastAsia="Arial" w:hAnsi="Arial"/>
                <w:sz w:val="14"/>
                <w:szCs w:val="14"/>
                <w:color w:val="auto"/>
              </w:rPr>
              <w:t>Buildings and leasehold improvements</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1,045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1,100</w:t>
            </w:r>
          </w:p>
        </w:tc>
      </w:tr>
      <w:tr>
        <w:trPr>
          <w:trHeight w:val="192"/>
        </w:trPr>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and equipment</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1,225</w:t>
            </w:r>
          </w:p>
        </w:tc>
      </w:tr>
      <w:tr>
        <w:trPr>
          <w:trHeight w:val="186"/>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Construction in progress</w:t>
            </w: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196</w:t>
            </w:r>
          </w:p>
        </w:tc>
      </w:tr>
      <w:tr>
        <w:trPr>
          <w:trHeight w:val="186"/>
        </w:trPr>
        <w:tc>
          <w:tcPr>
            <w:tcW w:w="6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3,205</w:t>
            </w:r>
          </w:p>
        </w:tc>
      </w:tr>
      <w:tr>
        <w:trPr>
          <w:trHeight w:val="186"/>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depreciation</w:t>
            </w: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(1,301)</w:t>
            </w:r>
          </w:p>
        </w:tc>
      </w:tr>
      <w:tr>
        <w:trPr>
          <w:trHeight w:val="208"/>
        </w:trPr>
        <w:tc>
          <w:tcPr>
            <w:tcW w:w="65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1,514</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1,904</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color w:val="auto"/>
        </w:rPr>
        <w:t>We record property and equipment at cost, including interest and real estate taxes we incur during development and construction. We capitalize the cost of improvements that extend the useful life of property and equipment when we incur them. These capitalized costs may include structural costs, equipment, fixtures, floor, and wall coverings. We expense all repair and maintenance costs when we incur them. We compute depreciation using the straight-line method over the estimated useful lives of the assets (generally three to 40 years), and we amortize leasehold improvements over the shorter of the asset life or lease term. Our gross depreciation expense totaled $322 million in 2020, $346 million in 2019, and $256 million in 2018 (of which $109 million in 2020, $121 million in 2019, and $147 million in 2018 was included in the “Reimbursed expenses” caption of our Income Statements). Fixed assets attributed to operations located outside the U.S. were $679 million at year-end 2020 and $695 million at year-end 2019.</w:t>
      </w:r>
    </w:p>
    <w:p>
      <w:pPr>
        <w:spacing w:after="0" w:line="112"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We recorded impairment charges for property and equipment, including leasehold improvements, and right-of-use assets on several U.S. &amp; Canada leased hotels in 2020 and 2019 as discussed in Note 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OF FINANCIAL INSTRUMENTS</w:t>
      </w:r>
    </w:p>
    <w:p>
      <w:pPr>
        <w:spacing w:after="0" w:line="175"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We believe that the fair values of our current assets and current liabilities approximate their reported carrying amounts. We present the carrying values and the fair values of noncurrent financial assets and liabilities that qualify as financial instruments, determined under current guidance for disclosures on the fair value of financial instruments, in the following table: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868"/>
              <w:spacing w:after="0"/>
              <w:rPr>
                <w:sz w:val="20"/>
                <w:szCs w:val="20"/>
                <w:color w:val="auto"/>
              </w:rPr>
            </w:pPr>
            <w:r>
              <w:rPr>
                <w:rFonts w:ascii="Arial" w:cs="Arial" w:eastAsia="Arial" w:hAnsi="Arial"/>
                <w:sz w:val="14"/>
                <w:szCs w:val="14"/>
                <w:b w:val="1"/>
                <w:bCs w:val="1"/>
                <w:color w:val="auto"/>
              </w:rPr>
              <w:t>At Year-End 2020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868"/>
              <w:spacing w:after="0"/>
              <w:rPr>
                <w:sz w:val="20"/>
                <w:szCs w:val="20"/>
                <w:color w:val="auto"/>
              </w:rPr>
            </w:pPr>
            <w:r>
              <w:rPr>
                <w:rFonts w:ascii="Arial" w:cs="Arial" w:eastAsia="Arial" w:hAnsi="Arial"/>
                <w:sz w:val="14"/>
                <w:szCs w:val="14"/>
                <w:b w:val="1"/>
                <w:bCs w:val="1"/>
                <w:color w:val="auto"/>
              </w:rPr>
              <w:t>At Year-End 2019</w:t>
            </w:r>
          </w:p>
        </w:tc>
        <w:tc>
          <w:tcPr>
            <w:tcW w:w="0" w:type="dxa"/>
            <w:vAlign w:val="bottom"/>
          </w:tcPr>
          <w:p>
            <w:pPr>
              <w:spacing w:after="0"/>
              <w:rPr>
                <w:sz w:val="1"/>
                <w:szCs w:val="1"/>
                <w:color w:val="auto"/>
              </w:rPr>
            </w:pPr>
          </w:p>
        </w:tc>
      </w:tr>
      <w:tr>
        <w:trPr>
          <w:trHeight w:val="135"/>
        </w:trPr>
        <w:tc>
          <w:tcPr>
            <w:tcW w:w="51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in millions)</w:t>
            </w: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1"/>
                <w:szCs w:val="11"/>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1"/>
                <w:szCs w:val="11"/>
                <w:color w:val="auto"/>
              </w:rPr>
            </w:pPr>
          </w:p>
        </w:tc>
        <w:tc>
          <w:tcPr>
            <w:tcW w:w="12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8"/>
        </w:trPr>
        <w:tc>
          <w:tcPr>
            <w:tcW w:w="5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Senior, mezzanine, and other loans</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86"/>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Total noncurrent financial assets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5160" w:type="dxa"/>
            <w:vAlign w:val="bottom"/>
          </w:tcPr>
          <w:p>
            <w:pPr>
              <w:ind w:left="20"/>
              <w:spacing w:after="0"/>
              <w:rPr>
                <w:sz w:val="20"/>
                <w:szCs w:val="20"/>
                <w:color w:val="auto"/>
              </w:rPr>
            </w:pPr>
            <w:r>
              <w:rPr>
                <w:rFonts w:ascii="Arial" w:cs="Arial" w:eastAsia="Arial" w:hAnsi="Arial"/>
                <w:sz w:val="14"/>
                <w:szCs w:val="14"/>
                <w:color w:val="auto"/>
              </w:rPr>
              <w:t>Senior Notes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(8,031)</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(8,941)</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(6,441)</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(6,712)</w:t>
            </w:r>
          </w:p>
        </w:tc>
        <w:tc>
          <w:tcPr>
            <w:tcW w:w="0" w:type="dxa"/>
            <w:vAlign w:val="bottom"/>
          </w:tcPr>
          <w:p>
            <w:pPr>
              <w:spacing w:after="0"/>
              <w:rPr>
                <w:sz w:val="1"/>
                <w:szCs w:val="1"/>
                <w:color w:val="auto"/>
              </w:rPr>
            </w:pPr>
          </w:p>
        </w:tc>
      </w:tr>
      <w:tr>
        <w:trPr>
          <w:trHeight w:val="192"/>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paper/Credit Facility</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(3,197)</w:t>
            </w:r>
          </w:p>
        </w:tc>
        <w:tc>
          <w:tcPr>
            <w:tcW w:w="0" w:type="dxa"/>
            <w:vAlign w:val="bottom"/>
          </w:tcPr>
          <w:p>
            <w:pPr>
              <w:spacing w:after="0"/>
              <w:rPr>
                <w:sz w:val="1"/>
                <w:szCs w:val="1"/>
                <w:color w:val="auto"/>
              </w:rPr>
            </w:pPr>
          </w:p>
        </w:tc>
      </w:tr>
      <w:tr>
        <w:trPr>
          <w:trHeight w:val="186"/>
        </w:trPr>
        <w:tc>
          <w:tcPr>
            <w:tcW w:w="5160" w:type="dxa"/>
            <w:vAlign w:val="bottom"/>
          </w:tcPr>
          <w:p>
            <w:pPr>
              <w:ind w:left="20"/>
              <w:spacing w:after="0"/>
              <w:rPr>
                <w:sz w:val="20"/>
                <w:szCs w:val="20"/>
                <w:color w:val="auto"/>
              </w:rPr>
            </w:pPr>
            <w:r>
              <w:rPr>
                <w:rFonts w:ascii="Arial" w:cs="Arial" w:eastAsia="Arial" w:hAnsi="Arial"/>
                <w:sz w:val="14"/>
                <w:szCs w:val="14"/>
                <w:color w:val="auto"/>
              </w:rPr>
              <w:t>Other long-term debt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86"/>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Total noncurrent financial liabilities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(9,483)</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(10,395)</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(10,008)</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(10,284)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60" w:firstLine="445"/>
        <w:spacing w:after="0" w:line="277" w:lineRule="auto"/>
        <w:rPr>
          <w:sz w:val="20"/>
          <w:szCs w:val="20"/>
          <w:color w:val="auto"/>
        </w:rPr>
      </w:pPr>
      <w:r>
        <w:rPr>
          <w:rFonts w:ascii="Arial" w:cs="Arial" w:eastAsia="Arial" w:hAnsi="Arial"/>
          <w:sz w:val="18"/>
          <w:szCs w:val="18"/>
          <w:color w:val="auto"/>
        </w:rPr>
        <w:t>We estimate the fair value of our senior, mezzanine, and other loans by discounting cash flows using risk-adjusted rates, both of which are Level 3 inputs.</w:t>
      </w:r>
    </w:p>
    <w:p>
      <w:pPr>
        <w:spacing w:after="0" w:line="116" w:lineRule="exact"/>
        <w:rPr>
          <w:sz w:val="20"/>
          <w:szCs w:val="20"/>
          <w:color w:val="auto"/>
        </w:rPr>
      </w:pPr>
    </w:p>
    <w:p>
      <w:pPr>
        <w:ind w:right="100" w:firstLine="445"/>
        <w:spacing w:after="0" w:line="253" w:lineRule="auto"/>
        <w:rPr>
          <w:sz w:val="20"/>
          <w:szCs w:val="20"/>
          <w:color w:val="auto"/>
        </w:rPr>
      </w:pPr>
      <w:r>
        <w:rPr>
          <w:rFonts w:ascii="Arial" w:cs="Arial" w:eastAsia="Arial" w:hAnsi="Arial"/>
          <w:sz w:val="18"/>
          <w:szCs w:val="18"/>
          <w:color w:val="auto"/>
        </w:rPr>
        <w:t>We estimate the fair value of our other long-term debt, excluding leases, using expected future payments discounted at risk-adjusted rates, which are Level 3 inputs. We determine the fair value of our Senior Notes using quoted market prices, which are directly observable Level 1 inputs. As discussed in Note 10, even though our commercial paper borrowings generally have short-term maturities of 30 days or less, we classify outstanding commercial paper borrowings (if any) as long-term based on our ability and intent to refinance them on a long-term basis. As we have historically been a frequent issuer of commercial paper, we use pricing from recent transactions as Level 2 inputs in estimating fair value. At year-end 2019, we determined that the carrying value of our commercial paper approximated fair value due to the short maturity. At year-end 2020, all of our previously issued commercial paper has matured and been repaid. Due to changes to our credit ratings as a result of the impact of COVID-19 on our business, we currently are not issuing commercial paper. The carrying value of our Credit Facility borrowings approximate fair value because they bear interest at a market rate. Our other noncurrent liabilities largely consist of guarantees. As we note in the “Guarantees” caption of Note 2, we measure our liability for guarantees at fair value on a</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nonrecurring basis, which is when we issue or modify a guarantee using Level 3 internally developed inputs. At year-end 2020 and year-end 2019, we determined that the carrying values of our guarantee liabilities approximated their fair values based on Level 3 inputs.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“Fair Value Measurements” caption of Note 2 for more information on the input levels we use in determining fair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ACCUMULATED OTHER COMPREHENSIVE LOSS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the accumulated other comprehensive loss activity for 2020, 2019, and 2018:</w:t>
      </w:r>
    </w:p>
    <w:p>
      <w:pPr>
        <w:spacing w:after="0" w:line="11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9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in millions)</w:t>
            </w:r>
          </w:p>
        </w:tc>
        <w:tc>
          <w:tcPr>
            <w:tcW w:w="20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Foreign Currency Translation</w:t>
            </w:r>
          </w:p>
        </w:tc>
        <w:tc>
          <w:tcPr>
            <w:tcW w:w="120" w:type="dxa"/>
            <w:vAlign w:val="bottom"/>
          </w:tcPr>
          <w:p>
            <w:pPr>
              <w:spacing w:after="0"/>
              <w:rPr>
                <w:sz w:val="14"/>
                <w:szCs w:val="14"/>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Derivative Instrument and</w:t>
            </w:r>
          </w:p>
        </w:tc>
        <w:tc>
          <w:tcPr>
            <w:tcW w:w="200" w:type="dxa"/>
            <w:vAlign w:val="bottom"/>
          </w:tcPr>
          <w:p>
            <w:pPr>
              <w:spacing w:after="0"/>
              <w:rPr>
                <w:sz w:val="14"/>
                <w:szCs w:val="14"/>
                <w:color w:val="auto"/>
              </w:rPr>
            </w:pPr>
          </w:p>
        </w:tc>
        <w:tc>
          <w:tcPr>
            <w:tcW w:w="1720" w:type="dxa"/>
            <w:vAlign w:val="bottom"/>
          </w:tcPr>
          <w:p>
            <w:pPr>
              <w:jc w:val="right"/>
              <w:ind w:right="288"/>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88"/>
        </w:trPr>
        <w:tc>
          <w:tcPr>
            <w:tcW w:w="49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gridSpan w:val="2"/>
          </w:tcPr>
          <w:p>
            <w:pPr>
              <w:ind w:left="24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6"/>
                <w:szCs w:val="16"/>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Other Adjustments</w:t>
            </w:r>
          </w:p>
        </w:tc>
        <w:tc>
          <w:tcPr>
            <w:tcW w:w="200" w:type="dxa"/>
            <w:vAlign w:val="bottom"/>
          </w:tcPr>
          <w:p>
            <w:pPr>
              <w:spacing w:after="0"/>
              <w:rPr>
                <w:sz w:val="16"/>
                <w:szCs w:val="16"/>
                <w:color w:val="auto"/>
              </w:rPr>
            </w:pPr>
          </w:p>
        </w:tc>
        <w:tc>
          <w:tcPr>
            <w:tcW w:w="1720" w:type="dxa"/>
            <w:vAlign w:val="bottom"/>
          </w:tcPr>
          <w:p>
            <w:pPr>
              <w:jc w:val="right"/>
              <w:ind w:right="248"/>
              <w:spacing w:after="0"/>
              <w:rPr>
                <w:sz w:val="20"/>
                <w:szCs w:val="20"/>
                <w:color w:val="auto"/>
              </w:rPr>
            </w:pPr>
            <w:r>
              <w:rPr>
                <w:rFonts w:ascii="Arial" w:cs="Arial" w:eastAsia="Arial" w:hAnsi="Arial"/>
                <w:sz w:val="14"/>
                <w:szCs w:val="14"/>
                <w:b w:val="1"/>
                <w:bCs w:val="1"/>
                <w:color w:val="auto"/>
                <w:w w:val="97"/>
              </w:rPr>
              <w:t>Comprehensive Loss</w:t>
            </w:r>
          </w:p>
        </w:tc>
        <w:tc>
          <w:tcPr>
            <w:tcW w:w="0" w:type="dxa"/>
            <w:vAlign w:val="bottom"/>
          </w:tcPr>
          <w:p>
            <w:pPr>
              <w:spacing w:after="0"/>
              <w:rPr>
                <w:sz w:val="1"/>
                <w:szCs w:val="1"/>
                <w:color w:val="auto"/>
              </w:rPr>
            </w:pPr>
          </w:p>
        </w:tc>
      </w:tr>
      <w:tr>
        <w:trPr>
          <w:trHeight w:val="184"/>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year-end 2017</w:t>
            </w: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9"/>
        </w:trPr>
        <w:tc>
          <w:tcPr>
            <w:tcW w:w="4980" w:type="dxa"/>
            <w:vAlign w:val="bottom"/>
          </w:tcPr>
          <w:p>
            <w:pPr>
              <w:ind w:left="240"/>
              <w:spacing w:after="0" w:line="189" w:lineRule="exact"/>
              <w:rPr>
                <w:sz w:val="20"/>
                <w:szCs w:val="20"/>
                <w:color w:val="auto"/>
              </w:rPr>
            </w:pPr>
            <w:r>
              <w:rPr>
                <w:rFonts w:ascii="Arial" w:cs="Arial" w:eastAsia="Arial" w:hAnsi="Arial"/>
                <w:sz w:val="14"/>
                <w:szCs w:val="14"/>
                <w:color w:val="auto"/>
              </w:rPr>
              <w:t xml:space="preserve">Other comprehensive (loss) income before reclassifications </w:t>
            </w:r>
            <w:r>
              <w:rPr>
                <w:rFonts w:ascii="Arial" w:cs="Arial" w:eastAsia="Arial" w:hAnsi="Arial"/>
                <w:sz w:val="18"/>
                <w:szCs w:val="18"/>
                <w:color w:val="auto"/>
                <w:vertAlign w:val="superscript"/>
              </w:rPr>
              <w:t>(1)</w:t>
            </w:r>
          </w:p>
        </w:tc>
        <w:tc>
          <w:tcPr>
            <w:tcW w:w="3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189"/>
        </w:trPr>
        <w:tc>
          <w:tcPr>
            <w:tcW w:w="49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Reclassification adjustments</w:t>
            </w:r>
          </w:p>
        </w:tc>
        <w:tc>
          <w:tcPr>
            <w:tcW w:w="32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79"/>
        </w:trPr>
        <w:tc>
          <w:tcPr>
            <w:tcW w:w="4980" w:type="dxa"/>
            <w:vAlign w:val="bottom"/>
          </w:tcPr>
          <w:p>
            <w:pPr>
              <w:ind w:left="20"/>
              <w:spacing w:after="0"/>
              <w:rPr>
                <w:sz w:val="20"/>
                <w:szCs w:val="20"/>
                <w:color w:val="auto"/>
              </w:rPr>
            </w:pPr>
            <w:r>
              <w:rPr>
                <w:rFonts w:ascii="Arial" w:cs="Arial" w:eastAsia="Arial" w:hAnsi="Arial"/>
                <w:sz w:val="14"/>
                <w:szCs w:val="14"/>
                <w:color w:val="auto"/>
              </w:rPr>
              <w:t>Net other comprehensive (loss) income</w:t>
            </w:r>
          </w:p>
        </w:tc>
        <w:tc>
          <w:tcPr>
            <w:tcW w:w="3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92"/>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Adoption of ASU 2016-01</w:t>
            </w:r>
          </w:p>
        </w:tc>
        <w:tc>
          <w:tcPr>
            <w:tcW w:w="32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9"/>
        </w:trPr>
        <w:tc>
          <w:tcPr>
            <w:tcW w:w="4980" w:type="dxa"/>
            <w:vAlign w:val="bottom"/>
          </w:tcPr>
          <w:p>
            <w:pPr>
              <w:ind w:left="20"/>
              <w:spacing w:after="0"/>
              <w:rPr>
                <w:sz w:val="20"/>
                <w:szCs w:val="20"/>
                <w:color w:val="auto"/>
              </w:rPr>
            </w:pPr>
            <w:r>
              <w:rPr>
                <w:rFonts w:ascii="Arial" w:cs="Arial" w:eastAsia="Arial" w:hAnsi="Arial"/>
                <w:sz w:val="14"/>
                <w:szCs w:val="14"/>
                <w:color w:val="auto"/>
              </w:rPr>
              <w:t>Balance at year-end 2018</w:t>
            </w: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192"/>
        </w:trPr>
        <w:tc>
          <w:tcPr>
            <w:tcW w:w="4980" w:type="dxa"/>
            <w:vAlign w:val="bottom"/>
            <w:shd w:val="clear" w:color="auto" w:fill="CCEEFF"/>
          </w:tcPr>
          <w:p>
            <w:pPr>
              <w:ind w:left="240"/>
              <w:spacing w:after="0" w:line="193" w:lineRule="exact"/>
              <w:rPr>
                <w:sz w:val="20"/>
                <w:szCs w:val="20"/>
                <w:color w:val="auto"/>
              </w:rPr>
            </w:pPr>
            <w:r>
              <w:rPr>
                <w:rFonts w:ascii="Arial" w:cs="Arial" w:eastAsia="Arial" w:hAnsi="Arial"/>
                <w:sz w:val="14"/>
                <w:szCs w:val="14"/>
                <w:color w:val="auto"/>
              </w:rPr>
              <w:t xml:space="preserve">Other comprehensive income before reclassifications </w:t>
            </w:r>
            <w:r>
              <w:rPr>
                <w:rFonts w:ascii="Arial" w:cs="Arial" w:eastAsia="Arial" w:hAnsi="Arial"/>
                <w:sz w:val="18"/>
                <w:szCs w:val="18"/>
                <w:color w:val="auto"/>
                <w:vertAlign w:val="superscript"/>
              </w:rPr>
              <w:t>(1)</w:t>
            </w: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6"/>
        </w:trPr>
        <w:tc>
          <w:tcPr>
            <w:tcW w:w="4980" w:type="dxa"/>
            <w:vAlign w:val="bottom"/>
          </w:tcPr>
          <w:p>
            <w:pPr>
              <w:ind w:left="240"/>
              <w:spacing w:after="0"/>
              <w:rPr>
                <w:sz w:val="20"/>
                <w:szCs w:val="20"/>
                <w:color w:val="auto"/>
              </w:rPr>
            </w:pPr>
            <w:r>
              <w:rPr>
                <w:rFonts w:ascii="Arial" w:cs="Arial" w:eastAsia="Arial" w:hAnsi="Arial"/>
                <w:sz w:val="14"/>
                <w:szCs w:val="14"/>
                <w:color w:val="auto"/>
              </w:rPr>
              <w:t>Reclassification adjustments</w:t>
            </w:r>
          </w:p>
        </w:tc>
        <w:tc>
          <w:tcPr>
            <w:tcW w:w="320" w:type="dxa"/>
            <w:vAlign w:val="bottom"/>
          </w:tcPr>
          <w:p>
            <w:pPr>
              <w:spacing w:after="0"/>
              <w:rPr>
                <w:sz w:val="16"/>
                <w:szCs w:val="16"/>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6"/>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other comprehensive income (loss)</w:t>
            </w: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79"/>
        </w:trPr>
        <w:tc>
          <w:tcPr>
            <w:tcW w:w="4980" w:type="dxa"/>
            <w:vAlign w:val="bottom"/>
          </w:tcPr>
          <w:p>
            <w:pPr>
              <w:ind w:left="20"/>
              <w:spacing w:after="0"/>
              <w:rPr>
                <w:sz w:val="20"/>
                <w:szCs w:val="20"/>
                <w:color w:val="auto"/>
              </w:rPr>
            </w:pPr>
            <w:r>
              <w:rPr>
                <w:rFonts w:ascii="Arial" w:cs="Arial" w:eastAsia="Arial" w:hAnsi="Arial"/>
                <w:sz w:val="14"/>
                <w:szCs w:val="14"/>
                <w:color w:val="auto"/>
              </w:rPr>
              <w:t>Balance at year-end 2019</w:t>
            </w:r>
          </w:p>
        </w:tc>
        <w:tc>
          <w:tcPr>
            <w:tcW w:w="320" w:type="dxa"/>
            <w:vAlign w:val="bottom"/>
          </w:tcPr>
          <w:p>
            <w:pPr>
              <w:ind w:left="20"/>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720" w:type="dxa"/>
            <w:vAlign w:val="bottom"/>
          </w:tcPr>
          <w:p>
            <w:pPr>
              <w:jc w:val="right"/>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192"/>
        </w:trPr>
        <w:tc>
          <w:tcPr>
            <w:tcW w:w="4980" w:type="dxa"/>
            <w:vAlign w:val="bottom"/>
            <w:shd w:val="clear" w:color="auto" w:fill="CCEEFF"/>
          </w:tcPr>
          <w:p>
            <w:pPr>
              <w:ind w:left="240"/>
              <w:spacing w:after="0" w:line="193" w:lineRule="exact"/>
              <w:rPr>
                <w:sz w:val="20"/>
                <w:szCs w:val="20"/>
                <w:color w:val="auto"/>
              </w:rPr>
            </w:pPr>
            <w:r>
              <w:rPr>
                <w:rFonts w:ascii="Arial" w:cs="Arial" w:eastAsia="Arial" w:hAnsi="Arial"/>
                <w:sz w:val="14"/>
                <w:szCs w:val="14"/>
                <w:color w:val="auto"/>
              </w:rPr>
              <w:t xml:space="preserve">Other comprehensive income before reclassifications </w:t>
            </w:r>
            <w:r>
              <w:rPr>
                <w:rFonts w:ascii="Arial" w:cs="Arial" w:eastAsia="Arial" w:hAnsi="Arial"/>
                <w:sz w:val="18"/>
                <w:szCs w:val="18"/>
                <w:color w:val="auto"/>
                <w:vertAlign w:val="superscript"/>
              </w:rPr>
              <w:t>(1)</w:t>
            </w: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86"/>
        </w:trPr>
        <w:tc>
          <w:tcPr>
            <w:tcW w:w="4980" w:type="dxa"/>
            <w:vAlign w:val="bottom"/>
          </w:tcPr>
          <w:p>
            <w:pPr>
              <w:ind w:left="240"/>
              <w:spacing w:after="0"/>
              <w:rPr>
                <w:sz w:val="20"/>
                <w:szCs w:val="20"/>
                <w:color w:val="auto"/>
              </w:rPr>
            </w:pPr>
            <w:r>
              <w:rPr>
                <w:rFonts w:ascii="Arial" w:cs="Arial" w:eastAsia="Arial" w:hAnsi="Arial"/>
                <w:sz w:val="14"/>
                <w:szCs w:val="14"/>
                <w:color w:val="auto"/>
              </w:rPr>
              <w:t>Reclassification adjustments</w:t>
            </w:r>
          </w:p>
        </w:tc>
        <w:tc>
          <w:tcPr>
            <w:tcW w:w="320" w:type="dxa"/>
            <w:vAlign w:val="bottom"/>
          </w:tcPr>
          <w:p>
            <w:pPr>
              <w:spacing w:after="0"/>
              <w:rPr>
                <w:sz w:val="16"/>
                <w:szCs w:val="16"/>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3"/>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other comprehensive income (loss)</w:t>
            </w: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86"/>
        </w:trPr>
        <w:tc>
          <w:tcPr>
            <w:tcW w:w="4980" w:type="dxa"/>
            <w:vAlign w:val="bottom"/>
          </w:tcPr>
          <w:p>
            <w:pPr>
              <w:ind w:left="20"/>
              <w:spacing w:after="0"/>
              <w:rPr>
                <w:sz w:val="20"/>
                <w:szCs w:val="20"/>
                <w:color w:val="auto"/>
              </w:rPr>
            </w:pPr>
            <w:r>
              <w:rPr>
                <w:rFonts w:ascii="Arial" w:cs="Arial" w:eastAsia="Arial" w:hAnsi="Arial"/>
                <w:sz w:val="14"/>
                <w:szCs w:val="14"/>
                <w:color w:val="auto"/>
              </w:rPr>
              <w:t>Balance at year-end 2020</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32"/>
        <w:spacing w:after="0" w:line="194" w:lineRule="auto"/>
        <w:tabs>
          <w:tab w:leader="none" w:pos="328" w:val="left"/>
        </w:tabs>
        <w:numPr>
          <w:ilvl w:val="0"/>
          <w:numId w:val="28"/>
        </w:numPr>
        <w:rPr>
          <w:rFonts w:ascii="Arial" w:cs="Arial" w:eastAsia="Arial" w:hAnsi="Arial"/>
          <w:sz w:val="23"/>
          <w:szCs w:val="23"/>
          <w:color w:val="auto"/>
          <w:vertAlign w:val="superscript"/>
        </w:rPr>
      </w:pPr>
      <w:r>
        <w:rPr>
          <w:rFonts w:ascii="Arial" w:cs="Arial" w:eastAsia="Arial" w:hAnsi="Arial"/>
          <w:sz w:val="14"/>
          <w:szCs w:val="14"/>
          <w:color w:val="auto"/>
        </w:rPr>
        <w:t>Other comprehensive (loss) income before reclassifications for foreign currency translation adjustments includes intra-entity foreign currency transactions that are of a long-term investment nature, which resulted in (losses) gains of $(44) million for 2020, $6 million for 2019, and $14 million for 2018.</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BUSINESS SEGMENTS</w:t>
      </w:r>
    </w:p>
    <w:p>
      <w:pPr>
        <w:spacing w:after="0" w:line="175"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We discuss our operations in the following three reportable business segments: United States and Canada (“U.S. &amp; Canada”); Asia Pacific; and Europe, Middle East and Africa (“EMEA”). Our Caribbean and Latin America (“CALA”) operating segment does not meet the applicable accounting criteria for separate disclosure as a reportable business segment, and we include its results in “Unallocated corporate and other.” In the 2020 fourth quarter, we changed the name of our largest segment from “North America” to “U.S. &amp; Canada.” Other than the name change, we made no other changes to the composition of this segment. In January 2021, we modified our reportable segment structure as a result of a change in the way management intends to evaluate results and allocate resources within the Company. Beginning with the 2021 first quarter, we will report the following two operating segments: U.S. &amp; Canada and International.</w:t>
      </w:r>
    </w:p>
    <w:p>
      <w:pPr>
        <w:spacing w:after="0" w:line="141"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We evaluate the performance of our operating segments using “segment profits/loss” which is based largely on the results of the segment without allocating corporate expenses, income taxes, indirect general, administrative, and other expenses, merger-related costs, or above-property restructuring charges. We assign gains and losses, equity in earnings or losses, direct general, administrative, and other expenses, and other restructuring charges to each of our segments. “Unallocated corporate and other” includes a portion of our revenues, including license fees we receive from our credit card programs, fees from vacation ownership licensing agreements, revenues and expenses for our Loyalty Program, general, administrative, and other expenses, restructuring and merger-related charges, equity in earnings or losses, and other gains or losses that we do not allocate to our segments as well as results of our CALA operating segment.</w:t>
      </w:r>
    </w:p>
    <w:p>
      <w:pPr>
        <w:spacing w:after="0" w:line="141" w:lineRule="exact"/>
        <w:rPr>
          <w:sz w:val="20"/>
          <w:szCs w:val="20"/>
          <w:color w:val="auto"/>
        </w:rPr>
      </w:pPr>
    </w:p>
    <w:p>
      <w:pPr>
        <w:ind w:right="360" w:firstLine="445"/>
        <w:spacing w:after="0" w:line="277" w:lineRule="auto"/>
        <w:rPr>
          <w:sz w:val="20"/>
          <w:szCs w:val="20"/>
          <w:color w:val="auto"/>
        </w:rPr>
      </w:pPr>
      <w:r>
        <w:rPr>
          <w:rFonts w:ascii="Arial" w:cs="Arial" w:eastAsia="Arial" w:hAnsi="Arial"/>
          <w:sz w:val="18"/>
          <w:szCs w:val="18"/>
          <w:color w:val="auto"/>
        </w:rPr>
        <w:t>Our chief operating decision maker monitors assets for the consolidated Company, but does not use assets by operating segment when assessing performance or making operating segment resource allocations.</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our revenues disaggregated by segment and major revenue stream for the last three fiscal years:</w:t>
      </w:r>
    </w:p>
    <w:p>
      <w:pPr>
        <w:spacing w:after="0" w:line="136" w:lineRule="exact"/>
        <w:rPr>
          <w:sz w:val="20"/>
          <w:szCs w:val="20"/>
          <w:color w:val="auto"/>
        </w:rPr>
      </w:pPr>
    </w:p>
    <w:tbl>
      <w:tblPr>
        <w:tblLayout w:type="fixed"/>
        <w:tblInd w:w="80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8"/>
        </w:trPr>
        <w:tc>
          <w:tcPr>
            <w:tcW w:w="378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U.S. &amp; Canada</w:t>
            </w:r>
          </w:p>
        </w:tc>
        <w:tc>
          <w:tcPr>
            <w:tcW w:w="22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Asia Pacific</w:t>
            </w:r>
          </w:p>
        </w:tc>
        <w:tc>
          <w:tcPr>
            <w:tcW w:w="28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EMEA</w:t>
            </w:r>
          </w:p>
        </w:tc>
        <w:tc>
          <w:tcPr>
            <w:tcW w:w="300" w:type="dxa"/>
            <w:vAlign w:val="bottom"/>
          </w:tcPr>
          <w:p>
            <w:pPr>
              <w:spacing w:after="0"/>
              <w:rPr>
                <w:sz w:val="16"/>
                <w:szCs w:val="16"/>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184"/>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fee revenues</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1,207</w:t>
            </w:r>
          </w:p>
        </w:tc>
      </w:tr>
      <w:tr>
        <w:trPr>
          <w:trHeight w:val="186"/>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Contract investment amortization</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r>
      <w:tr>
        <w:trPr>
          <w:trHeight w:val="186"/>
        </w:trPr>
        <w:tc>
          <w:tcPr>
            <w:tcW w:w="3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fee revenues</w:t>
            </w: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1,080</w:t>
            </w:r>
          </w:p>
        </w:tc>
      </w:tr>
      <w:tr>
        <w:trPr>
          <w:trHeight w:val="186"/>
        </w:trPr>
        <w:tc>
          <w:tcPr>
            <w:tcW w:w="3780" w:type="dxa"/>
            <w:vAlign w:val="bottom"/>
          </w:tcPr>
          <w:p>
            <w:pPr>
              <w:ind w:left="20"/>
              <w:spacing w:after="0"/>
              <w:rPr>
                <w:sz w:val="20"/>
                <w:szCs w:val="20"/>
                <w:color w:val="auto"/>
              </w:rPr>
            </w:pPr>
            <w:r>
              <w:rPr>
                <w:rFonts w:ascii="Arial" w:cs="Arial" w:eastAsia="Arial" w:hAnsi="Arial"/>
                <w:sz w:val="14"/>
                <w:szCs w:val="14"/>
                <w:color w:val="auto"/>
              </w:rPr>
              <w:t>Owned, leased, and other revenue</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440</w:t>
            </w:r>
          </w:p>
        </w:tc>
      </w:tr>
      <w:tr>
        <w:trPr>
          <w:trHeight w:val="192"/>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reimbursement revenue</w:t>
            </w:r>
          </w:p>
        </w:tc>
        <w:tc>
          <w:tcPr>
            <w:tcW w:w="1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7,755</w:t>
            </w:r>
          </w:p>
        </w:tc>
      </w:tr>
      <w:tr>
        <w:trPr>
          <w:trHeight w:val="179"/>
        </w:trPr>
        <w:tc>
          <w:tcPr>
            <w:tcW w:w="3780" w:type="dxa"/>
            <w:vAlign w:val="bottom"/>
          </w:tcPr>
          <w:p>
            <w:pPr>
              <w:ind w:left="20"/>
              <w:spacing w:after="0"/>
              <w:rPr>
                <w:sz w:val="20"/>
                <w:szCs w:val="20"/>
                <w:color w:val="auto"/>
              </w:rPr>
            </w:pPr>
            <w:r>
              <w:rPr>
                <w:rFonts w:ascii="Arial" w:cs="Arial" w:eastAsia="Arial" w:hAnsi="Arial"/>
                <w:sz w:val="14"/>
                <w:szCs w:val="14"/>
                <w:color w:val="auto"/>
              </w:rPr>
              <w:t>Total reportable segment revenue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7,905</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612</w:t>
            </w:r>
          </w:p>
        </w:tc>
        <w:tc>
          <w:tcPr>
            <w:tcW w:w="1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758</w:t>
            </w:r>
          </w:p>
        </w:tc>
        <w:tc>
          <w:tcPr>
            <w:tcW w:w="12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9,275</w:t>
            </w:r>
          </w:p>
        </w:tc>
      </w:tr>
      <w:tr>
        <w:trPr>
          <w:trHeight w:val="189"/>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Unallocated corporate and other</w:t>
            </w: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1,296</w:t>
            </w:r>
          </w:p>
        </w:tc>
      </w:tr>
      <w:tr>
        <w:trPr>
          <w:trHeight w:val="186"/>
        </w:trPr>
        <w:tc>
          <w:tcPr>
            <w:tcW w:w="378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10,571</w:t>
            </w:r>
          </w:p>
        </w:tc>
      </w:tr>
      <w:tr>
        <w:trPr>
          <w:trHeight w:val="21"/>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tbl>
      <w:tblPr>
        <w:tblLayout w:type="fixed"/>
        <w:tblInd w:w="80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8"/>
        </w:trPr>
        <w:tc>
          <w:tcPr>
            <w:tcW w:w="378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U.S. &amp; Canada</w:t>
            </w:r>
          </w:p>
        </w:tc>
        <w:tc>
          <w:tcPr>
            <w:tcW w:w="22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Asia Pacific</w:t>
            </w:r>
          </w:p>
        </w:tc>
        <w:tc>
          <w:tcPr>
            <w:tcW w:w="28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EMEA</w:t>
            </w:r>
          </w:p>
        </w:tc>
        <w:tc>
          <w:tcPr>
            <w:tcW w:w="300" w:type="dxa"/>
            <w:vAlign w:val="bottom"/>
          </w:tcPr>
          <w:p>
            <w:pPr>
              <w:spacing w:after="0"/>
              <w:rPr>
                <w:sz w:val="16"/>
                <w:szCs w:val="16"/>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184"/>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fee revenues</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2,265</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3,160</w:t>
            </w:r>
          </w:p>
        </w:tc>
      </w:tr>
      <w:tr>
        <w:trPr>
          <w:trHeight w:val="186"/>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Contract investment amortization</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r>
      <w:tr>
        <w:trPr>
          <w:trHeight w:val="186"/>
        </w:trPr>
        <w:tc>
          <w:tcPr>
            <w:tcW w:w="3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fee revenues</w:t>
            </w: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3,102</w:t>
            </w:r>
          </w:p>
        </w:tc>
      </w:tr>
      <w:tr>
        <w:trPr>
          <w:trHeight w:val="186"/>
        </w:trPr>
        <w:tc>
          <w:tcPr>
            <w:tcW w:w="3780" w:type="dxa"/>
            <w:vAlign w:val="bottom"/>
          </w:tcPr>
          <w:p>
            <w:pPr>
              <w:ind w:left="20"/>
              <w:spacing w:after="0"/>
              <w:rPr>
                <w:sz w:val="20"/>
                <w:szCs w:val="20"/>
                <w:color w:val="auto"/>
              </w:rPr>
            </w:pPr>
            <w:r>
              <w:rPr>
                <w:rFonts w:ascii="Arial" w:cs="Arial" w:eastAsia="Arial" w:hAnsi="Arial"/>
                <w:sz w:val="14"/>
                <w:szCs w:val="14"/>
                <w:color w:val="auto"/>
              </w:rPr>
              <w:t>Owned, leased, and other revenue</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1,446</w:t>
            </w:r>
          </w:p>
        </w:tc>
      </w:tr>
      <w:tr>
        <w:trPr>
          <w:trHeight w:val="192"/>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reimbursement revenue</w:t>
            </w:r>
          </w:p>
        </w:tc>
        <w:tc>
          <w:tcPr>
            <w:tcW w:w="1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13,901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969</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15,406</w:t>
            </w:r>
          </w:p>
        </w:tc>
      </w:tr>
      <w:tr>
        <w:trPr>
          <w:trHeight w:val="179"/>
        </w:trPr>
        <w:tc>
          <w:tcPr>
            <w:tcW w:w="3780" w:type="dxa"/>
            <w:vAlign w:val="bottom"/>
          </w:tcPr>
          <w:p>
            <w:pPr>
              <w:ind w:left="20"/>
              <w:spacing w:after="0"/>
              <w:rPr>
                <w:sz w:val="20"/>
                <w:szCs w:val="20"/>
                <w:color w:val="auto"/>
              </w:rPr>
            </w:pPr>
            <w:r>
              <w:rPr>
                <w:rFonts w:ascii="Arial" w:cs="Arial" w:eastAsia="Arial" w:hAnsi="Arial"/>
                <w:sz w:val="14"/>
                <w:szCs w:val="14"/>
                <w:color w:val="auto"/>
              </w:rPr>
              <w:t>Total reportable segment revenue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16,833</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1,189</w:t>
            </w:r>
          </w:p>
        </w:tc>
        <w:tc>
          <w:tcPr>
            <w:tcW w:w="1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1,932</w:t>
            </w:r>
          </w:p>
        </w:tc>
        <w:tc>
          <w:tcPr>
            <w:tcW w:w="12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19,954</w:t>
            </w:r>
          </w:p>
        </w:tc>
      </w:tr>
      <w:tr>
        <w:trPr>
          <w:trHeight w:val="189"/>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Unallocated corporate and other</w:t>
            </w: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1,018</w:t>
            </w:r>
          </w:p>
        </w:tc>
      </w:tr>
      <w:tr>
        <w:trPr>
          <w:trHeight w:val="186"/>
        </w:trPr>
        <w:tc>
          <w:tcPr>
            <w:tcW w:w="378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20,972</w:t>
            </w:r>
          </w:p>
        </w:tc>
      </w:tr>
      <w:tr>
        <w:trPr>
          <w:trHeight w:val="20"/>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tbl>
      <w:tblPr>
        <w:tblLayout w:type="fixed"/>
        <w:tblInd w:w="80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8"/>
        </w:trPr>
        <w:tc>
          <w:tcPr>
            <w:tcW w:w="378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U.S. &amp; Canada</w:t>
            </w:r>
          </w:p>
        </w:tc>
        <w:tc>
          <w:tcPr>
            <w:tcW w:w="22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Asia Pacific</w:t>
            </w:r>
          </w:p>
        </w:tc>
        <w:tc>
          <w:tcPr>
            <w:tcW w:w="28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EMEA</w:t>
            </w:r>
          </w:p>
        </w:tc>
        <w:tc>
          <w:tcPr>
            <w:tcW w:w="300" w:type="dxa"/>
            <w:vAlign w:val="bottom"/>
          </w:tcPr>
          <w:p>
            <w:pPr>
              <w:spacing w:after="0"/>
              <w:rPr>
                <w:sz w:val="16"/>
                <w:szCs w:val="16"/>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184"/>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fee revenues</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2,158</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3,024</w:t>
            </w:r>
          </w:p>
        </w:tc>
      </w:tr>
      <w:tr>
        <w:trPr>
          <w:trHeight w:val="186"/>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Contract investment amortization</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r>
      <w:tr>
        <w:trPr>
          <w:trHeight w:val="186"/>
        </w:trPr>
        <w:tc>
          <w:tcPr>
            <w:tcW w:w="3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fee revenues</w:t>
            </w: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2,970</w:t>
            </w:r>
          </w:p>
        </w:tc>
      </w:tr>
      <w:tr>
        <w:trPr>
          <w:trHeight w:val="186"/>
        </w:trPr>
        <w:tc>
          <w:tcPr>
            <w:tcW w:w="3780" w:type="dxa"/>
            <w:vAlign w:val="bottom"/>
          </w:tcPr>
          <w:p>
            <w:pPr>
              <w:ind w:left="20"/>
              <w:spacing w:after="0"/>
              <w:rPr>
                <w:sz w:val="20"/>
                <w:szCs w:val="20"/>
                <w:color w:val="auto"/>
              </w:rPr>
            </w:pPr>
            <w:r>
              <w:rPr>
                <w:rFonts w:ascii="Arial" w:cs="Arial" w:eastAsia="Arial" w:hAnsi="Arial"/>
                <w:sz w:val="14"/>
                <w:szCs w:val="14"/>
                <w:color w:val="auto"/>
              </w:rPr>
              <w:t>Owned, leased, and other revenue</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563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1,466</w:t>
            </w:r>
          </w:p>
        </w:tc>
      </w:tr>
      <w:tr>
        <w:trPr>
          <w:trHeight w:val="192"/>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reimbursement revenue</w:t>
            </w:r>
          </w:p>
        </w:tc>
        <w:tc>
          <w:tcPr>
            <w:tcW w:w="1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13,455</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926</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14,840</w:t>
            </w:r>
          </w:p>
        </w:tc>
      </w:tr>
      <w:tr>
        <w:trPr>
          <w:trHeight w:val="179"/>
        </w:trPr>
        <w:tc>
          <w:tcPr>
            <w:tcW w:w="3780" w:type="dxa"/>
            <w:vAlign w:val="bottom"/>
          </w:tcPr>
          <w:p>
            <w:pPr>
              <w:ind w:left="20"/>
              <w:spacing w:after="0"/>
              <w:rPr>
                <w:sz w:val="20"/>
                <w:szCs w:val="20"/>
                <w:color w:val="auto"/>
              </w:rPr>
            </w:pPr>
            <w:r>
              <w:rPr>
                <w:rFonts w:ascii="Arial" w:cs="Arial" w:eastAsia="Arial" w:hAnsi="Arial"/>
                <w:sz w:val="14"/>
                <w:szCs w:val="14"/>
                <w:color w:val="auto"/>
              </w:rPr>
              <w:t>Total reportable segment revenue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16,289</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1,118</w:t>
            </w:r>
          </w:p>
        </w:tc>
        <w:tc>
          <w:tcPr>
            <w:tcW w:w="1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1,869</w:t>
            </w:r>
          </w:p>
        </w:tc>
        <w:tc>
          <w:tcPr>
            <w:tcW w:w="12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19,276</w:t>
            </w:r>
          </w:p>
        </w:tc>
      </w:tr>
      <w:tr>
        <w:trPr>
          <w:trHeight w:val="189"/>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Unallocated corporate and other</w:t>
            </w: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1,482</w:t>
            </w:r>
          </w:p>
        </w:tc>
      </w:tr>
      <w:tr>
        <w:trPr>
          <w:trHeight w:val="186"/>
        </w:trPr>
        <w:tc>
          <w:tcPr>
            <w:tcW w:w="378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20,758</w:t>
            </w:r>
          </w:p>
        </w:tc>
      </w:tr>
      <w:tr>
        <w:trPr>
          <w:trHeight w:val="20"/>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Revenues attributed to operations located outside the U.S. were $1,910 million in 2020, $4,400 million in 2019, and $4,246 million in 2018, including cost reimbursement revenue outside the U.S. of $1,247 million in 2020, $2,394 million in 2019, and $2,244 million in 2018.</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Profits and Losses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188"/>
        </w:trPr>
        <w:tc>
          <w:tcPr>
            <w:tcW w:w="66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U.S. &amp; Canada </w:t>
            </w:r>
            <w:r>
              <w:rPr>
                <w:rFonts w:ascii="Arial" w:cs="Arial" w:eastAsia="Arial" w:hAnsi="Arial"/>
                <w:sz w:val="18"/>
                <w:szCs w:val="18"/>
                <w:color w:val="auto"/>
                <w:vertAlign w:val="superscript"/>
              </w:rPr>
              <w:t>(1)</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1,939</w:t>
            </w:r>
          </w:p>
        </w:tc>
      </w:tr>
      <w:tr>
        <w:trPr>
          <w:trHeight w:val="189"/>
        </w:trPr>
        <w:tc>
          <w:tcPr>
            <w:tcW w:w="660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Asia Pacific </w:t>
            </w:r>
            <w:r>
              <w:rPr>
                <w:rFonts w:ascii="Arial" w:cs="Arial" w:eastAsia="Arial" w:hAnsi="Arial"/>
                <w:sz w:val="18"/>
                <w:szCs w:val="18"/>
                <w:color w:val="auto"/>
                <w:vertAlign w:val="superscript"/>
              </w:rPr>
              <w:t>(2)</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456</w:t>
            </w:r>
          </w:p>
        </w:tc>
      </w:tr>
      <w:tr>
        <w:trPr>
          <w:trHeight w:val="189"/>
        </w:trPr>
        <w:tc>
          <w:tcPr>
            <w:tcW w:w="66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EMEA </w:t>
            </w:r>
            <w:r>
              <w:rPr>
                <w:rFonts w:ascii="Arial" w:cs="Arial" w:eastAsia="Arial" w:hAnsi="Arial"/>
                <w:sz w:val="18"/>
                <w:szCs w:val="18"/>
                <w:color w:val="auto"/>
                <w:vertAlign w:val="superscript"/>
              </w:rPr>
              <w:t>(3)</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r>
      <w:tr>
        <w:trPr>
          <w:trHeight w:val="186"/>
        </w:trPr>
        <w:tc>
          <w:tcPr>
            <w:tcW w:w="6600" w:type="dxa"/>
            <w:vAlign w:val="bottom"/>
          </w:tcPr>
          <w:p>
            <w:pPr>
              <w:ind w:left="20"/>
              <w:spacing w:after="0"/>
              <w:rPr>
                <w:sz w:val="20"/>
                <w:szCs w:val="20"/>
                <w:color w:val="auto"/>
              </w:rPr>
            </w:pPr>
            <w:r>
              <w:rPr>
                <w:rFonts w:ascii="Arial" w:cs="Arial" w:eastAsia="Arial" w:hAnsi="Arial"/>
                <w:sz w:val="14"/>
                <w:szCs w:val="14"/>
                <w:color w:val="auto"/>
              </w:rPr>
              <w:t>Unallocated corporate and other</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(720)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92"/>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 net of interest income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r>
      <w:tr>
        <w:trPr>
          <w:trHeight w:val="186"/>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(provision) for income taxes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w:t>
            </w:r>
          </w:p>
        </w:tc>
      </w:tr>
      <w:tr>
        <w:trPr>
          <w:trHeight w:val="211"/>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income</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1,273</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ind w:left="260" w:hanging="252"/>
        <w:spacing w:after="0" w:line="214" w:lineRule="auto"/>
        <w:tabs>
          <w:tab w:leader="none" w:pos="260" w:val="left"/>
        </w:tabs>
        <w:numPr>
          <w:ilvl w:val="0"/>
          <w:numId w:val="29"/>
        </w:numPr>
        <w:rPr>
          <w:rFonts w:ascii="Arial" w:cs="Arial" w:eastAsia="Arial" w:hAnsi="Arial"/>
          <w:sz w:val="23"/>
          <w:szCs w:val="23"/>
          <w:color w:val="auto"/>
          <w:vertAlign w:val="superscript"/>
        </w:rPr>
      </w:pPr>
      <w:r>
        <w:rPr>
          <w:rFonts w:ascii="Arial" w:cs="Arial" w:eastAsia="Arial" w:hAnsi="Arial"/>
          <w:sz w:val="14"/>
          <w:szCs w:val="14"/>
          <w:color w:val="auto"/>
        </w:rPr>
        <w:t>Includes cost reimbursements, net of $(80) million in 2020, $(129) million in 2019, and $(121) million in 2018.</w:t>
      </w:r>
    </w:p>
    <w:p>
      <w:pPr>
        <w:ind w:left="280" w:hanging="272"/>
        <w:spacing w:after="0" w:line="187" w:lineRule="auto"/>
        <w:tabs>
          <w:tab w:leader="none" w:pos="280" w:val="left"/>
        </w:tabs>
        <w:numPr>
          <w:ilvl w:val="0"/>
          <w:numId w:val="29"/>
        </w:numPr>
        <w:rPr>
          <w:rFonts w:ascii="Arial" w:cs="Arial" w:eastAsia="Arial" w:hAnsi="Arial"/>
          <w:sz w:val="18"/>
          <w:szCs w:val="18"/>
          <w:color w:val="auto"/>
          <w:vertAlign w:val="superscript"/>
        </w:rPr>
      </w:pPr>
      <w:r>
        <w:rPr>
          <w:rFonts w:ascii="Arial" w:cs="Arial" w:eastAsia="Arial" w:hAnsi="Arial"/>
          <w:sz w:val="12"/>
          <w:szCs w:val="12"/>
          <w:color w:val="auto"/>
        </w:rPr>
        <w:t>Includes cost reimbursements, net of $(18) million in 2020, $(9) million in 2019, and zero in 2018.</w:t>
      </w:r>
    </w:p>
    <w:p>
      <w:pPr>
        <w:ind w:left="280" w:hanging="272"/>
        <w:spacing w:after="0" w:line="186" w:lineRule="auto"/>
        <w:tabs>
          <w:tab w:leader="none" w:pos="280" w:val="left"/>
        </w:tabs>
        <w:numPr>
          <w:ilvl w:val="0"/>
          <w:numId w:val="29"/>
        </w:numPr>
        <w:rPr>
          <w:rFonts w:ascii="Arial" w:cs="Arial" w:eastAsia="Arial" w:hAnsi="Arial"/>
          <w:sz w:val="19"/>
          <w:szCs w:val="19"/>
          <w:color w:val="auto"/>
          <w:vertAlign w:val="superscript"/>
        </w:rPr>
      </w:pPr>
      <w:r>
        <w:rPr>
          <w:rFonts w:ascii="Arial" w:cs="Arial" w:eastAsia="Arial" w:hAnsi="Arial"/>
          <w:sz w:val="12"/>
          <w:szCs w:val="12"/>
          <w:color w:val="auto"/>
        </w:rPr>
        <w:t>Includes cost reimbursements, net of $(33) million in 2020, $(8) million in 2019, and zero in 2018.</w:t>
      </w:r>
    </w:p>
    <w:p>
      <w:pPr>
        <w:spacing w:after="0" w:line="147" w:lineRule="exact"/>
        <w:rPr>
          <w:sz w:val="20"/>
          <w:szCs w:val="20"/>
          <w:color w:val="auto"/>
        </w:rPr>
      </w:pPr>
    </w:p>
    <w:p>
      <w:pPr>
        <w:ind w:right="260" w:firstLine="405"/>
        <w:spacing w:after="0" w:line="263" w:lineRule="auto"/>
        <w:rPr>
          <w:sz w:val="20"/>
          <w:szCs w:val="20"/>
          <w:color w:val="auto"/>
        </w:rPr>
      </w:pPr>
      <w:r>
        <w:rPr>
          <w:rFonts w:ascii="Arial" w:cs="Arial" w:eastAsia="Arial" w:hAnsi="Arial"/>
          <w:sz w:val="18"/>
          <w:szCs w:val="18"/>
          <w:color w:val="auto"/>
        </w:rPr>
        <w:t>Segment (losses) profits attributed to operations located outside the U.S. were $(198) million in 2020, $982 million in 2019, and $1,155 million in 2018, including cost reimbursements, net (cost reimbursement revenue, net of reimbursed expenses) outside the U.S. of $(62) million in 2020, $(18) million in 2019, and $(14) million in 2018.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Amortization, and Other</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188"/>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&amp; Canada</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r>
      <w:tr>
        <w:trPr>
          <w:trHeight w:val="186"/>
        </w:trPr>
        <w:tc>
          <w:tcPr>
            <w:tcW w:w="660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192"/>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EMEA</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186"/>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Unallocated corporate and other</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r>
      <w:tr>
        <w:trPr>
          <w:trHeight w:val="208"/>
        </w:trPr>
        <w:tc>
          <w:tcPr>
            <w:tcW w:w="66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188"/>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&amp; Canada</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r>
      <w:tr>
        <w:trPr>
          <w:trHeight w:val="186"/>
        </w:trPr>
        <w:tc>
          <w:tcPr>
            <w:tcW w:w="660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92"/>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EMEA</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r>
      <w:tr>
        <w:trPr>
          <w:trHeight w:val="186"/>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Unallocated corporate and other</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w:t>
            </w:r>
          </w:p>
        </w:tc>
      </w:tr>
      <w:tr>
        <w:trPr>
          <w:trHeight w:val="208"/>
        </w:trPr>
        <w:tc>
          <w:tcPr>
            <w:tcW w:w="66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171" w:lineRule="exact"/>
        <w:rPr>
          <w:sz w:val="20"/>
          <w:szCs w:val="20"/>
          <w:color w:val="auto"/>
        </w:rPr>
      </w:pPr>
    </w:p>
    <w:p>
      <w:pPr>
        <w:jc w:val="both"/>
        <w:ind w:right="80" w:firstLine="405"/>
        <w:spacing w:after="0" w:line="277" w:lineRule="auto"/>
        <w:rPr>
          <w:sz w:val="20"/>
          <w:szCs w:val="20"/>
          <w:color w:val="auto"/>
        </w:rPr>
      </w:pPr>
      <w:r>
        <w:rPr>
          <w:rFonts w:ascii="Arial" w:cs="Arial" w:eastAsia="Arial" w:hAnsi="Arial"/>
          <w:sz w:val="18"/>
          <w:szCs w:val="18"/>
          <w:color w:val="auto"/>
        </w:rPr>
        <w:t>We have equity method investments in entities that own properties for which we provide management services and receive fees. In addition, in some cases we provide loans, preferred equity, or guarantees to these entities.</w:t>
      </w:r>
    </w:p>
    <w:p>
      <w:pPr>
        <w:spacing w:after="0" w:line="116"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following table presents Income Statement data resulting from transactions with these related parties. This table does not include our Financial Statement captions with insignificant related party activity.</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r>
      <w:tr>
        <w:trPr>
          <w:trHeight w:val="188"/>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reimbursement revenue</w:t>
            </w:r>
          </w:p>
        </w:tc>
        <w:tc>
          <w:tcPr>
            <w:tcW w:w="112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center"/>
              <w:ind w:left="108"/>
              <w:spacing w:after="0"/>
              <w:rPr>
                <w:sz w:val="20"/>
                <w:szCs w:val="20"/>
                <w:color w:val="auto"/>
              </w:rPr>
            </w:pPr>
            <w:r>
              <w:rPr>
                <w:rFonts w:ascii="Arial" w:cs="Arial" w:eastAsia="Arial" w:hAnsi="Arial"/>
                <w:sz w:val="14"/>
                <w:szCs w:val="14"/>
                <w:color w:val="auto"/>
                <w:w w:val="85"/>
              </w:rPr>
              <w:t>107</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center"/>
              <w:ind w:left="848"/>
              <w:spacing w:after="0"/>
              <w:rPr>
                <w:sz w:val="20"/>
                <w:szCs w:val="20"/>
                <w:color w:val="auto"/>
              </w:rPr>
            </w:pPr>
            <w:r>
              <w:rPr>
                <w:rFonts w:ascii="Arial" w:cs="Arial" w:eastAsia="Arial" w:hAnsi="Arial"/>
                <w:sz w:val="14"/>
                <w:szCs w:val="14"/>
                <w:color w:val="auto"/>
                <w:w w:val="94"/>
              </w:rPr>
              <w:t>332</w:t>
            </w:r>
          </w:p>
        </w:tc>
      </w:tr>
      <w:tr>
        <w:trPr>
          <w:trHeight w:val="186"/>
        </w:trPr>
        <w:tc>
          <w:tcPr>
            <w:tcW w:w="6060" w:type="dxa"/>
            <w:vAlign w:val="bottom"/>
          </w:tcPr>
          <w:p>
            <w:pPr>
              <w:ind w:left="20"/>
              <w:spacing w:after="0"/>
              <w:rPr>
                <w:sz w:val="20"/>
                <w:szCs w:val="20"/>
                <w:color w:val="auto"/>
              </w:rPr>
            </w:pPr>
            <w:r>
              <w:rPr>
                <w:rFonts w:ascii="Arial" w:cs="Arial" w:eastAsia="Arial" w:hAnsi="Arial"/>
                <w:sz w:val="14"/>
                <w:szCs w:val="14"/>
                <w:color w:val="auto"/>
              </w:rPr>
              <w:t>Reimbursed expenses</w:t>
            </w:r>
          </w:p>
        </w:tc>
        <w:tc>
          <w:tcPr>
            <w:tcW w:w="1120" w:type="dxa"/>
            <w:vAlign w:val="bottom"/>
          </w:tcPr>
          <w:p>
            <w:pPr>
              <w:spacing w:after="0"/>
              <w:rPr>
                <w:sz w:val="16"/>
                <w:szCs w:val="16"/>
                <w:color w:val="auto"/>
              </w:rPr>
            </w:pPr>
          </w:p>
        </w:tc>
        <w:tc>
          <w:tcPr>
            <w:tcW w:w="500" w:type="dxa"/>
            <w:vAlign w:val="bottom"/>
          </w:tcPr>
          <w:p>
            <w:pPr>
              <w:jc w:val="center"/>
              <w:ind w:left="88"/>
              <w:spacing w:after="0"/>
              <w:rPr>
                <w:sz w:val="20"/>
                <w:szCs w:val="20"/>
                <w:color w:val="auto"/>
              </w:rPr>
            </w:pPr>
            <w:r>
              <w:rPr>
                <w:rFonts w:ascii="Arial" w:cs="Arial" w:eastAsia="Arial" w:hAnsi="Arial"/>
                <w:sz w:val="14"/>
                <w:szCs w:val="14"/>
                <w:color w:val="auto"/>
                <w:w w:val="91"/>
              </w:rPr>
              <w:t>(110)</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(236)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center"/>
              <w:ind w:left="828"/>
              <w:spacing w:after="0"/>
              <w:rPr>
                <w:sz w:val="20"/>
                <w:szCs w:val="20"/>
                <w:color w:val="auto"/>
              </w:rPr>
            </w:pPr>
            <w:r>
              <w:rPr>
                <w:rFonts w:ascii="Arial" w:cs="Arial" w:eastAsia="Arial" w:hAnsi="Arial"/>
                <w:sz w:val="14"/>
                <w:szCs w:val="14"/>
                <w:color w:val="auto"/>
                <w:w w:val="97"/>
              </w:rPr>
              <w:t>(337)</w:t>
            </w:r>
          </w:p>
        </w:tc>
      </w:tr>
      <w:tr>
        <w:trPr>
          <w:trHeight w:val="192"/>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earnings</w:t>
            </w:r>
          </w:p>
        </w:tc>
        <w:tc>
          <w:tcPr>
            <w:tcW w:w="1120" w:type="dxa"/>
            <w:vAlign w:val="bottom"/>
            <w:shd w:val="clear" w:color="auto" w:fill="CCEEFF"/>
          </w:tcPr>
          <w:p>
            <w:pPr>
              <w:spacing w:after="0"/>
              <w:rPr>
                <w:sz w:val="16"/>
                <w:szCs w:val="16"/>
                <w:color w:val="auto"/>
              </w:rPr>
            </w:pPr>
          </w:p>
        </w:tc>
        <w:tc>
          <w:tcPr>
            <w:tcW w:w="50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1"/>
              </w:rPr>
              <w:t>(141)</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center"/>
              <w:ind w:left="848"/>
              <w:spacing w:after="0"/>
              <w:rPr>
                <w:sz w:val="20"/>
                <w:szCs w:val="20"/>
                <w:color w:val="auto"/>
              </w:rPr>
            </w:pPr>
            <w:r>
              <w:rPr>
                <w:rFonts w:ascii="Arial" w:cs="Arial" w:eastAsia="Arial" w:hAnsi="Arial"/>
                <w:sz w:val="14"/>
                <w:szCs w:val="14"/>
                <w:color w:val="auto"/>
                <w:w w:val="94"/>
              </w:rPr>
              <w:t>103</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Summarized Financial Information for Investees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summarized financial information for the entities in which we have equity method investments: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r>
      <w:tr>
        <w:trPr>
          <w:trHeight w:val="188"/>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w:t>
            </w:r>
          </w:p>
        </w:tc>
        <w:tc>
          <w:tcPr>
            <w:tcW w:w="2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4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815</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w:t>
            </w:r>
          </w:p>
        </w:tc>
      </w:tr>
      <w:tr>
        <w:trPr>
          <w:trHeight w:val="182"/>
        </w:trPr>
        <w:tc>
          <w:tcPr>
            <w:tcW w:w="606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(212)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221</w:t>
            </w:r>
          </w:p>
        </w:tc>
      </w:tr>
      <w:tr>
        <w:trPr>
          <w:trHeight w:val="379"/>
        </w:trPr>
        <w:tc>
          <w:tcPr>
            <w:tcW w:w="606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rPr>
              <w:t>At Year-End 2020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At Year-End 2019</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8"/>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 (primarily composed of hotel real estate managed by us)</w:t>
            </w: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2,348</w:t>
            </w: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2,555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2"/>
        </w:trPr>
        <w:tc>
          <w:tcPr>
            <w:tcW w:w="606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1,623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1,691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bl>
    <w:p>
      <w:pPr>
        <w:spacing w:after="0" w:line="154"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The carrying amount of our equity method investments was $422 million at year-end 2020 and $577 million at year-end 2019. This value exceeded our share of the book value of the investees’ net assets by $294 million at year-end 2020 and $311 million at year-end 2019, primarily due to the value that we assigned to land, contracts, and buildings owned by the investees.</w:t>
      </w:r>
    </w:p>
    <w:p>
      <w:pPr>
        <w:spacing w:after="0" w:line="130" w:lineRule="exact"/>
        <w:rPr>
          <w:sz w:val="20"/>
          <w:szCs w:val="20"/>
          <w:color w:val="auto"/>
        </w:rPr>
      </w:pPr>
    </w:p>
    <w:p>
      <w:pPr>
        <w:jc w:val="both"/>
        <w:ind w:right="300" w:firstLine="405"/>
        <w:spacing w:after="0" w:line="342" w:lineRule="auto"/>
        <w:rPr>
          <w:sz w:val="20"/>
          <w:szCs w:val="20"/>
          <w:color w:val="auto"/>
        </w:rPr>
      </w:pPr>
      <w:r>
        <w:rPr>
          <w:rFonts w:ascii="Arial" w:cs="Arial" w:eastAsia="Arial" w:hAnsi="Arial"/>
          <w:sz w:val="16"/>
          <w:szCs w:val="16"/>
          <w:color w:val="auto"/>
        </w:rPr>
        <w:t>In 2020, we recorded impairment charges totaling $77 million in the “Equity in (losses) earnings” caption of our Income Statements to reduce the carrying amount of certain investments, primarily due to the impact of COVID-19, most of which we recorded in our U.S. &amp; Canada business segment.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Related Parties</w:t>
      </w:r>
    </w:p>
    <w:p>
      <w:pPr>
        <w:spacing w:after="0" w:line="171" w:lineRule="exact"/>
        <w:rPr>
          <w:sz w:val="20"/>
          <w:szCs w:val="20"/>
          <w:color w:val="auto"/>
        </w:rPr>
      </w:pPr>
    </w:p>
    <w:p>
      <w:pPr>
        <w:jc w:val="both"/>
        <w:ind w:right="380" w:firstLine="405"/>
        <w:spacing w:after="0" w:line="263" w:lineRule="auto"/>
        <w:rPr>
          <w:sz w:val="20"/>
          <w:szCs w:val="20"/>
          <w:color w:val="auto"/>
        </w:rPr>
      </w:pPr>
      <w:r>
        <w:rPr>
          <w:rFonts w:ascii="Arial" w:cs="Arial" w:eastAsia="Arial" w:hAnsi="Arial"/>
          <w:sz w:val="18"/>
          <w:szCs w:val="18"/>
          <w:color w:val="auto"/>
        </w:rPr>
        <w:t>We received management fees of approximately $3 million in 2020, $12 million in 2019, and $13 million in 2018, plus reimbursement of certain expenses, from our operation of properties owned by JWM Family Enterprises, L.P., which is beneficially owned and controlled by J.W. Marriott, Jr., Deborah Marriott Harrison, and other members of the Marriott family.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RELATIONSHIP WITH MAJOR CUSTOMER</w:t>
      </w:r>
    </w:p>
    <w:p>
      <w:pPr>
        <w:spacing w:after="0" w:line="175"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Host Hotels &amp; Resorts, Inc., formerly known as Host Marriott Corporation, and its affiliates (“Host”) owned or leased 59 lodging properties at year-end 2020 and 60 at year-end 2019 that we operated or franchised. Over the last three years, we recognized revenues, including cost reimbursement revenue, of $1,037 million in 2020, $2,406 million in 2019, and $2,542 million in 2018 from those lodging properties, and included those revenues in our U.S. &amp; Canada and Europe, Middle East and Africa reportable business segments, and our Caribbean and Latin America operating segment.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SUPPLEMENTARY DATA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FINANCIAL DATA – 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10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89"/>
              </w:rPr>
              <w:t>2020</w:t>
            </w:r>
          </w:p>
        </w:tc>
        <w:tc>
          <w:tcPr>
            <w:tcW w:w="3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000" w:type="dxa"/>
            <w:vAlign w:val="bottom"/>
          </w:tcPr>
          <w:p>
            <w:pPr>
              <w:jc w:val="right"/>
              <w:ind w:right="68"/>
              <w:spacing w:after="0" w:line="135" w:lineRule="exact"/>
              <w:rPr>
                <w:sz w:val="20"/>
                <w:szCs w:val="20"/>
                <w:color w:val="auto"/>
              </w:rPr>
            </w:pPr>
            <w:r>
              <w:rPr>
                <w:rFonts w:ascii="Arial" w:cs="Arial" w:eastAsia="Arial" w:hAnsi="Arial"/>
                <w:sz w:val="14"/>
                <w:szCs w:val="14"/>
                <w:b w:val="1"/>
                <w:bCs w:val="1"/>
                <w:color w:val="auto"/>
              </w:rPr>
              <w:t>First</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gridSpan w:val="2"/>
          </w:tcPr>
          <w:p>
            <w:pPr>
              <w:jc w:val="center"/>
              <w:ind w:right="600"/>
              <w:spacing w:after="0" w:line="135" w:lineRule="exact"/>
              <w:rPr>
                <w:sz w:val="20"/>
                <w:szCs w:val="20"/>
                <w:color w:val="auto"/>
              </w:rPr>
            </w:pPr>
            <w:r>
              <w:rPr>
                <w:rFonts w:ascii="Arial" w:cs="Arial" w:eastAsia="Arial" w:hAnsi="Arial"/>
                <w:sz w:val="14"/>
                <w:szCs w:val="14"/>
                <w:b w:val="1"/>
                <w:bCs w:val="1"/>
                <w:color w:val="auto"/>
                <w:w w:val="86"/>
              </w:rPr>
              <w:t>Second</w:t>
            </w:r>
          </w:p>
        </w:tc>
        <w:tc>
          <w:tcPr>
            <w:tcW w:w="280" w:type="dxa"/>
            <w:vAlign w:val="bottom"/>
          </w:tcPr>
          <w:p>
            <w:pPr>
              <w:spacing w:after="0"/>
              <w:rPr>
                <w:sz w:val="11"/>
                <w:szCs w:val="11"/>
                <w:color w:val="auto"/>
              </w:rPr>
            </w:pPr>
          </w:p>
        </w:tc>
        <w:tc>
          <w:tcPr>
            <w:tcW w:w="1460" w:type="dxa"/>
            <w:vAlign w:val="bottom"/>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1"/>
                <w:szCs w:val="11"/>
                <w:color w:val="auto"/>
              </w:rPr>
            </w:pPr>
          </w:p>
        </w:tc>
        <w:tc>
          <w:tcPr>
            <w:tcW w:w="1460" w:type="dxa"/>
            <w:vAlign w:val="bottom"/>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w w:val="99"/>
              </w:rPr>
              <w:t>Fourth</w:t>
            </w:r>
          </w:p>
        </w:tc>
        <w:tc>
          <w:tcPr>
            <w:tcW w:w="320" w:type="dxa"/>
            <w:vAlign w:val="bottom"/>
          </w:tcPr>
          <w:p>
            <w:pPr>
              <w:spacing w:after="0"/>
              <w:rPr>
                <w:sz w:val="11"/>
                <w:szCs w:val="11"/>
                <w:color w:val="auto"/>
              </w:rPr>
            </w:pPr>
          </w:p>
        </w:tc>
        <w:tc>
          <w:tcPr>
            <w:tcW w:w="1100" w:type="dxa"/>
            <w:vAlign w:val="bottom"/>
          </w:tcPr>
          <w:p>
            <w:pPr>
              <w:jc w:val="right"/>
              <w:ind w:right="448"/>
              <w:spacing w:after="0" w:line="135" w:lineRule="exact"/>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88"/>
        </w:trPr>
        <w:tc>
          <w:tcPr>
            <w:tcW w:w="28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Quarter</w:t>
            </w: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8"/>
              </w:rPr>
              <w:t>Quarter</w:t>
            </w:r>
          </w:p>
        </w:tc>
        <w:tc>
          <w:tcPr>
            <w:tcW w:w="280" w:type="dxa"/>
            <w:vAlign w:val="bottom"/>
          </w:tcPr>
          <w:p>
            <w:pPr>
              <w:spacing w:after="0"/>
              <w:rPr>
                <w:sz w:val="16"/>
                <w:szCs w:val="16"/>
                <w:color w:val="auto"/>
              </w:rPr>
            </w:pPr>
          </w:p>
        </w:tc>
        <w:tc>
          <w:tcPr>
            <w:tcW w:w="14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8"/>
              </w:rPr>
              <w:t>Quarter</w:t>
            </w:r>
          </w:p>
        </w:tc>
        <w:tc>
          <w:tcPr>
            <w:tcW w:w="260" w:type="dxa"/>
            <w:vAlign w:val="bottom"/>
          </w:tcPr>
          <w:p>
            <w:pPr>
              <w:spacing w:after="0"/>
              <w:rPr>
                <w:sz w:val="16"/>
                <w:szCs w:val="16"/>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8"/>
              </w:rPr>
              <w:t>Quarter</w:t>
            </w:r>
          </w:p>
        </w:tc>
        <w:tc>
          <w:tcPr>
            <w:tcW w:w="320" w:type="dxa"/>
            <w:vAlign w:val="bottom"/>
          </w:tcPr>
          <w:p>
            <w:pPr>
              <w:spacing w:after="0"/>
              <w:rPr>
                <w:sz w:val="16"/>
                <w:szCs w:val="16"/>
                <w:color w:val="auto"/>
              </w:rPr>
            </w:pPr>
          </w:p>
        </w:tc>
        <w:tc>
          <w:tcPr>
            <w:tcW w:w="1100" w:type="dxa"/>
            <w:vAlign w:val="bottom"/>
          </w:tcPr>
          <w:p>
            <w:pPr>
              <w:jc w:val="right"/>
              <w:ind w:right="488"/>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206"/>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1000" w:type="dxa"/>
            <w:vAlign w:val="bottom"/>
            <w:tcBorders>
              <w:top w:val="single" w:sz="8" w:color="auto"/>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4,681</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1,464</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2,254</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2,172</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10,571</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Operating income (loss)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860" w:type="dxa"/>
            <w:vAlign w:val="bottom"/>
            <w:vMerge w:val="continue"/>
          </w:tcPr>
          <w:p>
            <w:pPr>
              <w:spacing w:after="0"/>
              <w:rPr>
                <w:sz w:val="14"/>
                <w:szCs w:val="14"/>
                <w:color w:val="auto"/>
              </w:rPr>
            </w:pP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320" w:type="dxa"/>
            <w:vAlign w:val="bottom"/>
          </w:tcPr>
          <w:p>
            <w:pPr>
              <w:spacing w:after="0"/>
              <w:rPr>
                <w:sz w:val="14"/>
                <w:szCs w:val="14"/>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30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w:t>
            </w:r>
          </w:p>
        </w:tc>
        <w:tc>
          <w:tcPr>
            <w:tcW w:w="32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300" w:type="dxa"/>
            <w:vAlign w:val="bottom"/>
          </w:tcPr>
          <w:p>
            <w:pPr>
              <w:spacing w:after="0"/>
              <w:rPr>
                <w:sz w:val="14"/>
                <w:szCs w:val="1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3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3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 xml:space="preserve">Basic earnings (loss) per share </w:t>
            </w:r>
            <w:r>
              <w:rPr>
                <w:rFonts w:ascii="Arial" w:cs="Arial" w:eastAsia="Arial" w:hAnsi="Arial"/>
                <w:sz w:val="18"/>
                <w:szCs w:val="18"/>
                <w:color w:val="auto"/>
                <w:vertAlign w:val="superscript"/>
              </w:rPr>
              <w:t>(1)</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860" w:type="dxa"/>
            <w:vAlign w:val="bottom"/>
            <w:vMerge w:val="continue"/>
          </w:tcPr>
          <w:p>
            <w:pPr>
              <w:spacing w:after="0"/>
              <w:rPr>
                <w:sz w:val="14"/>
                <w:szCs w:val="14"/>
                <w:color w:val="auto"/>
              </w:rPr>
            </w:pP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0.10</w:t>
            </w:r>
          </w:p>
        </w:tc>
        <w:tc>
          <w:tcPr>
            <w:tcW w:w="320" w:type="dxa"/>
            <w:vAlign w:val="bottom"/>
          </w:tcPr>
          <w:p>
            <w:pPr>
              <w:spacing w:after="0"/>
              <w:rPr>
                <w:sz w:val="14"/>
                <w:szCs w:val="14"/>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(0.72)</w:t>
            </w:r>
          </w:p>
        </w:tc>
        <w:tc>
          <w:tcPr>
            <w:tcW w:w="30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0.31</w:t>
            </w:r>
          </w:p>
        </w:tc>
        <w:tc>
          <w:tcPr>
            <w:tcW w:w="32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(0.50)</w:t>
            </w:r>
          </w:p>
        </w:tc>
        <w:tc>
          <w:tcPr>
            <w:tcW w:w="300" w:type="dxa"/>
            <w:vAlign w:val="bottom"/>
          </w:tcPr>
          <w:p>
            <w:pPr>
              <w:spacing w:after="0"/>
              <w:rPr>
                <w:sz w:val="14"/>
                <w:szCs w:val="1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(0.82)</w:t>
            </w: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86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4"/>
                <w:szCs w:val="14"/>
                <w:color w:val="auto"/>
              </w:rPr>
              <w:t xml:space="preserve">Diluted earnings (loss) per share </w:t>
            </w:r>
            <w:r>
              <w:rPr>
                <w:rFonts w:ascii="Arial" w:cs="Arial" w:eastAsia="Arial" w:hAnsi="Arial"/>
                <w:sz w:val="18"/>
                <w:szCs w:val="18"/>
                <w:color w:val="auto"/>
                <w:vertAlign w:val="superscript"/>
              </w:rPr>
              <w:t>(1)</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3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(0.72)</w:t>
            </w:r>
          </w:p>
        </w:tc>
        <w:tc>
          <w:tcPr>
            <w:tcW w:w="3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(0.50)</w:t>
            </w: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(0.82)</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89"/>
              </w:rPr>
              <w:t>2019</w:t>
            </w:r>
          </w:p>
        </w:tc>
        <w:tc>
          <w:tcPr>
            <w:tcW w:w="3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w w:val="92"/>
              </w:rPr>
              <w:t>First</w:t>
            </w:r>
          </w:p>
        </w:tc>
        <w:tc>
          <w:tcPr>
            <w:tcW w:w="280" w:type="dxa"/>
            <w:vAlign w:val="bottom"/>
          </w:tcPr>
          <w:p>
            <w:pPr>
              <w:spacing w:after="0"/>
              <w:rPr>
                <w:sz w:val="11"/>
                <w:szCs w:val="11"/>
                <w:color w:val="auto"/>
              </w:rPr>
            </w:pPr>
          </w:p>
        </w:tc>
        <w:tc>
          <w:tcPr>
            <w:tcW w:w="1440" w:type="dxa"/>
            <w:vAlign w:val="bottom"/>
            <w:gridSpan w:val="2"/>
          </w:tcPr>
          <w:p>
            <w:pPr>
              <w:jc w:val="center"/>
              <w:ind w:right="600"/>
              <w:spacing w:after="0" w:line="135" w:lineRule="exact"/>
              <w:rPr>
                <w:sz w:val="20"/>
                <w:szCs w:val="20"/>
                <w:color w:val="auto"/>
              </w:rPr>
            </w:pPr>
            <w:r>
              <w:rPr>
                <w:rFonts w:ascii="Arial" w:cs="Arial" w:eastAsia="Arial" w:hAnsi="Arial"/>
                <w:sz w:val="14"/>
                <w:szCs w:val="14"/>
                <w:b w:val="1"/>
                <w:bCs w:val="1"/>
                <w:color w:val="auto"/>
                <w:w w:val="86"/>
              </w:rPr>
              <w:t>Second</w:t>
            </w:r>
          </w:p>
        </w:tc>
        <w:tc>
          <w:tcPr>
            <w:tcW w:w="280" w:type="dxa"/>
            <w:vAlign w:val="bottom"/>
          </w:tcPr>
          <w:p>
            <w:pPr>
              <w:spacing w:after="0"/>
              <w:rPr>
                <w:sz w:val="11"/>
                <w:szCs w:val="11"/>
                <w:color w:val="auto"/>
              </w:rPr>
            </w:pPr>
          </w:p>
        </w:tc>
        <w:tc>
          <w:tcPr>
            <w:tcW w:w="1460" w:type="dxa"/>
            <w:vAlign w:val="bottom"/>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1"/>
                <w:szCs w:val="11"/>
                <w:color w:val="auto"/>
              </w:rPr>
            </w:pPr>
          </w:p>
        </w:tc>
        <w:tc>
          <w:tcPr>
            <w:tcW w:w="1460" w:type="dxa"/>
            <w:vAlign w:val="bottom"/>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w w:val="99"/>
              </w:rPr>
              <w:t>Fourth</w:t>
            </w:r>
          </w:p>
        </w:tc>
        <w:tc>
          <w:tcPr>
            <w:tcW w:w="320" w:type="dxa"/>
            <w:vAlign w:val="bottom"/>
          </w:tcPr>
          <w:p>
            <w:pPr>
              <w:spacing w:after="0"/>
              <w:rPr>
                <w:sz w:val="11"/>
                <w:szCs w:val="11"/>
                <w:color w:val="auto"/>
              </w:rPr>
            </w:pPr>
          </w:p>
        </w:tc>
        <w:tc>
          <w:tcPr>
            <w:tcW w:w="1100" w:type="dxa"/>
            <w:vAlign w:val="bottom"/>
          </w:tcPr>
          <w:p>
            <w:pPr>
              <w:jc w:val="right"/>
              <w:ind w:right="448"/>
              <w:spacing w:after="0" w:line="135" w:lineRule="exact"/>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88"/>
        </w:trPr>
        <w:tc>
          <w:tcPr>
            <w:tcW w:w="2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Quarter</w:t>
            </w:r>
          </w:p>
        </w:tc>
        <w:tc>
          <w:tcPr>
            <w:tcW w:w="280" w:type="dxa"/>
            <w:vAlign w:val="bottom"/>
          </w:tcPr>
          <w:p>
            <w:pPr>
              <w:spacing w:after="0"/>
              <w:rPr>
                <w:sz w:val="16"/>
                <w:szCs w:val="16"/>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8"/>
              </w:rPr>
              <w:t>Quarter</w:t>
            </w:r>
          </w:p>
        </w:tc>
        <w:tc>
          <w:tcPr>
            <w:tcW w:w="280" w:type="dxa"/>
            <w:vAlign w:val="bottom"/>
          </w:tcPr>
          <w:p>
            <w:pPr>
              <w:spacing w:after="0"/>
              <w:rPr>
                <w:sz w:val="16"/>
                <w:szCs w:val="16"/>
                <w:color w:val="auto"/>
              </w:rPr>
            </w:pPr>
          </w:p>
        </w:tc>
        <w:tc>
          <w:tcPr>
            <w:tcW w:w="14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8"/>
              </w:rPr>
              <w:t>Quarter</w:t>
            </w:r>
          </w:p>
        </w:tc>
        <w:tc>
          <w:tcPr>
            <w:tcW w:w="260" w:type="dxa"/>
            <w:vAlign w:val="bottom"/>
          </w:tcPr>
          <w:p>
            <w:pPr>
              <w:spacing w:after="0"/>
              <w:rPr>
                <w:sz w:val="16"/>
                <w:szCs w:val="16"/>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8"/>
              </w:rPr>
              <w:t>Quarter</w:t>
            </w:r>
          </w:p>
        </w:tc>
        <w:tc>
          <w:tcPr>
            <w:tcW w:w="320" w:type="dxa"/>
            <w:vAlign w:val="bottom"/>
          </w:tcPr>
          <w:p>
            <w:pPr>
              <w:spacing w:after="0"/>
              <w:rPr>
                <w:sz w:val="16"/>
                <w:szCs w:val="16"/>
                <w:color w:val="auto"/>
              </w:rPr>
            </w:pPr>
          </w:p>
        </w:tc>
        <w:tc>
          <w:tcPr>
            <w:tcW w:w="1100" w:type="dxa"/>
            <w:vAlign w:val="bottom"/>
          </w:tcPr>
          <w:p>
            <w:pPr>
              <w:jc w:val="right"/>
              <w:ind w:right="488"/>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205"/>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5,012</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5,305</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5,284</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5,371</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20,972</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Operating income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860" w:type="dxa"/>
            <w:vAlign w:val="bottom"/>
            <w:vMerge w:val="continue"/>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w:t>
            </w:r>
          </w:p>
        </w:tc>
        <w:tc>
          <w:tcPr>
            <w:tcW w:w="320" w:type="dxa"/>
            <w:vAlign w:val="bottom"/>
          </w:tcPr>
          <w:p>
            <w:pPr>
              <w:spacing w:after="0"/>
              <w:rPr>
                <w:sz w:val="14"/>
                <w:szCs w:val="14"/>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w:t>
            </w:r>
          </w:p>
        </w:tc>
        <w:tc>
          <w:tcPr>
            <w:tcW w:w="30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w:t>
            </w:r>
          </w:p>
        </w:tc>
        <w:tc>
          <w:tcPr>
            <w:tcW w:w="32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274</w:t>
            </w:r>
          </w:p>
        </w:tc>
        <w:tc>
          <w:tcPr>
            <w:tcW w:w="300" w:type="dxa"/>
            <w:vAlign w:val="bottom"/>
          </w:tcPr>
          <w:p>
            <w:pPr>
              <w:spacing w:after="0"/>
              <w:rPr>
                <w:sz w:val="14"/>
                <w:szCs w:val="1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1,800</w:t>
            </w: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3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3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279</w:t>
            </w: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1,273</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 xml:space="preserve">Basic earnings per share </w:t>
            </w:r>
            <w:r>
              <w:rPr>
                <w:rFonts w:ascii="Arial" w:cs="Arial" w:eastAsia="Arial" w:hAnsi="Arial"/>
                <w:sz w:val="9"/>
                <w:szCs w:val="9"/>
                <w:color w:val="auto"/>
              </w:rPr>
              <w:t>(1)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860" w:type="dxa"/>
            <w:vAlign w:val="bottom"/>
            <w:vMerge w:val="continue"/>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320" w:type="dxa"/>
            <w:vAlign w:val="bottom"/>
          </w:tcPr>
          <w:p>
            <w:pPr>
              <w:spacing w:after="0"/>
              <w:rPr>
                <w:sz w:val="14"/>
                <w:szCs w:val="14"/>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0.70</w:t>
            </w:r>
          </w:p>
        </w:tc>
        <w:tc>
          <w:tcPr>
            <w:tcW w:w="30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32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0.85</w:t>
            </w:r>
          </w:p>
        </w:tc>
        <w:tc>
          <w:tcPr>
            <w:tcW w:w="300" w:type="dxa"/>
            <w:vAlign w:val="bottom"/>
          </w:tcPr>
          <w:p>
            <w:pPr>
              <w:spacing w:after="0"/>
              <w:rPr>
                <w:sz w:val="14"/>
                <w:szCs w:val="1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Diluted earnings per share </w:t>
            </w:r>
            <w:r>
              <w:rPr>
                <w:rFonts w:ascii="Arial" w:cs="Arial" w:eastAsia="Arial" w:hAnsi="Arial"/>
                <w:sz w:val="9"/>
                <w:szCs w:val="9"/>
                <w:color w:val="auto"/>
              </w:rPr>
              <w:t>(1)</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3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0.69</w:t>
            </w:r>
          </w:p>
        </w:tc>
        <w:tc>
          <w:tcPr>
            <w:tcW w:w="3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0.85</w:t>
            </w: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21"/>
          <w:szCs w:val="21"/>
          <w:color w:val="auto"/>
          <w:vertAlign w:val="superscript"/>
        </w:rPr>
      </w:pPr>
      <w:r>
        <w:rPr>
          <w:rFonts w:ascii="Arial" w:cs="Arial" w:eastAsia="Arial" w:hAnsi="Arial"/>
          <w:sz w:val="13"/>
          <w:szCs w:val="13"/>
          <w:color w:val="auto"/>
        </w:rPr>
        <w:t>The sum of the earnings per share for the four quarters may differ from annual earnings per share due to the required method of computing the weighted average shares in interim periods.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7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 evaluated the effectiveness of our disclosure controls and procedures (as such term is defined in Rules 13a-15(e) and 15d-15(e) of the Securities Exchange Act of 1934 (the “Exchange Act”)) as of the end of the period covered by this annual report under the supervision and with the participation of our management, including our Acting Co-Principal Executive Officers and Chief Financial Officer. Management necessarily applied its judgment in assessing the costs and benefits of those controls and procedures, which by their nature, can provide only reasonable assurance about management’s control objectives.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this evaluation, our Acting Co-Principal Executive Officers and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Acting Co-Principal Executive Officers and Chief Financial Officer, as appropriate to allow timely decisions about required disclosure.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171" w:lineRule="exact"/>
        <w:rPr>
          <w:sz w:val="20"/>
          <w:szCs w:val="20"/>
          <w:color w:val="auto"/>
        </w:rPr>
      </w:pPr>
    </w:p>
    <w:p>
      <w:pPr>
        <w:ind w:right="300" w:firstLine="405"/>
        <w:spacing w:after="0" w:line="342" w:lineRule="auto"/>
        <w:rPr>
          <w:sz w:val="20"/>
          <w:szCs w:val="20"/>
          <w:color w:val="auto"/>
        </w:rPr>
      </w:pPr>
      <w:r>
        <w:rPr>
          <w:rFonts w:ascii="Arial" w:cs="Arial" w:eastAsia="Arial" w:hAnsi="Arial"/>
          <w:sz w:val="16"/>
          <w:szCs w:val="16"/>
          <w:color w:val="auto"/>
        </w:rPr>
        <w:t>We have set forth management’s report on internal control over financial reporting and the attestation report of our independent registered public accounting firm on our internal control over financial reporting in Part II, Item 8 of this Form 10-K, and we incorporate those reports here by reference.</w:t>
      </w:r>
    </w:p>
    <w:p>
      <w:pPr>
        <w:spacing w:after="0" w:line="70"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We made no changes in internal control over financial reporting during the fourth quarter of 2020 that materially affected, or are reasonably likely to materially affect, our internal control over financial reporting.</w:t>
      </w:r>
    </w:p>
    <w:p>
      <w:pPr>
        <w:spacing w:after="0" w:line="11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 11, 12, 13, 14.</w:t>
      </w:r>
    </w:p>
    <w:p>
      <w:pPr>
        <w:spacing w:after="0" w:line="175"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As described below, we incorporate by reference in this Annual Report on Form 10-K certain information appearing in the Proxy Statement that we will furnish to our stockholders for our 2021 Annual Meeting of Stockholders.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5740" w:type="dxa"/>
            <w:vAlign w:val="bottom"/>
          </w:tcPr>
          <w:p>
            <w:pPr>
              <w:spacing w:after="0"/>
              <w:rPr>
                <w:sz w:val="20"/>
                <w:szCs w:val="20"/>
                <w:color w:val="auto"/>
              </w:rPr>
            </w:pPr>
          </w:p>
        </w:tc>
      </w:tr>
      <w:tr>
        <w:trPr>
          <w:trHeight w:val="850"/>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w w:val="96"/>
              </w:rPr>
              <w:t>Item 10. Directors, Executive Officers, and Corporate Governance.</w:t>
            </w:r>
          </w:p>
        </w:tc>
        <w:tc>
          <w:tcPr>
            <w:tcW w:w="5740" w:type="dxa"/>
            <w:vAlign w:val="bottom"/>
          </w:tcPr>
          <w:p>
            <w:pPr>
              <w:ind w:left="120"/>
              <w:spacing w:after="0"/>
              <w:rPr>
                <w:sz w:val="20"/>
                <w:szCs w:val="20"/>
                <w:color w:val="auto"/>
              </w:rPr>
            </w:pPr>
            <w:r>
              <w:rPr>
                <w:rFonts w:ascii="Arial" w:cs="Arial" w:eastAsia="Arial" w:hAnsi="Arial"/>
                <w:sz w:val="18"/>
                <w:szCs w:val="18"/>
                <w:color w:val="auto"/>
                <w:w w:val="94"/>
              </w:rPr>
              <w:t>We incorporate this information by reference to “Nominees to our Board of</w:t>
            </w:r>
          </w:p>
        </w:tc>
      </w:tr>
      <w:tr>
        <w:trPr>
          <w:trHeight w:val="176"/>
        </w:trPr>
        <w:tc>
          <w:tcPr>
            <w:tcW w:w="5500" w:type="dxa"/>
            <w:vAlign w:val="bottom"/>
          </w:tcPr>
          <w:p>
            <w:pPr>
              <w:spacing w:after="0"/>
              <w:rPr>
                <w:sz w:val="15"/>
                <w:szCs w:val="15"/>
                <w:color w:val="auto"/>
              </w:rPr>
            </w:pPr>
          </w:p>
        </w:tc>
        <w:tc>
          <w:tcPr>
            <w:tcW w:w="5740" w:type="dxa"/>
            <w:vAlign w:val="bottom"/>
          </w:tcPr>
          <w:p>
            <w:pPr>
              <w:ind w:left="120"/>
              <w:spacing w:after="0" w:line="176" w:lineRule="exact"/>
              <w:rPr>
                <w:sz w:val="20"/>
                <w:szCs w:val="20"/>
                <w:color w:val="auto"/>
              </w:rPr>
            </w:pPr>
            <w:r>
              <w:rPr>
                <w:rFonts w:ascii="Arial" w:cs="Arial" w:eastAsia="Arial" w:hAnsi="Arial"/>
                <w:sz w:val="18"/>
                <w:szCs w:val="18"/>
                <w:color w:val="auto"/>
                <w:w w:val="96"/>
              </w:rPr>
              <w:t>Directors,” “Committees of the Board — Audit Committee,” “Transactions</w:t>
            </w:r>
          </w:p>
        </w:tc>
      </w:tr>
      <w:tr>
        <w:trPr>
          <w:trHeight w:val="175"/>
        </w:trPr>
        <w:tc>
          <w:tcPr>
            <w:tcW w:w="5500" w:type="dxa"/>
            <w:vAlign w:val="bottom"/>
          </w:tcPr>
          <w:p>
            <w:pPr>
              <w:spacing w:after="0"/>
              <w:rPr>
                <w:sz w:val="15"/>
                <w:szCs w:val="15"/>
                <w:color w:val="auto"/>
              </w:rPr>
            </w:pPr>
          </w:p>
        </w:tc>
        <w:tc>
          <w:tcPr>
            <w:tcW w:w="5740" w:type="dxa"/>
            <w:vAlign w:val="bottom"/>
          </w:tcPr>
          <w:p>
            <w:pPr>
              <w:ind w:left="120"/>
              <w:spacing w:after="0" w:line="176" w:lineRule="exact"/>
              <w:rPr>
                <w:sz w:val="20"/>
                <w:szCs w:val="20"/>
                <w:color w:val="auto"/>
              </w:rPr>
            </w:pPr>
            <w:r>
              <w:rPr>
                <w:rFonts w:ascii="Arial" w:cs="Arial" w:eastAsia="Arial" w:hAnsi="Arial"/>
                <w:sz w:val="18"/>
                <w:szCs w:val="18"/>
                <w:color w:val="auto"/>
                <w:w w:val="95"/>
              </w:rPr>
              <w:t>with Related Persons,” “Delinquent Section 16(a) Reports,” and “Selection</w:t>
            </w:r>
          </w:p>
        </w:tc>
      </w:tr>
      <w:tr>
        <w:trPr>
          <w:trHeight w:val="176"/>
        </w:trPr>
        <w:tc>
          <w:tcPr>
            <w:tcW w:w="5500" w:type="dxa"/>
            <w:vAlign w:val="bottom"/>
          </w:tcPr>
          <w:p>
            <w:pPr>
              <w:spacing w:after="0"/>
              <w:rPr>
                <w:sz w:val="15"/>
                <w:szCs w:val="15"/>
                <w:color w:val="auto"/>
              </w:rPr>
            </w:pPr>
          </w:p>
        </w:tc>
        <w:tc>
          <w:tcPr>
            <w:tcW w:w="5740" w:type="dxa"/>
            <w:vAlign w:val="bottom"/>
          </w:tcPr>
          <w:p>
            <w:pPr>
              <w:ind w:left="120"/>
              <w:spacing w:after="0" w:line="176" w:lineRule="exact"/>
              <w:rPr>
                <w:sz w:val="20"/>
                <w:szCs w:val="20"/>
                <w:color w:val="auto"/>
              </w:rPr>
            </w:pPr>
            <w:r>
              <w:rPr>
                <w:rFonts w:ascii="Arial" w:cs="Arial" w:eastAsia="Arial" w:hAnsi="Arial"/>
                <w:sz w:val="18"/>
                <w:szCs w:val="18"/>
                <w:color w:val="auto"/>
                <w:w w:val="95"/>
              </w:rPr>
              <w:t>of Director Nominees” sections of our Proxy Statement. We have included</w:t>
            </w:r>
          </w:p>
        </w:tc>
      </w:tr>
      <w:tr>
        <w:trPr>
          <w:trHeight w:val="230"/>
        </w:trPr>
        <w:tc>
          <w:tcPr>
            <w:tcW w:w="5500" w:type="dxa"/>
            <w:vAlign w:val="bottom"/>
          </w:tcPr>
          <w:p>
            <w:pPr>
              <w:spacing w:after="0"/>
              <w:rPr>
                <w:sz w:val="20"/>
                <w:szCs w:val="20"/>
                <w:color w:val="auto"/>
              </w:rPr>
            </w:pPr>
          </w:p>
        </w:tc>
        <w:tc>
          <w:tcPr>
            <w:tcW w:w="5740" w:type="dxa"/>
            <w:vAlign w:val="bottom"/>
          </w:tcPr>
          <w:p>
            <w:pPr>
              <w:ind w:left="120"/>
              <w:spacing w:after="0"/>
              <w:rPr>
                <w:sz w:val="20"/>
                <w:szCs w:val="20"/>
                <w:color w:val="auto"/>
              </w:rPr>
            </w:pPr>
            <w:r>
              <w:rPr>
                <w:rFonts w:ascii="Arial" w:cs="Arial" w:eastAsia="Arial" w:hAnsi="Arial"/>
                <w:sz w:val="18"/>
                <w:szCs w:val="18"/>
                <w:color w:val="auto"/>
                <w:w w:val="94"/>
              </w:rPr>
              <w:t>information regarding our executive officers and our Code of Ethics below.</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Item 11. Executive Compensation.</w:t>
            </w:r>
          </w:p>
        </w:tc>
        <w:tc>
          <w:tcPr>
            <w:tcW w:w="5740" w:type="dxa"/>
            <w:vAlign w:val="bottom"/>
          </w:tcPr>
          <w:p>
            <w:pPr>
              <w:ind w:left="120"/>
              <w:spacing w:after="0"/>
              <w:rPr>
                <w:sz w:val="20"/>
                <w:szCs w:val="20"/>
                <w:color w:val="auto"/>
              </w:rPr>
            </w:pPr>
            <w:r>
              <w:rPr>
                <w:rFonts w:ascii="Arial" w:cs="Arial" w:eastAsia="Arial" w:hAnsi="Arial"/>
                <w:sz w:val="18"/>
                <w:szCs w:val="18"/>
                <w:color w:val="auto"/>
                <w:w w:val="93"/>
              </w:rPr>
              <w:t>We incorporate this information by reference to the “Executive and Director</w:t>
            </w:r>
          </w:p>
        </w:tc>
      </w:tr>
      <w:tr>
        <w:trPr>
          <w:trHeight w:val="175"/>
        </w:trPr>
        <w:tc>
          <w:tcPr>
            <w:tcW w:w="5500" w:type="dxa"/>
            <w:vAlign w:val="bottom"/>
          </w:tcPr>
          <w:p>
            <w:pPr>
              <w:spacing w:after="0"/>
              <w:rPr>
                <w:sz w:val="15"/>
                <w:szCs w:val="15"/>
                <w:color w:val="auto"/>
              </w:rPr>
            </w:pPr>
          </w:p>
        </w:tc>
        <w:tc>
          <w:tcPr>
            <w:tcW w:w="5740" w:type="dxa"/>
            <w:vAlign w:val="bottom"/>
          </w:tcPr>
          <w:p>
            <w:pPr>
              <w:ind w:left="120"/>
              <w:spacing w:after="0" w:line="176" w:lineRule="exact"/>
              <w:rPr>
                <w:sz w:val="20"/>
                <w:szCs w:val="20"/>
                <w:color w:val="auto"/>
              </w:rPr>
            </w:pPr>
            <w:r>
              <w:rPr>
                <w:rFonts w:ascii="Arial" w:cs="Arial" w:eastAsia="Arial" w:hAnsi="Arial"/>
                <w:sz w:val="18"/>
                <w:szCs w:val="18"/>
                <w:color w:val="auto"/>
              </w:rPr>
              <w:t>Compensation” and “Compensation Committee Interlocks and Insider</w:t>
            </w:r>
          </w:p>
        </w:tc>
      </w:tr>
      <w:tr>
        <w:trPr>
          <w:trHeight w:val="230"/>
        </w:trPr>
        <w:tc>
          <w:tcPr>
            <w:tcW w:w="5500" w:type="dxa"/>
            <w:vAlign w:val="bottom"/>
          </w:tcPr>
          <w:p>
            <w:pPr>
              <w:spacing w:after="0"/>
              <w:rPr>
                <w:sz w:val="20"/>
                <w:szCs w:val="20"/>
                <w:color w:val="auto"/>
              </w:rPr>
            </w:pPr>
          </w:p>
        </w:tc>
        <w:tc>
          <w:tcPr>
            <w:tcW w:w="5740" w:type="dxa"/>
            <w:vAlign w:val="bottom"/>
          </w:tcPr>
          <w:p>
            <w:pPr>
              <w:ind w:left="120"/>
              <w:spacing w:after="0"/>
              <w:rPr>
                <w:sz w:val="20"/>
                <w:szCs w:val="20"/>
                <w:color w:val="auto"/>
              </w:rPr>
            </w:pPr>
            <w:r>
              <w:rPr>
                <w:rFonts w:ascii="Arial" w:cs="Arial" w:eastAsia="Arial" w:hAnsi="Arial"/>
                <w:sz w:val="18"/>
                <w:szCs w:val="18"/>
                <w:color w:val="auto"/>
              </w:rPr>
              <w:t>Participation” sections of our Proxy Statement.</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Item 12. Security Ownership of Certain Beneficial Owners and</w:t>
            </w:r>
          </w:p>
        </w:tc>
        <w:tc>
          <w:tcPr>
            <w:tcW w:w="5740" w:type="dxa"/>
            <w:vAlign w:val="bottom"/>
          </w:tcPr>
          <w:p>
            <w:pPr>
              <w:ind w:left="120"/>
              <w:spacing w:after="0"/>
              <w:rPr>
                <w:sz w:val="20"/>
                <w:szCs w:val="20"/>
                <w:color w:val="auto"/>
              </w:rPr>
            </w:pPr>
            <w:r>
              <w:rPr>
                <w:rFonts w:ascii="Arial" w:cs="Arial" w:eastAsia="Arial" w:hAnsi="Arial"/>
                <w:sz w:val="18"/>
                <w:szCs w:val="18"/>
                <w:color w:val="auto"/>
                <w:w w:val="95"/>
              </w:rPr>
              <w:t>We incorporate this information by reference to the “Securities Authorized</w:t>
            </w:r>
          </w:p>
        </w:tc>
      </w:tr>
      <w:tr>
        <w:trPr>
          <w:trHeight w:val="176"/>
        </w:trPr>
        <w:tc>
          <w:tcPr>
            <w:tcW w:w="550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Management and Related Stockholder Matters.</w:t>
            </w:r>
          </w:p>
        </w:tc>
        <w:tc>
          <w:tcPr>
            <w:tcW w:w="5740" w:type="dxa"/>
            <w:vAlign w:val="bottom"/>
          </w:tcPr>
          <w:p>
            <w:pPr>
              <w:ind w:left="120"/>
              <w:spacing w:after="0" w:line="176" w:lineRule="exact"/>
              <w:rPr>
                <w:sz w:val="20"/>
                <w:szCs w:val="20"/>
                <w:color w:val="auto"/>
              </w:rPr>
            </w:pPr>
            <w:r>
              <w:rPr>
                <w:rFonts w:ascii="Arial" w:cs="Arial" w:eastAsia="Arial" w:hAnsi="Arial"/>
                <w:sz w:val="18"/>
                <w:szCs w:val="18"/>
                <w:color w:val="auto"/>
                <w:w w:val="92"/>
              </w:rPr>
              <w:t>for Issuance Under Equity Compensation Plans” and the “Stock Ownership”</w:t>
            </w:r>
          </w:p>
        </w:tc>
      </w:tr>
      <w:tr>
        <w:trPr>
          <w:trHeight w:val="230"/>
        </w:trPr>
        <w:tc>
          <w:tcPr>
            <w:tcW w:w="5500" w:type="dxa"/>
            <w:vAlign w:val="bottom"/>
          </w:tcPr>
          <w:p>
            <w:pPr>
              <w:spacing w:after="0"/>
              <w:rPr>
                <w:sz w:val="20"/>
                <w:szCs w:val="20"/>
                <w:color w:val="auto"/>
              </w:rPr>
            </w:pPr>
          </w:p>
        </w:tc>
        <w:tc>
          <w:tcPr>
            <w:tcW w:w="5740" w:type="dxa"/>
            <w:vAlign w:val="bottom"/>
          </w:tcPr>
          <w:p>
            <w:pPr>
              <w:ind w:left="120"/>
              <w:spacing w:after="0"/>
              <w:rPr>
                <w:sz w:val="20"/>
                <w:szCs w:val="20"/>
                <w:color w:val="auto"/>
              </w:rPr>
            </w:pPr>
            <w:r>
              <w:rPr>
                <w:rFonts w:ascii="Arial" w:cs="Arial" w:eastAsia="Arial" w:hAnsi="Arial"/>
                <w:sz w:val="18"/>
                <w:szCs w:val="18"/>
                <w:color w:val="auto"/>
              </w:rPr>
              <w:t>sections of our Proxy Statement.</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w w:val="91"/>
              </w:rPr>
              <w:t>Item 13. Certain Relationships and Related Transactions, and Director</w:t>
            </w:r>
          </w:p>
        </w:tc>
        <w:tc>
          <w:tcPr>
            <w:tcW w:w="5740" w:type="dxa"/>
            <w:vAlign w:val="bottom"/>
          </w:tcPr>
          <w:p>
            <w:pPr>
              <w:ind w:left="120"/>
              <w:spacing w:after="0"/>
              <w:rPr>
                <w:sz w:val="20"/>
                <w:szCs w:val="20"/>
                <w:color w:val="auto"/>
              </w:rPr>
            </w:pPr>
            <w:r>
              <w:rPr>
                <w:rFonts w:ascii="Arial" w:cs="Arial" w:eastAsia="Arial" w:hAnsi="Arial"/>
                <w:sz w:val="18"/>
                <w:szCs w:val="18"/>
                <w:color w:val="auto"/>
              </w:rPr>
              <w:t>We incorporate this information by reference to the “Transactions with</w:t>
            </w:r>
          </w:p>
        </w:tc>
      </w:tr>
      <w:tr>
        <w:trPr>
          <w:trHeight w:val="176"/>
        </w:trPr>
        <w:tc>
          <w:tcPr>
            <w:tcW w:w="550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Independence.</w:t>
            </w:r>
          </w:p>
        </w:tc>
        <w:tc>
          <w:tcPr>
            <w:tcW w:w="5740" w:type="dxa"/>
            <w:vAlign w:val="bottom"/>
          </w:tcPr>
          <w:p>
            <w:pPr>
              <w:ind w:left="120"/>
              <w:spacing w:after="0" w:line="176" w:lineRule="exact"/>
              <w:rPr>
                <w:sz w:val="20"/>
                <w:szCs w:val="20"/>
                <w:color w:val="auto"/>
              </w:rPr>
            </w:pPr>
            <w:r>
              <w:rPr>
                <w:rFonts w:ascii="Arial" w:cs="Arial" w:eastAsia="Arial" w:hAnsi="Arial"/>
                <w:sz w:val="18"/>
                <w:szCs w:val="18"/>
                <w:color w:val="auto"/>
              </w:rPr>
              <w:t>Related Persons” and “Director Independence” sections of our Proxy</w:t>
            </w:r>
          </w:p>
        </w:tc>
      </w:tr>
      <w:tr>
        <w:trPr>
          <w:trHeight w:val="230"/>
        </w:trPr>
        <w:tc>
          <w:tcPr>
            <w:tcW w:w="5500" w:type="dxa"/>
            <w:vAlign w:val="bottom"/>
          </w:tcPr>
          <w:p>
            <w:pPr>
              <w:spacing w:after="0"/>
              <w:rPr>
                <w:sz w:val="20"/>
                <w:szCs w:val="20"/>
                <w:color w:val="auto"/>
              </w:rPr>
            </w:pPr>
          </w:p>
        </w:tc>
        <w:tc>
          <w:tcPr>
            <w:tcW w:w="5740" w:type="dxa"/>
            <w:vAlign w:val="bottom"/>
          </w:tcPr>
          <w:p>
            <w:pPr>
              <w:ind w:left="120"/>
              <w:spacing w:after="0"/>
              <w:rPr>
                <w:sz w:val="20"/>
                <w:szCs w:val="20"/>
                <w:color w:val="auto"/>
              </w:rPr>
            </w:pPr>
            <w:r>
              <w:rPr>
                <w:rFonts w:ascii="Arial" w:cs="Arial" w:eastAsia="Arial" w:hAnsi="Arial"/>
                <w:sz w:val="18"/>
                <w:szCs w:val="18"/>
                <w:color w:val="auto"/>
              </w:rPr>
              <w:t>Statement.</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Item 14. Principal Accountant Fees and Services.</w:t>
            </w:r>
          </w:p>
        </w:tc>
        <w:tc>
          <w:tcPr>
            <w:tcW w:w="5740" w:type="dxa"/>
            <w:vAlign w:val="bottom"/>
          </w:tcPr>
          <w:p>
            <w:pPr>
              <w:ind w:left="120"/>
              <w:spacing w:after="0"/>
              <w:rPr>
                <w:sz w:val="20"/>
                <w:szCs w:val="20"/>
                <w:color w:val="auto"/>
              </w:rPr>
            </w:pPr>
            <w:r>
              <w:rPr>
                <w:rFonts w:ascii="Arial" w:cs="Arial" w:eastAsia="Arial" w:hAnsi="Arial"/>
                <w:sz w:val="18"/>
                <w:szCs w:val="18"/>
                <w:color w:val="auto"/>
                <w:w w:val="92"/>
              </w:rPr>
              <w:t>We incorporate this information by reference to the “Independent Registered</w:t>
            </w:r>
          </w:p>
        </w:tc>
      </w:tr>
      <w:tr>
        <w:trPr>
          <w:trHeight w:val="175"/>
        </w:trPr>
        <w:tc>
          <w:tcPr>
            <w:tcW w:w="5500" w:type="dxa"/>
            <w:vAlign w:val="bottom"/>
          </w:tcPr>
          <w:p>
            <w:pPr>
              <w:spacing w:after="0"/>
              <w:rPr>
                <w:sz w:val="15"/>
                <w:szCs w:val="15"/>
                <w:color w:val="auto"/>
              </w:rPr>
            </w:pPr>
          </w:p>
        </w:tc>
        <w:tc>
          <w:tcPr>
            <w:tcW w:w="5740" w:type="dxa"/>
            <w:vAlign w:val="bottom"/>
          </w:tcPr>
          <w:p>
            <w:pPr>
              <w:ind w:left="120"/>
              <w:spacing w:after="0" w:line="176" w:lineRule="exact"/>
              <w:rPr>
                <w:sz w:val="20"/>
                <w:szCs w:val="20"/>
                <w:color w:val="auto"/>
              </w:rPr>
            </w:pPr>
            <w:r>
              <w:rPr>
                <w:rFonts w:ascii="Arial" w:cs="Arial" w:eastAsia="Arial" w:hAnsi="Arial"/>
                <w:sz w:val="18"/>
                <w:szCs w:val="18"/>
                <w:color w:val="auto"/>
              </w:rPr>
              <w:t>Public Accounting Firm Fee Disclosure” and the “Pre-Approval of</w:t>
            </w:r>
          </w:p>
        </w:tc>
      </w:tr>
      <w:tr>
        <w:trPr>
          <w:trHeight w:val="176"/>
        </w:trPr>
        <w:tc>
          <w:tcPr>
            <w:tcW w:w="5500" w:type="dxa"/>
            <w:vAlign w:val="bottom"/>
          </w:tcPr>
          <w:p>
            <w:pPr>
              <w:spacing w:after="0"/>
              <w:rPr>
                <w:sz w:val="15"/>
                <w:szCs w:val="15"/>
                <w:color w:val="auto"/>
              </w:rPr>
            </w:pPr>
          </w:p>
        </w:tc>
        <w:tc>
          <w:tcPr>
            <w:tcW w:w="5740" w:type="dxa"/>
            <w:vAlign w:val="bottom"/>
          </w:tcPr>
          <w:p>
            <w:pPr>
              <w:ind w:left="120"/>
              <w:spacing w:after="0" w:line="176" w:lineRule="exact"/>
              <w:rPr>
                <w:sz w:val="20"/>
                <w:szCs w:val="20"/>
                <w:color w:val="auto"/>
              </w:rPr>
            </w:pPr>
            <w:r>
              <w:rPr>
                <w:rFonts w:ascii="Arial" w:cs="Arial" w:eastAsia="Arial" w:hAnsi="Arial"/>
                <w:sz w:val="18"/>
                <w:szCs w:val="18"/>
                <w:color w:val="auto"/>
              </w:rPr>
              <w:t>Independent Auditor Fees and Services Policy” sections of our Proxy</w:t>
            </w:r>
          </w:p>
        </w:tc>
      </w:tr>
      <w:tr>
        <w:trPr>
          <w:trHeight w:val="230"/>
        </w:trPr>
        <w:tc>
          <w:tcPr>
            <w:tcW w:w="5500" w:type="dxa"/>
            <w:vAlign w:val="bottom"/>
          </w:tcPr>
          <w:p>
            <w:pPr>
              <w:spacing w:after="0"/>
              <w:rPr>
                <w:sz w:val="20"/>
                <w:szCs w:val="20"/>
                <w:color w:val="auto"/>
              </w:rPr>
            </w:pPr>
          </w:p>
        </w:tc>
        <w:tc>
          <w:tcPr>
            <w:tcW w:w="5740" w:type="dxa"/>
            <w:vAlign w:val="bottom"/>
          </w:tcPr>
          <w:p>
            <w:pPr>
              <w:ind w:left="120"/>
              <w:spacing w:after="0"/>
              <w:rPr>
                <w:sz w:val="20"/>
                <w:szCs w:val="20"/>
                <w:color w:val="auto"/>
              </w:rPr>
            </w:pPr>
            <w:r>
              <w:rPr>
                <w:rFonts w:ascii="Arial" w:cs="Arial" w:eastAsia="Arial" w:hAnsi="Arial"/>
                <w:sz w:val="18"/>
                <w:szCs w:val="18"/>
                <w:color w:val="auto"/>
              </w:rPr>
              <w:t>Statement.</w:t>
            </w:r>
          </w:p>
        </w:tc>
      </w:tr>
      <w:tr>
        <w:trPr>
          <w:trHeight w:val="850"/>
        </w:trPr>
        <w:tc>
          <w:tcPr>
            <w:tcW w:w="5500" w:type="dxa"/>
            <w:vAlign w:val="bottom"/>
          </w:tcPr>
          <w:p>
            <w:pPr>
              <w:spacing w:after="0"/>
              <w:rPr>
                <w:sz w:val="24"/>
                <w:szCs w:val="24"/>
                <w:color w:val="auto"/>
              </w:rPr>
            </w:pPr>
          </w:p>
        </w:tc>
        <w:tc>
          <w:tcPr>
            <w:tcW w:w="5740" w:type="dxa"/>
            <w:vAlign w:val="bottom"/>
          </w:tcPr>
          <w:p>
            <w:pPr>
              <w:ind w:left="40"/>
              <w:spacing w:after="0"/>
              <w:rPr>
                <w:sz w:val="20"/>
                <w:szCs w:val="20"/>
                <w:color w:val="auto"/>
              </w:rPr>
            </w:pPr>
            <w:r>
              <w:rPr>
                <w:rFonts w:ascii="Arial" w:cs="Arial" w:eastAsia="Arial" w:hAnsi="Arial"/>
                <w:sz w:val="18"/>
                <w:szCs w:val="18"/>
                <w:color w:val="auto"/>
              </w:rPr>
              <w:t>78</w:t>
            </w:r>
          </w:p>
        </w:tc>
      </w:tr>
      <w:tr>
        <w:trPr>
          <w:trHeight w:val="115"/>
        </w:trPr>
        <w:tc>
          <w:tcPr>
            <w:tcW w:w="5500" w:type="dxa"/>
            <w:vAlign w:val="bottom"/>
            <w:tcBorders>
              <w:bottom w:val="single" w:sz="8" w:color="9A9A9A"/>
            </w:tcBorders>
          </w:tcPr>
          <w:p>
            <w:pPr>
              <w:spacing w:after="0"/>
              <w:rPr>
                <w:sz w:val="10"/>
                <w:szCs w:val="10"/>
                <w:color w:val="auto"/>
              </w:rPr>
            </w:pPr>
          </w:p>
        </w:tc>
        <w:tc>
          <w:tcPr>
            <w:tcW w:w="5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include below certain information on our executive officers. This information is as of February 16, 2021, except where indicated.</w:t>
      </w:r>
    </w:p>
    <w:p>
      <w:pPr>
        <w:spacing w:after="0" w:line="171" w:lineRule="exact"/>
        <w:rPr>
          <w:sz w:val="20"/>
          <w:szCs w:val="20"/>
          <w:color w:val="auto"/>
        </w:rPr>
      </w:pPr>
    </w:p>
    <w:p>
      <w:pPr>
        <w:ind w:right="280" w:firstLine="445"/>
        <w:spacing w:after="0" w:line="257" w:lineRule="auto"/>
        <w:rPr>
          <w:sz w:val="20"/>
          <w:szCs w:val="20"/>
          <w:color w:val="auto"/>
        </w:rPr>
      </w:pPr>
      <w:r>
        <w:rPr>
          <w:rFonts w:ascii="Arial" w:cs="Arial" w:eastAsia="Arial" w:hAnsi="Arial"/>
          <w:sz w:val="17"/>
          <w:szCs w:val="17"/>
          <w:color w:val="auto"/>
        </w:rPr>
        <w:t>On February 16, 2021, the Company announced that Arne M. Sorenson, President and Chief Executive Officer, unexpectedly passed away on February 15, 2021. On February 2, 2021, the Company announced that Mr. Sorenson would step back from full-time management to facilitate more demanding treatment for pancreatic cancer. At that time, Stephanie Linnartz, Group President, Consumer Operations, Technology and Emerging Businesses, and Anthony G. Capuano, Group President, Global Development, Design and Operations Services, began jointly overseeing the day-to-day operations of the Company’s business units and corporate functions. Ms. Linnartz and Mr. Capuano are expected to continue in this capacity until Marriott’s Board of Directors appoints a new President and Chief Executive Officer.</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gridSpan w:val="2"/>
          </w:tcPr>
          <w:p>
            <w:pPr>
              <w:ind w:left="1360"/>
              <w:spacing w:after="0"/>
              <w:rPr>
                <w:sz w:val="20"/>
                <w:szCs w:val="20"/>
                <w:color w:val="auto"/>
              </w:rPr>
            </w:pPr>
            <w:r>
              <w:rPr>
                <w:rFonts w:ascii="Arial" w:cs="Arial" w:eastAsia="Arial" w:hAnsi="Arial"/>
                <w:sz w:val="14"/>
                <w:szCs w:val="14"/>
                <w:b w:val="1"/>
                <w:bCs w:val="1"/>
                <w:color w:val="auto"/>
              </w:rPr>
              <w:t>Name and Title</w:t>
            </w:r>
          </w:p>
        </w:tc>
        <w:tc>
          <w:tcPr>
            <w:tcW w:w="560" w:type="dxa"/>
            <w:vAlign w:val="bottom"/>
            <w:gridSpan w:val="2"/>
          </w:tcPr>
          <w:p>
            <w:pPr>
              <w:ind w:left="100"/>
              <w:spacing w:after="0"/>
              <w:rPr>
                <w:sz w:val="20"/>
                <w:szCs w:val="20"/>
                <w:color w:val="auto"/>
              </w:rPr>
            </w:pPr>
            <w:r>
              <w:rPr>
                <w:rFonts w:ascii="Arial" w:cs="Arial" w:eastAsia="Arial" w:hAnsi="Arial"/>
                <w:sz w:val="14"/>
                <w:szCs w:val="14"/>
                <w:b w:val="1"/>
                <w:bCs w:val="1"/>
                <w:color w:val="auto"/>
              </w:rPr>
              <w:t>Age</w:t>
            </w:r>
          </w:p>
        </w:tc>
        <w:tc>
          <w:tcPr>
            <w:tcW w:w="6860" w:type="dxa"/>
            <w:vAlign w:val="bottom"/>
          </w:tcPr>
          <w:p>
            <w:pPr>
              <w:ind w:left="2800"/>
              <w:spacing w:after="0"/>
              <w:rPr>
                <w:sz w:val="20"/>
                <w:szCs w:val="20"/>
                <w:color w:val="auto"/>
              </w:rPr>
            </w:pPr>
            <w:r>
              <w:rPr>
                <w:rFonts w:ascii="Arial" w:cs="Arial" w:eastAsia="Arial" w:hAnsi="Arial"/>
                <w:sz w:val="14"/>
                <w:szCs w:val="14"/>
                <w:b w:val="1"/>
                <w:bCs w:val="1"/>
                <w:color w:val="auto"/>
              </w:rPr>
              <w:t>Business Experience</w:t>
            </w:r>
          </w:p>
        </w:tc>
      </w:tr>
      <w:tr>
        <w:trPr>
          <w:trHeight w:val="175"/>
        </w:trPr>
        <w:tc>
          <w:tcPr>
            <w:tcW w:w="3660" w:type="dxa"/>
            <w:vAlign w:val="bottom"/>
            <w:tcBorders>
              <w:top w:val="single" w:sz="8" w:color="auto"/>
            </w:tcBorders>
          </w:tcPr>
          <w:p>
            <w:pPr>
              <w:ind w:left="20"/>
              <w:spacing w:after="0" w:line="175" w:lineRule="exact"/>
              <w:rPr>
                <w:sz w:val="20"/>
                <w:szCs w:val="20"/>
                <w:color w:val="auto"/>
              </w:rPr>
            </w:pPr>
            <w:r>
              <w:rPr>
                <w:rFonts w:ascii="Arial" w:cs="Arial" w:eastAsia="Arial" w:hAnsi="Arial"/>
                <w:sz w:val="18"/>
                <w:szCs w:val="18"/>
                <w:color w:val="auto"/>
              </w:rPr>
              <w:t>J.W. Marriott, Jr.</w:t>
            </w:r>
          </w:p>
        </w:tc>
        <w:tc>
          <w:tcPr>
            <w:tcW w:w="120" w:type="dxa"/>
            <w:vAlign w:val="bottom"/>
          </w:tcPr>
          <w:p>
            <w:pPr>
              <w:spacing w:after="0"/>
              <w:rPr>
                <w:sz w:val="15"/>
                <w:szCs w:val="15"/>
                <w:color w:val="auto"/>
              </w:rPr>
            </w:pPr>
          </w:p>
        </w:tc>
        <w:tc>
          <w:tcPr>
            <w:tcW w:w="460" w:type="dxa"/>
            <w:vAlign w:val="bottom"/>
            <w:tcBorders>
              <w:top w:val="single" w:sz="8" w:color="auto"/>
            </w:tcBorders>
          </w:tcPr>
          <w:p>
            <w:pPr>
              <w:ind w:left="200"/>
              <w:spacing w:after="0" w:line="175" w:lineRule="exact"/>
              <w:rPr>
                <w:sz w:val="20"/>
                <w:szCs w:val="20"/>
                <w:color w:val="auto"/>
              </w:rPr>
            </w:pPr>
            <w:r>
              <w:rPr>
                <w:rFonts w:ascii="Arial" w:cs="Arial" w:eastAsia="Arial" w:hAnsi="Arial"/>
                <w:sz w:val="18"/>
                <w:szCs w:val="18"/>
                <w:color w:val="auto"/>
              </w:rPr>
              <w:t>88</w:t>
            </w:r>
          </w:p>
        </w:tc>
        <w:tc>
          <w:tcPr>
            <w:tcW w:w="100" w:type="dxa"/>
            <w:vAlign w:val="bottom"/>
          </w:tcPr>
          <w:p>
            <w:pPr>
              <w:spacing w:after="0"/>
              <w:rPr>
                <w:sz w:val="15"/>
                <w:szCs w:val="15"/>
                <w:color w:val="auto"/>
              </w:rPr>
            </w:pPr>
          </w:p>
        </w:tc>
        <w:tc>
          <w:tcPr>
            <w:tcW w:w="6860" w:type="dxa"/>
            <w:vAlign w:val="bottom"/>
            <w:tcBorders>
              <w:top w:val="single" w:sz="8" w:color="auto"/>
            </w:tcBorders>
          </w:tcPr>
          <w:p>
            <w:pPr>
              <w:ind w:left="20"/>
              <w:spacing w:after="0" w:line="175" w:lineRule="exact"/>
              <w:rPr>
                <w:sz w:val="20"/>
                <w:szCs w:val="20"/>
                <w:color w:val="auto"/>
              </w:rPr>
            </w:pPr>
            <w:r>
              <w:rPr>
                <w:rFonts w:ascii="Arial" w:cs="Arial" w:eastAsia="Arial" w:hAnsi="Arial"/>
                <w:sz w:val="18"/>
                <w:szCs w:val="18"/>
                <w:color w:val="auto"/>
              </w:rPr>
              <w:t>J.W. Marriott, Jr. was elected Executive Chairman effective March 31, 2012, having</w:t>
            </w:r>
          </w:p>
        </w:tc>
      </w:tr>
      <w:tr>
        <w:trPr>
          <w:trHeight w:val="176"/>
        </w:trPr>
        <w:tc>
          <w:tcPr>
            <w:tcW w:w="3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Executive Chairman and</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3"/>
              </w:rPr>
              <w:t>relinquished his position as Chief Executive Officer. He served as Chief Executive Officer of</w:t>
            </w:r>
          </w:p>
        </w:tc>
      </w:tr>
      <w:tr>
        <w:trPr>
          <w:trHeight w:val="175"/>
        </w:trPr>
        <w:tc>
          <w:tcPr>
            <w:tcW w:w="3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Chairman of the Board</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1"/>
              </w:rPr>
              <w:t>the Company and its predecessors since 1972. He joined Marriott in 1956, became President</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3"/>
              </w:rPr>
              <w:t>and a Director in 1964, Chief Executive Officer in 1972, and Chairman of the Board in 1985.</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3"/>
              </w:rPr>
              <w:t>Mr. Marriott serves on the Board of Trustees of The J. Willard &amp; Alice S. Marriott Foundation</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2"/>
              </w:rPr>
              <w:t>and the Executive Committee of the World Travel &amp; Tourism Council. Mr. Marriott has served</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89"/>
              </w:rPr>
              <w:t>as a Director of the Company and its predecessors since 1964. He holds a Bachelor of Science</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2"/>
              </w:rPr>
              <w:t>degree in Banking and Finance from the University of Utah. Mr. Marriott plans to transition to</w:t>
            </w: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60" w:type="dxa"/>
            <w:vAlign w:val="bottom"/>
          </w:tcPr>
          <w:p>
            <w:pPr>
              <w:ind w:left="20"/>
              <w:spacing w:after="0"/>
              <w:rPr>
                <w:sz w:val="20"/>
                <w:szCs w:val="20"/>
                <w:color w:val="auto"/>
              </w:rPr>
            </w:pPr>
            <w:r>
              <w:rPr>
                <w:rFonts w:ascii="Arial" w:cs="Arial" w:eastAsia="Arial" w:hAnsi="Arial"/>
                <w:sz w:val="18"/>
                <w:szCs w:val="18"/>
                <w:color w:val="auto"/>
              </w:rPr>
              <w:t>the role of Chairman Emeritus in 2022.</w:t>
            </w:r>
          </w:p>
        </w:tc>
      </w:tr>
      <w:tr>
        <w:trPr>
          <w:trHeight w:val="391"/>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Liam Brown</w:t>
            </w:r>
          </w:p>
        </w:tc>
        <w:tc>
          <w:tcPr>
            <w:tcW w:w="7420" w:type="dxa"/>
            <w:vAlign w:val="bottom"/>
            <w:gridSpan w:val="3"/>
          </w:tcPr>
          <w:p>
            <w:pPr>
              <w:ind w:left="200"/>
              <w:spacing w:after="0"/>
              <w:rPr>
                <w:sz w:val="20"/>
                <w:szCs w:val="20"/>
                <w:color w:val="auto"/>
              </w:rPr>
            </w:pPr>
            <w:r>
              <w:rPr>
                <w:rFonts w:ascii="Arial" w:cs="Arial" w:eastAsia="Arial" w:hAnsi="Arial"/>
                <w:sz w:val="18"/>
                <w:szCs w:val="18"/>
                <w:color w:val="auto"/>
                <w:w w:val="94"/>
              </w:rPr>
              <w:t>60  Liam Brown became Group President, United States and Canada effective in January 2021.</w:t>
            </w:r>
          </w:p>
        </w:tc>
      </w:tr>
      <w:tr>
        <w:trPr>
          <w:trHeight w:val="176"/>
        </w:trPr>
        <w:tc>
          <w:tcPr>
            <w:tcW w:w="3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Group President, United States and Canada</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4"/>
              </w:rPr>
              <w:t>Prior to this role, Mr. Brown served as the President and Managing Director of Europe from</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7"/>
              </w:rPr>
              <w:t>2018 to 2019, followed by Group President of Europe, Middle East &amp; Africa in 2020. Mr.</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3"/>
              </w:rPr>
              <w:t>Brown joined Marriott in 1989 and served as President for Franchising, Owner Services and</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4"/>
              </w:rPr>
              <w:t>Managed by Marriott Select Brands, North America from 2012 to 2018. Other key positions</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6"/>
              </w:rPr>
              <w:t>held by Mr. Brown include Chief Operations Officer for the Americas for Select Service &amp;</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0"/>
              </w:rPr>
              <w:t>Extended Stay Lodging and Owner &amp; Franchise Services, as well as Senior Vice President and</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8"/>
              </w:rPr>
              <w:t>Executive Vice President of Development for Marriott’s Select Service &amp; Extended Stay</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2"/>
              </w:rPr>
              <w:t>lodging products. Mr. Brown also serves on the Board of Directors of the American Hotel and</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rPr>
              <w:t>Lodging Association. He holds a Hotel Diploma and Business Degree from the Dublin</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6"/>
              </w:rPr>
              <w:t>Institute of Technology, Trinity College and earned his Master of Business Administration</w:t>
            </w: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60" w:type="dxa"/>
            <w:vAlign w:val="bottom"/>
          </w:tcPr>
          <w:p>
            <w:pPr>
              <w:ind w:left="20"/>
              <w:spacing w:after="0"/>
              <w:rPr>
                <w:sz w:val="20"/>
                <w:szCs w:val="20"/>
                <w:color w:val="auto"/>
              </w:rPr>
            </w:pPr>
            <w:r>
              <w:rPr>
                <w:rFonts w:ascii="Arial" w:cs="Arial" w:eastAsia="Arial" w:hAnsi="Arial"/>
                <w:sz w:val="18"/>
                <w:szCs w:val="18"/>
                <w:color w:val="auto"/>
              </w:rPr>
              <w:t>from the Robert H. Smith School of Management at the University of Maryland.</w:t>
            </w:r>
          </w:p>
        </w:tc>
      </w:tr>
      <w:tr>
        <w:trPr>
          <w:trHeight w:val="391"/>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Anthony G. Capuano</w:t>
            </w:r>
          </w:p>
        </w:tc>
        <w:tc>
          <w:tcPr>
            <w:tcW w:w="7420" w:type="dxa"/>
            <w:vAlign w:val="bottom"/>
            <w:gridSpan w:val="3"/>
          </w:tcPr>
          <w:p>
            <w:pPr>
              <w:ind w:left="200"/>
              <w:spacing w:after="0"/>
              <w:rPr>
                <w:sz w:val="20"/>
                <w:szCs w:val="20"/>
                <w:color w:val="auto"/>
              </w:rPr>
            </w:pPr>
            <w:r>
              <w:rPr>
                <w:rFonts w:ascii="Arial" w:cs="Arial" w:eastAsia="Arial" w:hAnsi="Arial"/>
                <w:sz w:val="18"/>
                <w:szCs w:val="18"/>
                <w:color w:val="auto"/>
                <w:w w:val="93"/>
              </w:rPr>
              <w:t>55  Anthony G. Capuano became Group President, Global Development, Design and Operations</w:t>
            </w:r>
          </w:p>
        </w:tc>
      </w:tr>
      <w:tr>
        <w:trPr>
          <w:trHeight w:val="175"/>
        </w:trPr>
        <w:tc>
          <w:tcPr>
            <w:tcW w:w="3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Group President, Global Development, Design</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4"/>
              </w:rPr>
              <w:t>Services in January 2020. He is responsible for leading the Company’s global development</w:t>
            </w:r>
          </w:p>
        </w:tc>
      </w:tr>
      <w:tr>
        <w:trPr>
          <w:trHeight w:val="176"/>
        </w:trPr>
        <w:tc>
          <w:tcPr>
            <w:tcW w:w="3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and Operations Services (Acting Co-Principal</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5"/>
              </w:rPr>
              <w:t>and design efforts and oversees the Company’s Global Operations discipline. In February</w:t>
            </w:r>
          </w:p>
        </w:tc>
      </w:tr>
      <w:tr>
        <w:trPr>
          <w:trHeight w:val="175"/>
        </w:trPr>
        <w:tc>
          <w:tcPr>
            <w:tcW w:w="3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Executive Officer)</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5"/>
              </w:rPr>
              <w:t>2021, Mr. Capuano also began to share responsibility with Ms. Linnartz for overseeing the</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1"/>
              </w:rPr>
              <w:t>day-to-day operations of Marriott’s business units and corporate functions, which arrangement</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4"/>
              </w:rPr>
              <w:t>is expected to continue until the Company’s Board of Directors appoints a permanent CEO.</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1"/>
              </w:rPr>
              <w:t>During this time, Mr. Capuano will be overseeing the Company’s U.S. &amp; Canada segment and</w:t>
            </w:r>
          </w:p>
        </w:tc>
      </w:tr>
      <w:tr>
        <w:trPr>
          <w:trHeight w:val="191"/>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60" w:type="dxa"/>
            <w:vAlign w:val="bottom"/>
          </w:tcPr>
          <w:p>
            <w:pPr>
              <w:ind w:left="20"/>
              <w:spacing w:after="0" w:line="191" w:lineRule="exact"/>
              <w:rPr>
                <w:sz w:val="20"/>
                <w:szCs w:val="20"/>
                <w:color w:val="auto"/>
              </w:rPr>
            </w:pPr>
            <w:r>
              <w:rPr>
                <w:rFonts w:ascii="Arial" w:cs="Arial" w:eastAsia="Arial" w:hAnsi="Arial"/>
                <w:sz w:val="18"/>
                <w:szCs w:val="18"/>
                <w:color w:val="auto"/>
                <w:w w:val="93"/>
              </w:rPr>
              <w:t>Finance. Mr. Capuano began his Marriott career in 1995 as part of the Market Planning and</w:t>
            </w:r>
          </w:p>
        </w:tc>
      </w:tr>
    </w:tbl>
    <w:p>
      <w:pPr>
        <w:ind w:left="4360" w:right="20"/>
        <w:spacing w:after="0" w:line="233" w:lineRule="auto"/>
        <w:rPr>
          <w:sz w:val="20"/>
          <w:szCs w:val="20"/>
          <w:color w:val="auto"/>
        </w:rPr>
      </w:pPr>
      <w:r>
        <w:rPr>
          <w:rFonts w:ascii="Arial" w:cs="Arial" w:eastAsia="Arial" w:hAnsi="Arial"/>
          <w:sz w:val="16"/>
          <w:szCs w:val="16"/>
          <w:color w:val="auto"/>
        </w:rPr>
        <w:t>Feasibility team. Between 1997 and 2005, he led Marriott’s full-service development efforts in the Western U.S. &amp; Canada. In early 2008, his responsibilities expanded to include all of U.S. &amp; Canada and the Caribbean and Latin America and he became Executive Vice President and Global Chief Development Officer in 2009. Mr. Capuano began his professional career in Laventhol and Horwath’s Boston-based Leisure Time Advisory Group. He then joined Kenneth Leventhal and Company’s hospitality consulting group in Los Angeles, CA. Mr. Capuano earned his bachelor’s degree in Hotel Administration from Cornell University. He is an active member of the Cornell Hotel Society and a member of The Cornell School of Hotel Administration Dean’s Advisory Board. Mr. Capuano is also a member of the American Hotel and Lodging Association’s Industry Real Estate Financial Advisory Council.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gridSpan w:val="2"/>
          </w:tcPr>
          <w:p>
            <w:pPr>
              <w:ind w:left="1360"/>
              <w:spacing w:after="0"/>
              <w:rPr>
                <w:sz w:val="20"/>
                <w:szCs w:val="20"/>
                <w:color w:val="auto"/>
              </w:rPr>
            </w:pPr>
            <w:r>
              <w:rPr>
                <w:rFonts w:ascii="Arial" w:cs="Arial" w:eastAsia="Arial" w:hAnsi="Arial"/>
                <w:sz w:val="14"/>
                <w:szCs w:val="14"/>
                <w:b w:val="1"/>
                <w:bCs w:val="1"/>
                <w:color w:val="auto"/>
              </w:rPr>
              <w:t>Name and Title</w:t>
            </w:r>
          </w:p>
        </w:tc>
        <w:tc>
          <w:tcPr>
            <w:tcW w:w="560" w:type="dxa"/>
            <w:vAlign w:val="bottom"/>
            <w:gridSpan w:val="2"/>
          </w:tcPr>
          <w:p>
            <w:pPr>
              <w:ind w:left="100"/>
              <w:spacing w:after="0"/>
              <w:rPr>
                <w:sz w:val="20"/>
                <w:szCs w:val="20"/>
                <w:color w:val="auto"/>
              </w:rPr>
            </w:pPr>
            <w:r>
              <w:rPr>
                <w:rFonts w:ascii="Arial" w:cs="Arial" w:eastAsia="Arial" w:hAnsi="Arial"/>
                <w:sz w:val="14"/>
                <w:szCs w:val="14"/>
                <w:b w:val="1"/>
                <w:bCs w:val="1"/>
                <w:color w:val="auto"/>
              </w:rPr>
              <w:t>Age</w:t>
            </w:r>
          </w:p>
        </w:tc>
        <w:tc>
          <w:tcPr>
            <w:tcW w:w="6860" w:type="dxa"/>
            <w:vAlign w:val="bottom"/>
          </w:tcPr>
          <w:p>
            <w:pPr>
              <w:ind w:left="2800"/>
              <w:spacing w:after="0"/>
              <w:rPr>
                <w:sz w:val="20"/>
                <w:szCs w:val="20"/>
                <w:color w:val="auto"/>
              </w:rPr>
            </w:pPr>
            <w:r>
              <w:rPr>
                <w:rFonts w:ascii="Arial" w:cs="Arial" w:eastAsia="Arial" w:hAnsi="Arial"/>
                <w:sz w:val="14"/>
                <w:szCs w:val="14"/>
                <w:b w:val="1"/>
                <w:bCs w:val="1"/>
                <w:color w:val="auto"/>
              </w:rPr>
              <w:t>Business Experience</w:t>
            </w:r>
          </w:p>
        </w:tc>
      </w:tr>
      <w:tr>
        <w:trPr>
          <w:trHeight w:val="175"/>
        </w:trPr>
        <w:tc>
          <w:tcPr>
            <w:tcW w:w="3660" w:type="dxa"/>
            <w:vAlign w:val="bottom"/>
            <w:tcBorders>
              <w:top w:val="single" w:sz="8" w:color="auto"/>
            </w:tcBorders>
          </w:tcPr>
          <w:p>
            <w:pPr>
              <w:ind w:left="20"/>
              <w:spacing w:after="0" w:line="175" w:lineRule="exact"/>
              <w:rPr>
                <w:sz w:val="20"/>
                <w:szCs w:val="20"/>
                <w:color w:val="auto"/>
              </w:rPr>
            </w:pPr>
            <w:r>
              <w:rPr>
                <w:rFonts w:ascii="Arial" w:cs="Arial" w:eastAsia="Arial" w:hAnsi="Arial"/>
                <w:sz w:val="18"/>
                <w:szCs w:val="18"/>
                <w:color w:val="auto"/>
              </w:rPr>
              <w:t>Felitia Lee</w:t>
            </w:r>
          </w:p>
        </w:tc>
        <w:tc>
          <w:tcPr>
            <w:tcW w:w="120" w:type="dxa"/>
            <w:vAlign w:val="bottom"/>
          </w:tcPr>
          <w:p>
            <w:pPr>
              <w:spacing w:after="0"/>
              <w:rPr>
                <w:sz w:val="15"/>
                <w:szCs w:val="15"/>
                <w:color w:val="auto"/>
              </w:rPr>
            </w:pPr>
          </w:p>
        </w:tc>
        <w:tc>
          <w:tcPr>
            <w:tcW w:w="460" w:type="dxa"/>
            <w:vAlign w:val="bottom"/>
            <w:tcBorders>
              <w:top w:val="single" w:sz="8" w:color="auto"/>
            </w:tcBorders>
          </w:tcPr>
          <w:p>
            <w:pPr>
              <w:ind w:left="200"/>
              <w:spacing w:after="0" w:line="175" w:lineRule="exact"/>
              <w:rPr>
                <w:sz w:val="20"/>
                <w:szCs w:val="20"/>
                <w:color w:val="auto"/>
              </w:rPr>
            </w:pPr>
            <w:r>
              <w:rPr>
                <w:rFonts w:ascii="Arial" w:cs="Arial" w:eastAsia="Arial" w:hAnsi="Arial"/>
                <w:sz w:val="18"/>
                <w:szCs w:val="18"/>
                <w:color w:val="auto"/>
              </w:rPr>
              <w:t>59</w:t>
            </w:r>
          </w:p>
        </w:tc>
        <w:tc>
          <w:tcPr>
            <w:tcW w:w="100" w:type="dxa"/>
            <w:vAlign w:val="bottom"/>
          </w:tcPr>
          <w:p>
            <w:pPr>
              <w:spacing w:after="0"/>
              <w:rPr>
                <w:sz w:val="15"/>
                <w:szCs w:val="15"/>
                <w:color w:val="auto"/>
              </w:rPr>
            </w:pPr>
          </w:p>
        </w:tc>
        <w:tc>
          <w:tcPr>
            <w:tcW w:w="6860" w:type="dxa"/>
            <w:vAlign w:val="bottom"/>
            <w:tcBorders>
              <w:top w:val="single" w:sz="8" w:color="auto"/>
            </w:tcBorders>
          </w:tcPr>
          <w:p>
            <w:pPr>
              <w:ind w:left="20"/>
              <w:spacing w:after="0" w:line="175" w:lineRule="exact"/>
              <w:rPr>
                <w:sz w:val="20"/>
                <w:szCs w:val="20"/>
                <w:color w:val="auto"/>
              </w:rPr>
            </w:pPr>
            <w:r>
              <w:rPr>
                <w:rFonts w:ascii="Arial" w:cs="Arial" w:eastAsia="Arial" w:hAnsi="Arial"/>
                <w:sz w:val="18"/>
                <w:szCs w:val="18"/>
                <w:color w:val="auto"/>
              </w:rPr>
              <w:t>Felitia Lee became Marriott’s Controller and Chief Accounting Officer and principal</w:t>
            </w:r>
          </w:p>
        </w:tc>
      </w:tr>
      <w:tr>
        <w:trPr>
          <w:trHeight w:val="175"/>
        </w:trPr>
        <w:tc>
          <w:tcPr>
            <w:tcW w:w="3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Controller and</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6"/>
              </w:rPr>
              <w:t>accounting officer in August 2020, with responsibility for the accounting operations of the</w:t>
            </w:r>
          </w:p>
        </w:tc>
      </w:tr>
      <w:tr>
        <w:trPr>
          <w:trHeight w:val="176"/>
        </w:trPr>
        <w:tc>
          <w:tcPr>
            <w:tcW w:w="3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Chief Accounting Officer</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3"/>
              </w:rPr>
              <w:t>Company including oversight of Financial Reporting &amp; Analysis, Accounting Policy, General</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3"/>
              </w:rPr>
              <w:t>Accounting, Governance, Risk Management (Insurance, Claims, Business Continuity, Fire &amp;</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5"/>
              </w:rPr>
              <w:t>Life Safety), Global Finance Shared Services, and Finance Contract Compliance. Ms. Lee</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9"/>
              </w:rPr>
              <w:t>joined Marriott in May 2020, supporting the management of the Company’s accounting</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2"/>
              </w:rPr>
              <w:t>operations. Prior to joining Marriott, Ms. Lee was the Senior Vice President and Controller for</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7"/>
              </w:rPr>
              <w:t>Kohl’s Corporation, a publicly-traded retailer, since 2018, where she was responsible for</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9"/>
              </w:rPr>
              <w:t>financial reporting, Sarbanes-Oxley processes, capital management, tax planning and</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rPr>
              <w:t>compliance. Prior to joining Kohl’s Corporation, Ms. Lee held numerous positions with</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8"/>
              </w:rPr>
              <w:t>PepsiCo, Inc., a publicly-traded global food and beverage company, culminating in Vice</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4"/>
              </w:rPr>
              <w:t>President and Controller of the Pepsi Beverage Company after the merger of PepsiCo with</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6"/>
              </w:rPr>
              <w:t>two of its largest bottlers in 2010. Earlier in her career, Ms. Lee held a variety of financial</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5"/>
              </w:rPr>
              <w:t>leadership positions with such organizations as Pilkington, plc and Coopers &amp; Lybrand (an</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1"/>
              </w:rPr>
              <w:t>accounting firm now part of PricewaterhouseCoopers). She earned her Bachelor of Science in</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3"/>
              </w:rPr>
              <w:t>Accounting from Santa Clara University. She is a Certified Public Accountant and a member</w:t>
            </w: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60" w:type="dxa"/>
            <w:vAlign w:val="bottom"/>
          </w:tcPr>
          <w:p>
            <w:pPr>
              <w:ind w:left="20"/>
              <w:spacing w:after="0"/>
              <w:rPr>
                <w:sz w:val="20"/>
                <w:szCs w:val="20"/>
                <w:color w:val="auto"/>
              </w:rPr>
            </w:pPr>
            <w:r>
              <w:rPr>
                <w:rFonts w:ascii="Arial" w:cs="Arial" w:eastAsia="Arial" w:hAnsi="Arial"/>
                <w:sz w:val="18"/>
                <w:szCs w:val="18"/>
                <w:color w:val="auto"/>
              </w:rPr>
              <w:t>of the American Institute of Certified Public Accountants.</w:t>
            </w:r>
          </w:p>
        </w:tc>
      </w:tr>
      <w:tr>
        <w:trPr>
          <w:trHeight w:val="391"/>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Stephanie Linnartz</w:t>
            </w:r>
          </w:p>
        </w:tc>
        <w:tc>
          <w:tcPr>
            <w:tcW w:w="7420" w:type="dxa"/>
            <w:vAlign w:val="bottom"/>
            <w:gridSpan w:val="3"/>
          </w:tcPr>
          <w:p>
            <w:pPr>
              <w:ind w:left="200"/>
              <w:spacing w:after="0"/>
              <w:rPr>
                <w:sz w:val="20"/>
                <w:szCs w:val="20"/>
                <w:color w:val="auto"/>
              </w:rPr>
            </w:pPr>
            <w:r>
              <w:rPr>
                <w:rFonts w:ascii="Arial" w:cs="Arial" w:eastAsia="Arial" w:hAnsi="Arial"/>
                <w:sz w:val="18"/>
                <w:szCs w:val="18"/>
                <w:color w:val="auto"/>
              </w:rPr>
              <w:t>52  Stephanie Linnartz became Group President, Consumer Operations, Technology and</w:t>
            </w:r>
          </w:p>
        </w:tc>
      </w:tr>
      <w:tr>
        <w:trPr>
          <w:trHeight w:val="176"/>
        </w:trPr>
        <w:tc>
          <w:tcPr>
            <w:tcW w:w="3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Group President, Consumer Operations,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rPr>
              <w:t>Emerging Businesses in January 2020. She is responsible for the Company’s brand</w:t>
            </w:r>
          </w:p>
        </w:tc>
      </w:tr>
      <w:tr>
        <w:trPr>
          <w:trHeight w:val="176"/>
        </w:trPr>
        <w:tc>
          <w:tcPr>
            <w:tcW w:w="3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Technology and Emerging Businesses (Acting</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2"/>
              </w:rPr>
              <w:t>management, sales, marketing, revenue management, distribution, customer experience and</w:t>
            </w:r>
          </w:p>
        </w:tc>
      </w:tr>
      <w:tr>
        <w:trPr>
          <w:trHeight w:val="175"/>
        </w:trPr>
        <w:tc>
          <w:tcPr>
            <w:tcW w:w="3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Co-Principal Executive Officer)</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9"/>
              </w:rPr>
              <w:t>innovation, information technology and digital functions, including Marriott Bonvoy, the</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1"/>
              </w:rPr>
              <w:t>Company’s loyalty program. In February 2021, Ms. Linnartz also began to share responsibility</w:t>
            </w:r>
          </w:p>
        </w:tc>
      </w:tr>
      <w:tr>
        <w:trPr>
          <w:trHeight w:val="191"/>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60" w:type="dxa"/>
            <w:vAlign w:val="bottom"/>
          </w:tcPr>
          <w:p>
            <w:pPr>
              <w:ind w:left="20"/>
              <w:spacing w:after="0" w:line="191" w:lineRule="exact"/>
              <w:rPr>
                <w:sz w:val="20"/>
                <w:szCs w:val="20"/>
                <w:color w:val="auto"/>
              </w:rPr>
            </w:pPr>
            <w:r>
              <w:rPr>
                <w:rFonts w:ascii="Arial" w:cs="Arial" w:eastAsia="Arial" w:hAnsi="Arial"/>
                <w:sz w:val="18"/>
                <w:szCs w:val="18"/>
                <w:color w:val="auto"/>
                <w:w w:val="94"/>
              </w:rPr>
              <w:t>with Mr. Capuano for overseeing the day-to-day operations of Marriott’s business units and</w:t>
            </w:r>
          </w:p>
        </w:tc>
      </w:tr>
    </w:tbl>
    <w:p>
      <w:pPr>
        <w:ind w:left="4360" w:right="20"/>
        <w:spacing w:after="0" w:line="232" w:lineRule="auto"/>
        <w:rPr>
          <w:sz w:val="20"/>
          <w:szCs w:val="20"/>
          <w:color w:val="auto"/>
        </w:rPr>
      </w:pPr>
      <w:r>
        <w:rPr>
          <w:rFonts w:ascii="Arial" w:cs="Arial" w:eastAsia="Arial" w:hAnsi="Arial"/>
          <w:sz w:val="16"/>
          <w:szCs w:val="16"/>
          <w:color w:val="auto"/>
        </w:rPr>
        <w:t>corporate functions, which arrangement is expected to continue until the Company’s Board of Directors appoints a permanent CEO. During this time, Ms. Linnartz will be overseeing the Company’s International segment, as well as Legal, Human Resources and Communications &amp; Public Affairs. Ms. Linnartz also is responsible for developing, incubating, and running new lines of business. Before assuming her current position, Ms. Linnartz, who began her Marriott career in 1997, served as Global Chief Commercial Officer from 2013 to 2019; Global Officer, Sales and Revenue Management from 2009 to 2013; Senior Vice President, Global Sales from 2008 to 2009; Senior Vice President, Sales and Marketing Planning and Support from 2005 to 2008; and prior to that, various roles in Marriott’s Finance and Business Development Department. She currently serves on the Board of Directors of The Home Depot. She holds a bachelor’s degree in Political Science and Government from the College of the Holy Cross, where she sits on the Board of Trustees, and earned her Master of Business Administration from the College of William and 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gridSpan w:val="2"/>
          </w:tcPr>
          <w:p>
            <w:pPr>
              <w:ind w:left="1360"/>
              <w:spacing w:after="0"/>
              <w:rPr>
                <w:sz w:val="20"/>
                <w:szCs w:val="20"/>
                <w:color w:val="auto"/>
              </w:rPr>
            </w:pPr>
            <w:r>
              <w:rPr>
                <w:rFonts w:ascii="Arial" w:cs="Arial" w:eastAsia="Arial" w:hAnsi="Arial"/>
                <w:sz w:val="14"/>
                <w:szCs w:val="14"/>
                <w:b w:val="1"/>
                <w:bCs w:val="1"/>
                <w:color w:val="auto"/>
              </w:rPr>
              <w:t>Name and Title</w:t>
            </w:r>
          </w:p>
        </w:tc>
        <w:tc>
          <w:tcPr>
            <w:tcW w:w="560" w:type="dxa"/>
            <w:vAlign w:val="bottom"/>
            <w:gridSpan w:val="2"/>
          </w:tcPr>
          <w:p>
            <w:pPr>
              <w:ind w:left="100"/>
              <w:spacing w:after="0"/>
              <w:rPr>
                <w:sz w:val="20"/>
                <w:szCs w:val="20"/>
                <w:color w:val="auto"/>
              </w:rPr>
            </w:pPr>
            <w:r>
              <w:rPr>
                <w:rFonts w:ascii="Arial" w:cs="Arial" w:eastAsia="Arial" w:hAnsi="Arial"/>
                <w:sz w:val="14"/>
                <w:szCs w:val="14"/>
                <w:b w:val="1"/>
                <w:bCs w:val="1"/>
                <w:color w:val="auto"/>
              </w:rPr>
              <w:t>Age</w:t>
            </w:r>
          </w:p>
        </w:tc>
        <w:tc>
          <w:tcPr>
            <w:tcW w:w="6860" w:type="dxa"/>
            <w:vAlign w:val="bottom"/>
          </w:tcPr>
          <w:p>
            <w:pPr>
              <w:ind w:left="2800"/>
              <w:spacing w:after="0"/>
              <w:rPr>
                <w:sz w:val="20"/>
                <w:szCs w:val="20"/>
                <w:color w:val="auto"/>
              </w:rPr>
            </w:pPr>
            <w:r>
              <w:rPr>
                <w:rFonts w:ascii="Arial" w:cs="Arial" w:eastAsia="Arial" w:hAnsi="Arial"/>
                <w:sz w:val="14"/>
                <w:szCs w:val="14"/>
                <w:b w:val="1"/>
                <w:bCs w:val="1"/>
                <w:color w:val="auto"/>
              </w:rPr>
              <w:t>Business Experience</w:t>
            </w:r>
          </w:p>
        </w:tc>
      </w:tr>
      <w:tr>
        <w:trPr>
          <w:trHeight w:val="175"/>
        </w:trPr>
        <w:tc>
          <w:tcPr>
            <w:tcW w:w="3660" w:type="dxa"/>
            <w:vAlign w:val="bottom"/>
            <w:tcBorders>
              <w:top w:val="single" w:sz="8" w:color="auto"/>
            </w:tcBorders>
          </w:tcPr>
          <w:p>
            <w:pPr>
              <w:ind w:left="20"/>
              <w:spacing w:after="0" w:line="175" w:lineRule="exact"/>
              <w:rPr>
                <w:sz w:val="20"/>
                <w:szCs w:val="20"/>
                <w:color w:val="auto"/>
              </w:rPr>
            </w:pPr>
            <w:r>
              <w:rPr>
                <w:rFonts w:ascii="Arial" w:cs="Arial" w:eastAsia="Arial" w:hAnsi="Arial"/>
                <w:sz w:val="18"/>
                <w:szCs w:val="18"/>
                <w:color w:val="auto"/>
              </w:rPr>
              <w:t>Kathleen K. Oberg</w:t>
            </w:r>
          </w:p>
        </w:tc>
        <w:tc>
          <w:tcPr>
            <w:tcW w:w="120" w:type="dxa"/>
            <w:vAlign w:val="bottom"/>
          </w:tcPr>
          <w:p>
            <w:pPr>
              <w:spacing w:after="0"/>
              <w:rPr>
                <w:sz w:val="15"/>
                <w:szCs w:val="15"/>
                <w:color w:val="auto"/>
              </w:rPr>
            </w:pPr>
          </w:p>
        </w:tc>
        <w:tc>
          <w:tcPr>
            <w:tcW w:w="460" w:type="dxa"/>
            <w:vAlign w:val="bottom"/>
            <w:tcBorders>
              <w:top w:val="single" w:sz="8" w:color="auto"/>
            </w:tcBorders>
          </w:tcPr>
          <w:p>
            <w:pPr>
              <w:ind w:left="200"/>
              <w:spacing w:after="0" w:line="175" w:lineRule="exact"/>
              <w:rPr>
                <w:sz w:val="20"/>
                <w:szCs w:val="20"/>
                <w:color w:val="auto"/>
              </w:rPr>
            </w:pPr>
            <w:r>
              <w:rPr>
                <w:rFonts w:ascii="Arial" w:cs="Arial" w:eastAsia="Arial" w:hAnsi="Arial"/>
                <w:sz w:val="18"/>
                <w:szCs w:val="18"/>
                <w:color w:val="auto"/>
              </w:rPr>
              <w:t>60</w:t>
            </w:r>
          </w:p>
        </w:tc>
        <w:tc>
          <w:tcPr>
            <w:tcW w:w="100" w:type="dxa"/>
            <w:vAlign w:val="bottom"/>
          </w:tcPr>
          <w:p>
            <w:pPr>
              <w:spacing w:after="0"/>
              <w:rPr>
                <w:sz w:val="15"/>
                <w:szCs w:val="15"/>
                <w:color w:val="auto"/>
              </w:rPr>
            </w:pPr>
          </w:p>
        </w:tc>
        <w:tc>
          <w:tcPr>
            <w:tcW w:w="6860" w:type="dxa"/>
            <w:vAlign w:val="bottom"/>
            <w:tcBorders>
              <w:top w:val="single" w:sz="8" w:color="auto"/>
            </w:tcBorders>
          </w:tcPr>
          <w:p>
            <w:pPr>
              <w:ind w:left="20"/>
              <w:spacing w:after="0" w:line="175" w:lineRule="exact"/>
              <w:rPr>
                <w:sz w:val="20"/>
                <w:szCs w:val="20"/>
                <w:color w:val="auto"/>
              </w:rPr>
            </w:pPr>
            <w:r>
              <w:rPr>
                <w:rFonts w:ascii="Arial" w:cs="Arial" w:eastAsia="Arial" w:hAnsi="Arial"/>
                <w:sz w:val="18"/>
                <w:szCs w:val="18"/>
                <w:color w:val="auto"/>
                <w:w w:val="96"/>
              </w:rPr>
              <w:t>Kathleen (“Leeny”) K. Oberg was appointed as Marriott’s Chief Financial Officer, effective</w:t>
            </w:r>
          </w:p>
        </w:tc>
      </w:tr>
      <w:tr>
        <w:trPr>
          <w:trHeight w:val="175"/>
        </w:trPr>
        <w:tc>
          <w:tcPr>
            <w:tcW w:w="3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Executive Vice President and</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3"/>
              </w:rPr>
              <w:t>January 1, 2016. Previously, Ms. Oberg was the Chief Financial Officer for The Ritz-Carlton</w:t>
            </w:r>
          </w:p>
        </w:tc>
      </w:tr>
      <w:tr>
        <w:trPr>
          <w:trHeight w:val="176"/>
        </w:trPr>
        <w:tc>
          <w:tcPr>
            <w:tcW w:w="3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Chief Financial Officer</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7"/>
              </w:rPr>
              <w:t>since 2013, where she contributed significantly to the brand’s performance, growth, and</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7"/>
              </w:rPr>
              <w:t>organizational effectiveness. Prior to assuming that role, Ms. Oberg served in a range of</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7"/>
              </w:rPr>
              <w:t>financial leadership positions with Marriott. From 2008 to 2013, she was the Company’s</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0"/>
              </w:rPr>
              <w:t>Senior Vice President, Corporate and Development Finance, where she led a team that valued</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8"/>
              </w:rPr>
              <w:t>new hotel development projects and merger and acquisition opportunities, prepared the</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9"/>
              </w:rPr>
              <w:t>Company’s long-range plans and annual budgets, and made recommendations for the</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2"/>
              </w:rPr>
              <w:t>Company’s financial and capital allocation strategy. From 2006 to 2008, Ms. Oberg served in</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4"/>
              </w:rPr>
              <w:t>London as Senior Vice President, International Project Finance and Asset Management for</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rPr>
              <w:t>Europe and the Middle East and Africa, and as the region’s senior finance executive.</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4"/>
              </w:rPr>
              <w:t>Ms. Oberg first joined Marriott as part of its Investor Relations group in 1999. Before joining</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2"/>
              </w:rPr>
              <w:t>Marriott, Ms. Oberg held a variety of financial leadership positions with such organizations as</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8"/>
              </w:rPr>
              <w:t>Sodexo (previously Sodexo Marriott Services), Sallie Mae, Goldman Sachs, and Chase</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7"/>
              </w:rPr>
              <w:t>Manhattan Bank. She currently serves on the Adobe Board of Directors. She earned her</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rPr>
              <w:t>Bachelor of Science in Commerce, with concentrations in Finance and Management</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9"/>
              </w:rPr>
              <w:t>Information Systems from the University of Virginia, McIntire School of Commerce and</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2"/>
              </w:rPr>
              <w:t>received her Master of Business Administration from Stanford University Graduate School of</w:t>
            </w: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60" w:type="dxa"/>
            <w:vAlign w:val="bottom"/>
          </w:tcPr>
          <w:p>
            <w:pPr>
              <w:ind w:left="20"/>
              <w:spacing w:after="0"/>
              <w:rPr>
                <w:sz w:val="20"/>
                <w:szCs w:val="20"/>
                <w:color w:val="auto"/>
              </w:rPr>
            </w:pPr>
            <w:r>
              <w:rPr>
                <w:rFonts w:ascii="Arial" w:cs="Arial" w:eastAsia="Arial" w:hAnsi="Arial"/>
                <w:sz w:val="18"/>
                <w:szCs w:val="18"/>
                <w:color w:val="auto"/>
              </w:rPr>
              <w:t>Business.</w:t>
            </w:r>
          </w:p>
        </w:tc>
      </w:tr>
      <w:tr>
        <w:trPr>
          <w:trHeight w:val="391"/>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Rena Hozore Reiss</w:t>
            </w:r>
          </w:p>
        </w:tc>
        <w:tc>
          <w:tcPr>
            <w:tcW w:w="7420" w:type="dxa"/>
            <w:vAlign w:val="bottom"/>
            <w:gridSpan w:val="3"/>
          </w:tcPr>
          <w:p>
            <w:pPr>
              <w:ind w:left="200"/>
              <w:spacing w:after="0"/>
              <w:rPr>
                <w:sz w:val="20"/>
                <w:szCs w:val="20"/>
                <w:color w:val="auto"/>
              </w:rPr>
            </w:pPr>
            <w:r>
              <w:rPr>
                <w:rFonts w:ascii="Arial" w:cs="Arial" w:eastAsia="Arial" w:hAnsi="Arial"/>
                <w:sz w:val="18"/>
                <w:szCs w:val="18"/>
                <w:color w:val="auto"/>
                <w:w w:val="90"/>
              </w:rPr>
              <w:t>61  Rena Hozore Reiss became Executive Vice President and General Counsel in December 2017.</w:t>
            </w:r>
          </w:p>
        </w:tc>
      </w:tr>
      <w:tr>
        <w:trPr>
          <w:trHeight w:val="175"/>
        </w:trPr>
        <w:tc>
          <w:tcPr>
            <w:tcW w:w="3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Executive Vice President and</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6"/>
              </w:rPr>
              <w:t>Ms. Reiss previously held the position of Executive Vice President, General Counsel and</w:t>
            </w:r>
          </w:p>
        </w:tc>
      </w:tr>
      <w:tr>
        <w:trPr>
          <w:trHeight w:val="176"/>
        </w:trPr>
        <w:tc>
          <w:tcPr>
            <w:tcW w:w="3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General Counsel</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2"/>
              </w:rPr>
              <w:t>Corporate Secretary at Hyatt Hotels where she led the global legal team and oversaw Hyatt’s</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1"/>
              </w:rPr>
              <w:t>risk management team and corporate transactions group. Prior to her position with Hyatt, Ms.</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3"/>
              </w:rPr>
              <w:t>Reiss was an attorney in Marriott’s law department from 2000 to 2010 building her career in</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5"/>
              </w:rPr>
              <w:t>roles with increasing responsibility, ultimately holding the position of Senior Vice President</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3"/>
              </w:rPr>
              <w:t>and Associate General Counsel in which she led Marriott’s managed development efforts in</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6"/>
              </w:rPr>
              <w:t>the Americas region. Before joining Marriott, Ms. Reiss was a partner at Counts &amp; Kanne,</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rPr>
              <w:t>Chartered, in Washington, D.C. and Associate General Counsel at the Miami Herald</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3"/>
              </w:rPr>
              <w:t>Publishing Company. Ms. Reiss also serves on the Board of Directors of the American Hotel</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4"/>
              </w:rPr>
              <w:t>and Lodging Association. She earned her A.B. from Princeton University and her J.D. from</w:t>
            </w: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60" w:type="dxa"/>
            <w:vAlign w:val="bottom"/>
          </w:tcPr>
          <w:p>
            <w:pPr>
              <w:ind w:left="20"/>
              <w:spacing w:after="0"/>
              <w:rPr>
                <w:sz w:val="20"/>
                <w:szCs w:val="20"/>
                <w:color w:val="auto"/>
              </w:rPr>
            </w:pPr>
            <w:r>
              <w:rPr>
                <w:rFonts w:ascii="Arial" w:cs="Arial" w:eastAsia="Arial" w:hAnsi="Arial"/>
                <w:sz w:val="18"/>
                <w:szCs w:val="18"/>
                <w:color w:val="auto"/>
              </w:rPr>
              <w:t>Harvard Law School.</w:t>
            </w:r>
          </w:p>
        </w:tc>
      </w:tr>
      <w:tr>
        <w:trPr>
          <w:trHeight w:val="391"/>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David A. Rodriguez</w:t>
            </w:r>
          </w:p>
        </w:tc>
        <w:tc>
          <w:tcPr>
            <w:tcW w:w="7420" w:type="dxa"/>
            <w:vAlign w:val="bottom"/>
            <w:gridSpan w:val="3"/>
          </w:tcPr>
          <w:p>
            <w:pPr>
              <w:ind w:left="200"/>
              <w:spacing w:after="0"/>
              <w:rPr>
                <w:sz w:val="20"/>
                <w:szCs w:val="20"/>
                <w:color w:val="auto"/>
              </w:rPr>
            </w:pPr>
            <w:r>
              <w:rPr>
                <w:rFonts w:ascii="Arial" w:cs="Arial" w:eastAsia="Arial" w:hAnsi="Arial"/>
                <w:sz w:val="18"/>
                <w:szCs w:val="18"/>
                <w:color w:val="auto"/>
              </w:rPr>
              <w:t>62  David A. Rodriguez was appointed Executive Vice President and Global Chief Human</w:t>
            </w:r>
          </w:p>
        </w:tc>
      </w:tr>
      <w:tr>
        <w:trPr>
          <w:trHeight w:val="175"/>
        </w:trPr>
        <w:tc>
          <w:tcPr>
            <w:tcW w:w="3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Executive Vice President</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6"/>
              </w:rPr>
              <w:t>Resources Officer in 2006. Before joining Marriott in 1998, he held senior roles in human</w:t>
            </w:r>
          </w:p>
        </w:tc>
      </w:tr>
      <w:tr>
        <w:trPr>
          <w:trHeight w:val="176"/>
        </w:trPr>
        <w:tc>
          <w:tcPr>
            <w:tcW w:w="3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and Global Chief Human Resources Officer</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rPr>
              <w:t>resources at Citicorp (now Citigroup) from 1989 through 1998. Dr. Rodriguez holds a</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3"/>
              </w:rPr>
              <w:t>Bachelor of Arts degree and a doctorate degree in Industrial and Organizational Psychology</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2"/>
              </w:rPr>
              <w:t>from New York University. He is a member of the Board of Directors at American Woodmark.</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8"/>
              </w:rPr>
              <w:t>He is an elected fellow of the National Academy of Human Resources, chairman of the</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Arial" w:cs="Arial" w:eastAsia="Arial" w:hAnsi="Arial"/>
                <w:sz w:val="18"/>
                <w:szCs w:val="18"/>
                <w:color w:val="auto"/>
                <w:w w:val="92"/>
              </w:rPr>
              <w:t>American Health Policy Institute, vice chair of the Human Resources Policy Association, and</w:t>
            </w: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60" w:type="dxa"/>
            <w:vAlign w:val="bottom"/>
          </w:tcPr>
          <w:p>
            <w:pPr>
              <w:ind w:left="20"/>
              <w:spacing w:after="0"/>
              <w:rPr>
                <w:sz w:val="20"/>
                <w:szCs w:val="20"/>
                <w:color w:val="auto"/>
              </w:rPr>
            </w:pPr>
            <w:r>
              <w:rPr>
                <w:rFonts w:ascii="Arial" w:cs="Arial" w:eastAsia="Arial" w:hAnsi="Arial"/>
                <w:sz w:val="18"/>
                <w:szCs w:val="18"/>
                <w:color w:val="auto"/>
              </w:rPr>
              <w:t>a governor on the board of the Health Transformation Alliance.</w:t>
            </w:r>
          </w:p>
        </w:tc>
      </w:tr>
    </w:tbl>
    <w:p>
      <w:pPr>
        <w:spacing w:after="0" w:line="199" w:lineRule="exact"/>
        <w:rPr>
          <w:sz w:val="20"/>
          <w:szCs w:val="20"/>
          <w:color w:val="auto"/>
        </w:rPr>
      </w:pPr>
    </w:p>
    <w:p>
      <w:pPr>
        <w:sectPr>
          <w:pgSz w:w="11900" w:h="16838" w:orient="portrait"/>
          <w:cols w:equalWidth="0" w:num="1">
            <w:col w:w="11200"/>
          </w:cols>
          <w:pgMar w:left="320" w:top="125" w:right="379" w:bottom="1440" w:gutter="0" w:footer="0" w:header="0"/>
        </w:sectPr>
      </w:pPr>
    </w:p>
    <w:p>
      <w:pPr>
        <w:ind w:left="20"/>
        <w:spacing w:after="0"/>
        <w:rPr>
          <w:sz w:val="20"/>
          <w:szCs w:val="20"/>
          <w:color w:val="auto"/>
        </w:rPr>
      </w:pPr>
      <w:r>
        <w:rPr>
          <w:rFonts w:ascii="Arial" w:cs="Arial" w:eastAsia="Arial" w:hAnsi="Arial"/>
          <w:sz w:val="18"/>
          <w:szCs w:val="18"/>
          <w:color w:val="auto"/>
        </w:rPr>
        <w:t>Craig S. Smith</w:t>
      </w:r>
    </w:p>
    <w:p>
      <w:pPr>
        <w:ind w:left="20"/>
        <w:spacing w:after="0"/>
        <w:rPr>
          <w:sz w:val="20"/>
          <w:szCs w:val="20"/>
          <w:color w:val="auto"/>
        </w:rPr>
      </w:pPr>
      <w:r>
        <w:rPr>
          <w:rFonts w:ascii="Arial" w:cs="Arial" w:eastAsia="Arial" w:hAnsi="Arial"/>
          <w:sz w:val="16"/>
          <w:szCs w:val="16"/>
          <w:color w:val="auto"/>
        </w:rPr>
        <w:t>Group President, International</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left="378" w:right="40" w:hanging="378"/>
        <w:spacing w:after="0" w:line="234" w:lineRule="auto"/>
        <w:tabs>
          <w:tab w:leader="none" w:pos="378" w:val="left"/>
        </w:tabs>
        <w:numPr>
          <w:ilvl w:val="0"/>
          <w:numId w:val="31"/>
        </w:numPr>
        <w:rPr>
          <w:rFonts w:ascii="Arial" w:cs="Arial" w:eastAsia="Arial" w:hAnsi="Arial"/>
          <w:sz w:val="16"/>
          <w:szCs w:val="16"/>
          <w:color w:val="auto"/>
        </w:rPr>
      </w:pPr>
      <w:r>
        <w:rPr>
          <w:rFonts w:ascii="Arial" w:cs="Arial" w:eastAsia="Arial" w:hAnsi="Arial"/>
          <w:sz w:val="16"/>
          <w:szCs w:val="16"/>
          <w:color w:val="auto"/>
        </w:rPr>
        <w:t>Craig S. Smith became Group President, International effective in January 2021. From October 2019 until December 2020, Mr. Smith was Group President and Managing Director of Asia Pacific, and he previously served as President and Managing Director of Asia Pacific since June 2015, assuming the responsibility for the strategic leadership of all operational and development functions spanning the region. Mr. Smith began his career with Marriott in 1988. Before becoming President and Managing Director of Asia Pacific, Mr. Smith served as President of Marriott’s Caribbean and Latin America region from 2013 to 2015. Before moving to the Caribbean and Latin America region in 2013, he was Executive Vice President and Chief Operations Officer for Asia Pacific. As the son of an American diplomat, Mr. Smith has lived in 13 countries, working in North America, the Caribbean, Latin America, Asia Pacific, and Australia. He is fluent in Spanish and conversant in Portuguese. Mr. Smith earned his Master of Business Administration from the Rotman School of Management at the University of Toronto and a Bachelor of Science from Brigham Young University.</w:t>
      </w:r>
    </w:p>
    <w:p>
      <w:pPr>
        <w:spacing w:after="0" w:line="200" w:lineRule="exact"/>
        <w:rPr>
          <w:sz w:val="20"/>
          <w:szCs w:val="20"/>
          <w:color w:val="auto"/>
        </w:rPr>
      </w:pPr>
    </w:p>
    <w:p>
      <w:pPr>
        <w:sectPr>
          <w:pgSz w:w="11900" w:h="16838" w:orient="portrait"/>
          <w:cols w:equalWidth="0" w:num="2">
            <w:col w:w="3262" w:space="720"/>
            <w:col w:w="7218"/>
          </w:cols>
          <w:pgMar w:left="320" w:top="125" w:right="379" w:bottom="1440" w:gutter="0" w:footer="0" w:header="0"/>
          <w:type w:val="continuous"/>
        </w:sect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Business Conduct Guide</w:t>
      </w:r>
    </w:p>
    <w:p>
      <w:pPr>
        <w:spacing w:after="0" w:line="175"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The Company has long maintained and enforced a Code of Ethics that applies to all Marriott associates, including our Chairman of the Board, Acting Co-Principal Executive Officers, Chief Financial Officer, and Principal Accounting Officer, and to each member of the Board. The Code of Ethics is encompassed in our Business Conduct Guide, which is available in the Investor Relations section of our website (Marriott.com/investor) by clicking on “Governance” and then “Documents &amp; Charters.” We intend to post on that website any future changes or amendments to our Code of Ethics, and any waiver of our Code of Ethics that applies to our Chairman of the Board, any of our executive officers, or a member of our Board within four business days following the date of the amendment or waiver.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LIST OF DOCUMENTS FILED AS PART OF THIS REPORT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 FINANCIAL STATEMENTS</w:t>
      </w:r>
    </w:p>
    <w:p>
      <w:pPr>
        <w:spacing w:after="0" w:line="17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We include this portion of Item 15 under Part II, Item 8 of this Annual Report on Form 10-K.</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 FINANCIAL STATEMENT SCHEDULES</w:t>
      </w:r>
    </w:p>
    <w:p>
      <w:pPr>
        <w:spacing w:after="0" w:line="171" w:lineRule="exact"/>
        <w:rPr>
          <w:sz w:val="20"/>
          <w:szCs w:val="20"/>
          <w:color w:val="auto"/>
        </w:rPr>
      </w:pPr>
    </w:p>
    <w:p>
      <w:pPr>
        <w:ind w:left="1140" w:right="240"/>
        <w:spacing w:after="0" w:line="277" w:lineRule="auto"/>
        <w:rPr>
          <w:sz w:val="20"/>
          <w:szCs w:val="20"/>
          <w:color w:val="auto"/>
        </w:rPr>
      </w:pPr>
      <w:r>
        <w:rPr>
          <w:rFonts w:ascii="Arial" w:cs="Arial" w:eastAsia="Arial" w:hAnsi="Arial"/>
          <w:sz w:val="18"/>
          <w:szCs w:val="18"/>
          <w:color w:val="auto"/>
        </w:rPr>
        <w:t>We include the financial statement schedule information required by the applicable accounting regulations of the SEC in the notes to our financial statements and incorporate that information in this Item 15 by reference.</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(3) EXHIBITS</w:t>
      </w:r>
    </w:p>
    <w:p>
      <w:pPr>
        <w:spacing w:after="0" w:line="171" w:lineRule="exact"/>
        <w:rPr>
          <w:sz w:val="20"/>
          <w:szCs w:val="20"/>
          <w:color w:val="auto"/>
        </w:rPr>
      </w:pPr>
    </w:p>
    <w:p>
      <w:pPr>
        <w:ind w:left="1140" w:right="40"/>
        <w:spacing w:after="0" w:line="263" w:lineRule="auto"/>
        <w:rPr>
          <w:sz w:val="20"/>
          <w:szCs w:val="20"/>
          <w:color w:val="auto"/>
        </w:rPr>
      </w:pPr>
      <w:r>
        <w:rPr>
          <w:rFonts w:ascii="Arial" w:cs="Arial" w:eastAsia="Arial" w:hAnsi="Arial"/>
          <w:sz w:val="18"/>
          <w:szCs w:val="18"/>
          <w:color w:val="auto"/>
        </w:rPr>
        <w:t>Any stockholder who wants a copy of the following Exhibits may obtain one from us upon request at a charge that reflects the reproduction cost of such Exhibits. Requests should be made to the Secretary, Marriott International, Inc., 10400 Fernwood Road, Department 52/862, Bethesda, MD 20817.</w:t>
      </w:r>
    </w:p>
    <w:p>
      <w:pPr>
        <w:spacing w:after="0" w:line="130" w:lineRule="exact"/>
        <w:rPr>
          <w:sz w:val="20"/>
          <w:szCs w:val="20"/>
          <w:color w:val="auto"/>
        </w:rPr>
      </w:pPr>
    </w:p>
    <w:p>
      <w:pPr>
        <w:ind w:left="1140" w:right="60"/>
        <w:spacing w:after="0" w:line="301" w:lineRule="auto"/>
        <w:rPr>
          <w:sz w:val="20"/>
          <w:szCs w:val="20"/>
          <w:color w:val="auto"/>
        </w:rPr>
      </w:pPr>
      <w:r>
        <w:rPr>
          <w:rFonts w:ascii="Arial" w:cs="Arial" w:eastAsia="Arial" w:hAnsi="Arial"/>
          <w:sz w:val="16"/>
          <w:szCs w:val="16"/>
          <w:color w:val="auto"/>
        </w:rPr>
        <w:t>We have not filed as exhibits certain instruments defining the rights of holders of the long-term debt of Marriott or its subsidiary Starwood Hotels &amp; Resorts Worldwide, LLC, pursuant to Item 601(b)(4)(iii) of Regulation S-K promulgated under the Exchange Act, because the amount of debt authorized and outstanding under each such instrument does not exceed 10 percent of the total assets of the Company’s and its consolidated subsidiaries. The Company agrees to furnish a copy of any such instrument to the Commission upon request.</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900" w:type="dxa"/>
            <w:vAlign w:val="bottom"/>
          </w:tcPr>
          <w:p>
            <w:pPr>
              <w:ind w:left="20"/>
              <w:spacing w:after="0"/>
              <w:rPr>
                <w:sz w:val="20"/>
                <w:szCs w:val="20"/>
                <w:color w:val="auto"/>
              </w:rPr>
            </w:pPr>
            <w:r>
              <w:rPr>
                <w:rFonts w:ascii="Arial" w:cs="Arial" w:eastAsia="Arial" w:hAnsi="Arial"/>
                <w:sz w:val="14"/>
                <w:szCs w:val="14"/>
                <w:b w:val="1"/>
                <w:bCs w:val="1"/>
                <w:color w:val="auto"/>
                <w:w w:val="94"/>
              </w:rPr>
              <w:t>Incorporation by Reference (where a report is indicated below, that document</w:t>
            </w:r>
          </w:p>
        </w:tc>
        <w:tc>
          <w:tcPr>
            <w:tcW w:w="0" w:type="dxa"/>
            <w:vAlign w:val="bottom"/>
          </w:tcPr>
          <w:p>
            <w:pPr>
              <w:spacing w:after="0"/>
              <w:rPr>
                <w:sz w:val="1"/>
                <w:szCs w:val="1"/>
                <w:color w:val="auto"/>
              </w:rPr>
            </w:pPr>
          </w:p>
        </w:tc>
      </w:tr>
      <w:tr>
        <w:trPr>
          <w:trHeight w:val="135"/>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Exhibit No.</w:t>
            </w:r>
          </w:p>
        </w:tc>
        <w:tc>
          <w:tcPr>
            <w:tcW w:w="280" w:type="dxa"/>
            <w:vAlign w:val="bottom"/>
            <w:vMerge w:val="restart"/>
          </w:tcPr>
          <w:p>
            <w:pPr>
              <w:spacing w:after="0"/>
              <w:rPr>
                <w:sz w:val="11"/>
                <w:szCs w:val="11"/>
                <w:color w:val="auto"/>
              </w:rPr>
            </w:pPr>
          </w:p>
        </w:tc>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1"/>
                <w:szCs w:val="11"/>
                <w:color w:val="auto"/>
              </w:rPr>
            </w:pPr>
          </w:p>
        </w:tc>
        <w:tc>
          <w:tcPr>
            <w:tcW w:w="490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has been previously filed with the SEC and the applicable exhibit is</w:t>
            </w:r>
          </w:p>
        </w:tc>
        <w:tc>
          <w:tcPr>
            <w:tcW w:w="0" w:type="dxa"/>
            <w:vAlign w:val="bottom"/>
          </w:tcPr>
          <w:p>
            <w:pPr>
              <w:spacing w:after="0"/>
              <w:rPr>
                <w:sz w:val="1"/>
                <w:szCs w:val="1"/>
                <w:color w:val="auto"/>
              </w:rPr>
            </w:pPr>
          </w:p>
        </w:tc>
      </w:tr>
      <w:tr>
        <w:trPr>
          <w:trHeight w:val="188"/>
        </w:trPr>
        <w:tc>
          <w:tcPr>
            <w:tcW w:w="1000" w:type="dxa"/>
            <w:vAlign w:val="bottom"/>
            <w:tcBorders>
              <w:bottom w:val="single" w:sz="8" w:color="auto"/>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4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incorporated by reference thereto)</w:t>
            </w:r>
          </w:p>
        </w:tc>
        <w:tc>
          <w:tcPr>
            <w:tcW w:w="0" w:type="dxa"/>
            <w:vAlign w:val="bottom"/>
          </w:tcPr>
          <w:p>
            <w:pPr>
              <w:spacing w:after="0"/>
              <w:rPr>
                <w:sz w:val="1"/>
                <w:szCs w:val="1"/>
                <w:color w:val="auto"/>
              </w:rPr>
            </w:pPr>
          </w:p>
        </w:tc>
      </w:tr>
    </w:tbl>
    <w:p>
      <w:pPr>
        <w:spacing w:after="0" w:line="36"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3.1</w:t>
            </w:r>
          </w:p>
        </w:tc>
        <w:tc>
          <w:tcPr>
            <w:tcW w:w="5260" w:type="dxa"/>
            <w:vAlign w:val="bottom"/>
          </w:tcPr>
          <w:p>
            <w:pPr>
              <w:ind w:left="400"/>
              <w:spacing w:after="0"/>
              <w:rPr>
                <w:sz w:val="20"/>
                <w:szCs w:val="20"/>
                <w:color w:val="auto"/>
              </w:rPr>
            </w:pPr>
            <w:r>
              <w:rPr>
                <w:rFonts w:ascii="Arial" w:cs="Arial" w:eastAsia="Arial" w:hAnsi="Arial"/>
                <w:sz w:val="18"/>
                <w:szCs w:val="18"/>
                <w:color w:val="auto"/>
              </w:rPr>
              <w:t>Restated Certificate of Incorporation.</w:t>
            </w:r>
          </w:p>
        </w:tc>
      </w:tr>
      <w:tr>
        <w:trPr>
          <w:trHeight w:val="473"/>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5260" w:type="dxa"/>
            <w:vAlign w:val="bottom"/>
          </w:tcPr>
          <w:p>
            <w:pPr>
              <w:ind w:left="400"/>
              <w:spacing w:after="0"/>
              <w:rPr>
                <w:sz w:val="20"/>
                <w:szCs w:val="20"/>
                <w:color w:val="auto"/>
              </w:rPr>
            </w:pPr>
            <w:r>
              <w:rPr>
                <w:rFonts w:ascii="Arial" w:cs="Arial" w:eastAsia="Arial" w:hAnsi="Arial"/>
                <w:sz w:val="18"/>
                <w:szCs w:val="18"/>
                <w:color w:val="auto"/>
              </w:rPr>
              <w:t>Amended and Restated Bylaws.</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5260" w:type="dxa"/>
            <w:vAlign w:val="bottom"/>
          </w:tcPr>
          <w:p>
            <w:pPr>
              <w:ind w:left="400"/>
              <w:spacing w:after="0"/>
              <w:rPr>
                <w:sz w:val="20"/>
                <w:szCs w:val="20"/>
                <w:color w:val="auto"/>
              </w:rPr>
            </w:pPr>
            <w:r>
              <w:rPr>
                <w:rFonts w:ascii="Arial" w:cs="Arial" w:eastAsia="Arial" w:hAnsi="Arial"/>
                <w:sz w:val="18"/>
                <w:szCs w:val="18"/>
                <w:color w:val="auto"/>
              </w:rPr>
              <w:t>Form of Common Stock Certificate.</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4.2</w:t>
            </w:r>
          </w:p>
        </w:tc>
        <w:tc>
          <w:tcPr>
            <w:tcW w:w="5260" w:type="dxa"/>
            <w:vAlign w:val="bottom"/>
          </w:tcPr>
          <w:p>
            <w:pPr>
              <w:ind w:left="400"/>
              <w:spacing w:after="0"/>
              <w:rPr>
                <w:sz w:val="20"/>
                <w:szCs w:val="20"/>
                <w:color w:val="auto"/>
              </w:rPr>
            </w:pPr>
            <w:r>
              <w:rPr>
                <w:rFonts w:ascii="Arial" w:cs="Arial" w:eastAsia="Arial" w:hAnsi="Arial"/>
                <w:sz w:val="18"/>
                <w:szCs w:val="18"/>
                <w:color w:val="auto"/>
                <w:w w:val="91"/>
              </w:rPr>
              <w:t>Indenture, dated as of November 16, 1998, between the Company</w:t>
            </w:r>
          </w:p>
        </w:tc>
      </w:tr>
      <w:tr>
        <w:trPr>
          <w:trHeight w:val="175"/>
        </w:trPr>
        <w:tc>
          <w:tcPr>
            <w:tcW w:w="880" w:type="dxa"/>
            <w:vAlign w:val="bottom"/>
          </w:tcPr>
          <w:p>
            <w:pPr>
              <w:spacing w:after="0"/>
              <w:rPr>
                <w:sz w:val="15"/>
                <w:szCs w:val="15"/>
                <w:color w:val="auto"/>
              </w:rPr>
            </w:pPr>
          </w:p>
        </w:tc>
        <w:tc>
          <w:tcPr>
            <w:tcW w:w="5260" w:type="dxa"/>
            <w:vAlign w:val="bottom"/>
          </w:tcPr>
          <w:p>
            <w:pPr>
              <w:ind w:left="400"/>
              <w:spacing w:after="0" w:line="176" w:lineRule="exact"/>
              <w:rPr>
                <w:sz w:val="20"/>
                <w:szCs w:val="20"/>
                <w:color w:val="auto"/>
              </w:rPr>
            </w:pPr>
            <w:r>
              <w:rPr>
                <w:rFonts w:ascii="Arial" w:cs="Arial" w:eastAsia="Arial" w:hAnsi="Arial"/>
                <w:sz w:val="18"/>
                <w:szCs w:val="18"/>
                <w:color w:val="auto"/>
                <w:w w:val="97"/>
              </w:rPr>
              <w:t>and The Bank of New York Mellon, as successor to JPMorgan</w:t>
            </w:r>
          </w:p>
        </w:tc>
      </w:tr>
      <w:tr>
        <w:trPr>
          <w:trHeight w:val="230"/>
        </w:trPr>
        <w:tc>
          <w:tcPr>
            <w:tcW w:w="88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w w:val="90"/>
              </w:rPr>
              <w:t>Chase Bank, N.A., formerly known as The Chase Manhattan Bank.</w:t>
            </w:r>
          </w:p>
        </w:tc>
      </w:tr>
      <w:tr>
        <w:trPr>
          <w:trHeight w:val="283"/>
        </w:trPr>
        <w:tc>
          <w:tcPr>
            <w:tcW w:w="880" w:type="dxa"/>
            <w:vAlign w:val="bottom"/>
          </w:tcPr>
          <w:p>
            <w:pPr>
              <w:spacing w:after="0"/>
              <w:rPr>
                <w:sz w:val="20"/>
                <w:szCs w:val="20"/>
                <w:color w:val="auto"/>
              </w:rPr>
            </w:pPr>
            <w:r>
              <w:rPr>
                <w:rFonts w:ascii="Arial" w:cs="Arial" w:eastAsia="Arial" w:hAnsi="Arial"/>
                <w:sz w:val="18"/>
                <w:szCs w:val="18"/>
                <w:color w:val="auto"/>
              </w:rPr>
              <w:t>4.3</w:t>
            </w:r>
          </w:p>
        </w:tc>
        <w:tc>
          <w:tcPr>
            <w:tcW w:w="5260" w:type="dxa"/>
            <w:vAlign w:val="bottom"/>
          </w:tcPr>
          <w:p>
            <w:pPr>
              <w:ind w:left="400"/>
              <w:spacing w:after="0"/>
              <w:rPr>
                <w:sz w:val="20"/>
                <w:szCs w:val="20"/>
                <w:color w:val="auto"/>
              </w:rPr>
            </w:pPr>
            <w:r>
              <w:rPr>
                <w:rFonts w:ascii="Arial" w:cs="Arial" w:eastAsia="Arial" w:hAnsi="Arial"/>
                <w:sz w:val="18"/>
                <w:szCs w:val="18"/>
                <w:color w:val="auto"/>
              </w:rPr>
              <w:t>Description of Registrant’s Securities</w:t>
            </w:r>
          </w:p>
        </w:tc>
      </w:tr>
      <w:tr>
        <w:trPr>
          <w:trHeight w:val="405"/>
        </w:trPr>
        <w:tc>
          <w:tcPr>
            <w:tcW w:w="880" w:type="dxa"/>
            <w:vAlign w:val="bottom"/>
          </w:tcPr>
          <w:p>
            <w:pPr>
              <w:spacing w:after="0"/>
              <w:rPr>
                <w:sz w:val="20"/>
                <w:szCs w:val="20"/>
                <w:color w:val="auto"/>
              </w:rPr>
            </w:pPr>
            <w:r>
              <w:rPr>
                <w:rFonts w:ascii="Arial" w:cs="Arial" w:eastAsia="Arial" w:hAnsi="Arial"/>
                <w:sz w:val="18"/>
                <w:szCs w:val="18"/>
                <w:color w:val="auto"/>
              </w:rPr>
              <w:t>10.1.1</w:t>
            </w:r>
          </w:p>
        </w:tc>
        <w:tc>
          <w:tcPr>
            <w:tcW w:w="5260" w:type="dxa"/>
            <w:vAlign w:val="bottom"/>
          </w:tcPr>
          <w:p>
            <w:pPr>
              <w:ind w:left="400"/>
              <w:spacing w:after="0"/>
              <w:rPr>
                <w:sz w:val="20"/>
                <w:szCs w:val="20"/>
                <w:color w:val="auto"/>
              </w:rPr>
            </w:pPr>
            <w:r>
              <w:rPr>
                <w:rFonts w:ascii="Arial" w:cs="Arial" w:eastAsia="Arial" w:hAnsi="Arial"/>
                <w:sz w:val="18"/>
                <w:szCs w:val="18"/>
                <w:color w:val="auto"/>
                <w:w w:val="94"/>
              </w:rPr>
              <w:t>U.S. $4,500,000 Fifth Amended and Restated Credit Agreement</w:t>
            </w:r>
          </w:p>
        </w:tc>
      </w:tr>
      <w:tr>
        <w:trPr>
          <w:trHeight w:val="176"/>
        </w:trPr>
        <w:tc>
          <w:tcPr>
            <w:tcW w:w="880" w:type="dxa"/>
            <w:vAlign w:val="bottom"/>
          </w:tcPr>
          <w:p>
            <w:pPr>
              <w:spacing w:after="0"/>
              <w:rPr>
                <w:sz w:val="15"/>
                <w:szCs w:val="15"/>
                <w:color w:val="auto"/>
              </w:rPr>
            </w:pPr>
          </w:p>
        </w:tc>
        <w:tc>
          <w:tcPr>
            <w:tcW w:w="5260" w:type="dxa"/>
            <w:vAlign w:val="bottom"/>
          </w:tcPr>
          <w:p>
            <w:pPr>
              <w:ind w:left="400"/>
              <w:spacing w:after="0" w:line="176" w:lineRule="exact"/>
              <w:rPr>
                <w:sz w:val="20"/>
                <w:szCs w:val="20"/>
                <w:color w:val="auto"/>
              </w:rPr>
            </w:pPr>
            <w:r>
              <w:rPr>
                <w:rFonts w:ascii="Arial" w:cs="Arial" w:eastAsia="Arial" w:hAnsi="Arial"/>
                <w:sz w:val="18"/>
                <w:szCs w:val="18"/>
                <w:color w:val="auto"/>
              </w:rPr>
              <w:t>dated as of June 28, 2019 with Bank of America, N.A. as</w:t>
            </w:r>
          </w:p>
        </w:tc>
      </w:tr>
      <w:tr>
        <w:trPr>
          <w:trHeight w:val="230"/>
        </w:trPr>
        <w:tc>
          <w:tcPr>
            <w:tcW w:w="88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administrative agent and certain banks.</w:t>
            </w:r>
          </w:p>
        </w:tc>
      </w:tr>
      <w:tr>
        <w:trPr>
          <w:trHeight w:val="229"/>
        </w:trPr>
        <w:tc>
          <w:tcPr>
            <w:tcW w:w="880" w:type="dxa"/>
            <w:vAlign w:val="bottom"/>
          </w:tcPr>
          <w:p>
            <w:pPr>
              <w:spacing w:after="0"/>
              <w:rPr>
                <w:sz w:val="20"/>
                <w:szCs w:val="20"/>
                <w:color w:val="auto"/>
              </w:rPr>
            </w:pPr>
            <w:r>
              <w:rPr>
                <w:rFonts w:ascii="Arial" w:cs="Arial" w:eastAsia="Arial" w:hAnsi="Arial"/>
                <w:sz w:val="18"/>
                <w:szCs w:val="18"/>
                <w:color w:val="auto"/>
              </w:rPr>
              <w:t>10.1.2</w:t>
            </w:r>
          </w:p>
        </w:tc>
        <w:tc>
          <w:tcPr>
            <w:tcW w:w="5260" w:type="dxa"/>
            <w:vAlign w:val="bottom"/>
          </w:tcPr>
          <w:p>
            <w:pPr>
              <w:ind w:left="400"/>
              <w:spacing w:after="0"/>
              <w:rPr>
                <w:sz w:val="20"/>
                <w:szCs w:val="20"/>
                <w:color w:val="auto"/>
              </w:rPr>
            </w:pPr>
            <w:r>
              <w:rPr>
                <w:rFonts w:ascii="Arial" w:cs="Arial" w:eastAsia="Arial" w:hAnsi="Arial"/>
                <w:sz w:val="18"/>
                <w:szCs w:val="18"/>
                <w:color w:val="auto"/>
              </w:rPr>
              <w:t>First Amendment, dated as of April 13, 2020, to the Fifth</w:t>
            </w:r>
          </w:p>
        </w:tc>
      </w:tr>
      <w:tr>
        <w:trPr>
          <w:trHeight w:val="176"/>
        </w:trPr>
        <w:tc>
          <w:tcPr>
            <w:tcW w:w="880" w:type="dxa"/>
            <w:vAlign w:val="bottom"/>
          </w:tcPr>
          <w:p>
            <w:pPr>
              <w:spacing w:after="0"/>
              <w:rPr>
                <w:sz w:val="15"/>
                <w:szCs w:val="15"/>
                <w:color w:val="auto"/>
              </w:rPr>
            </w:pPr>
          </w:p>
        </w:tc>
        <w:tc>
          <w:tcPr>
            <w:tcW w:w="5260" w:type="dxa"/>
            <w:vAlign w:val="bottom"/>
          </w:tcPr>
          <w:p>
            <w:pPr>
              <w:ind w:left="400"/>
              <w:spacing w:after="0" w:line="176" w:lineRule="exact"/>
              <w:rPr>
                <w:sz w:val="20"/>
                <w:szCs w:val="20"/>
                <w:color w:val="auto"/>
              </w:rPr>
            </w:pPr>
            <w:r>
              <w:rPr>
                <w:rFonts w:ascii="Arial" w:cs="Arial" w:eastAsia="Arial" w:hAnsi="Arial"/>
                <w:sz w:val="18"/>
                <w:szCs w:val="18"/>
                <w:color w:val="auto"/>
                <w:w w:val="94"/>
              </w:rPr>
              <w:t>Amended and Restated Credit Agreement with Bank of America,</w:t>
            </w:r>
          </w:p>
        </w:tc>
      </w:tr>
      <w:tr>
        <w:trPr>
          <w:trHeight w:val="175"/>
        </w:trPr>
        <w:tc>
          <w:tcPr>
            <w:tcW w:w="880" w:type="dxa"/>
            <w:vAlign w:val="bottom"/>
          </w:tcPr>
          <w:p>
            <w:pPr>
              <w:spacing w:after="0"/>
              <w:rPr>
                <w:sz w:val="15"/>
                <w:szCs w:val="15"/>
                <w:color w:val="auto"/>
              </w:rPr>
            </w:pPr>
          </w:p>
        </w:tc>
        <w:tc>
          <w:tcPr>
            <w:tcW w:w="5260" w:type="dxa"/>
            <w:vAlign w:val="bottom"/>
          </w:tcPr>
          <w:p>
            <w:pPr>
              <w:ind w:left="400"/>
              <w:spacing w:after="0" w:line="176" w:lineRule="exact"/>
              <w:rPr>
                <w:sz w:val="20"/>
                <w:szCs w:val="20"/>
                <w:color w:val="auto"/>
              </w:rPr>
            </w:pPr>
            <w:r>
              <w:rPr>
                <w:rFonts w:ascii="Arial" w:cs="Arial" w:eastAsia="Arial" w:hAnsi="Arial"/>
                <w:sz w:val="18"/>
                <w:szCs w:val="18"/>
                <w:color w:val="auto"/>
                <w:w w:val="93"/>
              </w:rPr>
              <w:t>N.A. as administrative agent, and certain banks, dated as of June</w:t>
            </w:r>
          </w:p>
        </w:tc>
      </w:tr>
      <w:tr>
        <w:trPr>
          <w:trHeight w:val="230"/>
        </w:trPr>
        <w:tc>
          <w:tcPr>
            <w:tcW w:w="88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28, 2019.</w:t>
            </w:r>
          </w:p>
        </w:tc>
      </w:tr>
    </w:tbl>
    <w:p>
      <w:pPr>
        <w:spacing w:after="0" w:line="20" w:lineRule="exact"/>
        <w:rPr>
          <w:sz w:val="20"/>
          <w:szCs w:val="20"/>
          <w:color w:val="auto"/>
        </w:rPr>
      </w:pPr>
      <w:r>
        <w:rPr>
          <w:sz w:val="20"/>
          <w:szCs w:val="20"/>
          <w:color w:val="auto"/>
        </w:rPr>
        <w:br w:type="column"/>
      </w:r>
    </w:p>
    <w:p>
      <w:pPr>
        <w:spacing w:after="0"/>
        <w:rPr>
          <w:rFonts w:ascii="Arial" w:cs="Arial" w:eastAsia="Arial" w:hAnsi="Arial"/>
          <w:sz w:val="17"/>
          <w:szCs w:val="17"/>
          <w:u w:val="single" w:color="auto"/>
          <w:color w:val="0000FF"/>
        </w:rPr>
      </w:pPr>
      <w:hyperlink r:id="rId102">
        <w:r>
          <w:rPr>
            <w:rFonts w:ascii="Arial" w:cs="Arial" w:eastAsia="Arial" w:hAnsi="Arial"/>
            <w:sz w:val="17"/>
            <w:szCs w:val="17"/>
            <w:u w:val="single" w:color="auto"/>
            <w:color w:val="0000FF"/>
          </w:rPr>
          <w:t>Exhibit No. 3.(i) to our Form 8-K filed August 22, 2006 (File No.</w:t>
        </w:r>
      </w:hyperlink>
    </w:p>
    <w:p>
      <w:pPr>
        <w:spacing w:after="0"/>
        <w:rPr>
          <w:rFonts w:ascii="Arial" w:cs="Arial" w:eastAsia="Arial" w:hAnsi="Arial"/>
          <w:sz w:val="18"/>
          <w:szCs w:val="18"/>
          <w:u w:val="single" w:color="auto"/>
          <w:color w:val="0000FF"/>
        </w:rPr>
      </w:pPr>
      <w:hyperlink r:id="rId102">
        <w:r>
          <w:rPr>
            <w:rFonts w:ascii="Arial" w:cs="Arial" w:eastAsia="Arial" w:hAnsi="Arial"/>
            <w:sz w:val="18"/>
            <w:szCs w:val="18"/>
            <w:u w:val="single" w:color="auto"/>
            <w:color w:val="0000FF"/>
          </w:rPr>
          <w:t>001-13881).</w:t>
        </w:r>
      </w:hyperlink>
    </w:p>
    <w:p>
      <w:pPr>
        <w:spacing w:after="0" w:line="70" w:lineRule="exact"/>
        <w:rPr>
          <w:sz w:val="20"/>
          <w:szCs w:val="20"/>
          <w:color w:val="auto"/>
        </w:rPr>
      </w:pPr>
    </w:p>
    <w:p>
      <w:pPr>
        <w:spacing w:after="0"/>
        <w:rPr>
          <w:rFonts w:ascii="Arial" w:cs="Arial" w:eastAsia="Arial" w:hAnsi="Arial"/>
          <w:sz w:val="17"/>
          <w:szCs w:val="17"/>
          <w:u w:val="single" w:color="auto"/>
          <w:color w:val="0000FF"/>
        </w:rPr>
      </w:pPr>
      <w:hyperlink r:id="rId103">
        <w:r>
          <w:rPr>
            <w:rFonts w:ascii="Arial" w:cs="Arial" w:eastAsia="Arial" w:hAnsi="Arial"/>
            <w:sz w:val="17"/>
            <w:szCs w:val="17"/>
            <w:u w:val="single" w:color="auto"/>
            <w:color w:val="0000FF"/>
          </w:rPr>
          <w:t>Exhibit No. 3.(ii) to our Form 8-K filed August 14, 2019 (File No.</w:t>
        </w:r>
      </w:hyperlink>
    </w:p>
    <w:p>
      <w:pPr>
        <w:spacing w:after="0"/>
        <w:rPr>
          <w:rFonts w:ascii="Arial" w:cs="Arial" w:eastAsia="Arial" w:hAnsi="Arial"/>
          <w:sz w:val="18"/>
          <w:szCs w:val="18"/>
          <w:u w:val="single" w:color="auto"/>
          <w:color w:val="0000FF"/>
        </w:rPr>
      </w:pPr>
      <w:hyperlink r:id="rId103">
        <w:r>
          <w:rPr>
            <w:rFonts w:ascii="Arial" w:cs="Arial" w:eastAsia="Arial" w:hAnsi="Arial"/>
            <w:sz w:val="18"/>
            <w:szCs w:val="18"/>
            <w:u w:val="single" w:color="auto"/>
            <w:color w:val="0000FF"/>
          </w:rPr>
          <w:t>001-13881).</w:t>
        </w:r>
      </w:hyperlink>
    </w:p>
    <w:p>
      <w:pPr>
        <w:spacing w:after="0" w:line="61" w:lineRule="exact"/>
        <w:rPr>
          <w:sz w:val="20"/>
          <w:szCs w:val="20"/>
          <w:color w:val="auto"/>
        </w:rPr>
      </w:pPr>
    </w:p>
    <w:p>
      <w:pPr>
        <w:ind w:right="100"/>
        <w:spacing w:after="0" w:line="235" w:lineRule="auto"/>
        <w:rPr>
          <w:rFonts w:ascii="Arial" w:cs="Arial" w:eastAsia="Arial" w:hAnsi="Arial"/>
          <w:sz w:val="18"/>
          <w:szCs w:val="18"/>
          <w:u w:val="single" w:color="auto"/>
          <w:color w:val="0000FF"/>
        </w:rPr>
      </w:pPr>
      <w:hyperlink r:id="rId104">
        <w:r>
          <w:rPr>
            <w:rFonts w:ascii="Arial" w:cs="Arial" w:eastAsia="Arial" w:hAnsi="Arial"/>
            <w:sz w:val="18"/>
            <w:szCs w:val="18"/>
            <w:u w:val="single" w:color="auto"/>
            <w:color w:val="0000FF"/>
          </w:rPr>
          <w:t>Exhibit No. 4.5 to our Form S-3ASR filed December 8, 2005 (File</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No. 333-130212).</w:t>
        </w:r>
      </w:hyperlink>
    </w:p>
    <w:p>
      <w:pPr>
        <w:spacing w:after="0" w:line="67" w:lineRule="exact"/>
        <w:rPr>
          <w:sz w:val="20"/>
          <w:szCs w:val="20"/>
          <w:color w:val="auto"/>
        </w:rPr>
      </w:pPr>
    </w:p>
    <w:p>
      <w:pPr>
        <w:ind w:right="620"/>
        <w:spacing w:after="0" w:line="235" w:lineRule="auto"/>
        <w:rPr>
          <w:rFonts w:ascii="Arial" w:cs="Arial" w:eastAsia="Arial" w:hAnsi="Arial"/>
          <w:sz w:val="18"/>
          <w:szCs w:val="18"/>
          <w:u w:val="single" w:color="auto"/>
          <w:color w:val="0000FF"/>
        </w:rPr>
      </w:pPr>
      <w:hyperlink r:id="rId105">
        <w:r>
          <w:rPr>
            <w:rFonts w:ascii="Arial" w:cs="Arial" w:eastAsia="Arial" w:hAnsi="Arial"/>
            <w:sz w:val="18"/>
            <w:szCs w:val="18"/>
            <w:u w:val="single" w:color="auto"/>
            <w:color w:val="0000FF"/>
          </w:rPr>
          <w:t>Exhibit No. 4.1 to our Form 10-K for the fiscal year- ended</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January 1, 1999 (File No. 001-13881).</w:t>
        </w:r>
      </w:hyperlink>
    </w:p>
    <w:p>
      <w:pPr>
        <w:spacing w:after="0" w:line="229" w:lineRule="exact"/>
        <w:rPr>
          <w:sz w:val="20"/>
          <w:szCs w:val="20"/>
          <w:color w:val="auto"/>
        </w:rPr>
      </w:pPr>
    </w:p>
    <w:p>
      <w:pPr>
        <w:ind w:right="660"/>
        <w:spacing w:after="0" w:line="235" w:lineRule="auto"/>
        <w:rPr>
          <w:rFonts w:ascii="Arial" w:cs="Arial" w:eastAsia="Arial" w:hAnsi="Arial"/>
          <w:sz w:val="18"/>
          <w:szCs w:val="18"/>
          <w:u w:val="single" w:color="auto"/>
          <w:color w:val="0000FF"/>
        </w:rPr>
      </w:pPr>
      <w:hyperlink r:id="rId106">
        <w:r>
          <w:rPr>
            <w:rFonts w:ascii="Arial" w:cs="Arial" w:eastAsia="Arial" w:hAnsi="Arial"/>
            <w:sz w:val="18"/>
            <w:szCs w:val="18"/>
            <w:u w:val="single" w:color="auto"/>
            <w:color w:val="0000FF"/>
          </w:rPr>
          <w:t>Exhibit No. 4.3 to our Form 10-K for the fiscal year-ended</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December 31, 2019 (File No. 001-13881).</w:t>
        </w:r>
      </w:hyperlink>
    </w:p>
    <w:p>
      <w:pPr>
        <w:spacing w:after="0" w:line="67" w:lineRule="exact"/>
        <w:rPr>
          <w:sz w:val="20"/>
          <w:szCs w:val="20"/>
          <w:color w:val="auto"/>
        </w:rPr>
      </w:pPr>
    </w:p>
    <w:p>
      <w:pPr>
        <w:ind w:right="220"/>
        <w:spacing w:after="0" w:line="261" w:lineRule="auto"/>
        <w:rPr>
          <w:rFonts w:ascii="Arial" w:cs="Arial" w:eastAsia="Arial" w:hAnsi="Arial"/>
          <w:sz w:val="18"/>
          <w:szCs w:val="18"/>
          <w:u w:val="single" w:color="auto"/>
          <w:color w:val="0000FF"/>
        </w:rPr>
      </w:pPr>
      <w:hyperlink r:id="rId107">
        <w:r>
          <w:rPr>
            <w:rFonts w:ascii="Arial" w:cs="Arial" w:eastAsia="Arial" w:hAnsi="Arial"/>
            <w:sz w:val="18"/>
            <w:szCs w:val="18"/>
            <w:u w:val="single" w:color="auto"/>
            <w:color w:val="0000FF"/>
          </w:rPr>
          <w:t>Exhibit No. 10 to our Form 8-K filed July 1, 2019 (File No. 001-</w:t>
        </w:r>
      </w:hyperlink>
      <w:hyperlink r:id="rId107">
        <w:r>
          <w:rPr>
            <w:rFonts w:ascii="Arial" w:cs="Arial" w:eastAsia="Arial" w:hAnsi="Arial"/>
            <w:sz w:val="18"/>
            <w:szCs w:val="18"/>
            <w:u w:val="single" w:color="auto"/>
            <w:color w:val="0000FF"/>
          </w:rPr>
          <w:t>13881).</w:t>
        </w:r>
      </w:hyperlink>
    </w:p>
    <w:p>
      <w:pPr>
        <w:spacing w:after="0" w:line="167" w:lineRule="exact"/>
        <w:rPr>
          <w:sz w:val="20"/>
          <w:szCs w:val="20"/>
          <w:color w:val="auto"/>
        </w:rPr>
      </w:pPr>
    </w:p>
    <w:p>
      <w:pPr>
        <w:spacing w:after="0"/>
        <w:rPr>
          <w:rFonts w:ascii="Arial" w:cs="Arial" w:eastAsia="Arial" w:hAnsi="Arial"/>
          <w:sz w:val="17"/>
          <w:szCs w:val="17"/>
          <w:u w:val="single" w:color="auto"/>
          <w:color w:val="0000FF"/>
        </w:rPr>
      </w:pPr>
      <w:hyperlink r:id="rId108">
        <w:r>
          <w:rPr>
            <w:rFonts w:ascii="Arial" w:cs="Arial" w:eastAsia="Arial" w:hAnsi="Arial"/>
            <w:sz w:val="17"/>
            <w:szCs w:val="17"/>
            <w:u w:val="single" w:color="auto"/>
            <w:color w:val="0000FF"/>
          </w:rPr>
          <w:t>Exhibit No. 10 to our Form 10-Q filed May 11, 2020 (File No.</w:t>
        </w:r>
      </w:hyperlink>
    </w:p>
    <w:p>
      <w:pPr>
        <w:spacing w:after="0"/>
        <w:rPr>
          <w:rFonts w:ascii="Arial" w:cs="Arial" w:eastAsia="Arial" w:hAnsi="Arial"/>
          <w:sz w:val="18"/>
          <w:szCs w:val="18"/>
          <w:u w:val="single" w:color="auto"/>
          <w:color w:val="0000FF"/>
        </w:rPr>
      </w:pPr>
      <w:hyperlink r:id="rId108">
        <w:r>
          <w:rPr>
            <w:rFonts w:ascii="Arial" w:cs="Arial" w:eastAsia="Arial" w:hAnsi="Arial"/>
            <w:sz w:val="18"/>
            <w:szCs w:val="18"/>
            <w:u w:val="single" w:color="auto"/>
            <w:color w:val="0000FF"/>
          </w:rPr>
          <w:t>001-13881).</w:t>
        </w:r>
      </w:hyperlink>
    </w:p>
    <w:p>
      <w:pPr>
        <w:spacing w:after="0" w:line="559" w:lineRule="exact"/>
        <w:rPr>
          <w:sz w:val="20"/>
          <w:szCs w:val="20"/>
          <w:color w:val="auto"/>
        </w:rPr>
      </w:pPr>
    </w:p>
    <w:p>
      <w:pPr>
        <w:sectPr>
          <w:pgSz w:w="11900" w:h="16838" w:orient="portrait"/>
          <w:cols w:equalWidth="0" w:num="2">
            <w:col w:w="6180" w:space="160"/>
            <w:col w:w="4880"/>
          </w:cols>
          <w:pgMar w:left="320" w:top="125" w:right="359" w:bottom="1440" w:gutter="0" w:footer="0" w:header="0"/>
          <w:type w:val="continuous"/>
        </w:sect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490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175"/>
        </w:trPr>
        <w:tc>
          <w:tcPr>
            <w:tcW w:w="1000" w:type="dxa"/>
            <w:vAlign w:val="bottom"/>
            <w:tcBorders>
              <w:top w:val="single" w:sz="8" w:color="auto"/>
            </w:tcBorders>
          </w:tcPr>
          <w:p>
            <w:pPr>
              <w:spacing w:after="0" w:line="175" w:lineRule="exact"/>
              <w:rPr>
                <w:sz w:val="20"/>
                <w:szCs w:val="20"/>
                <w:color w:val="auto"/>
              </w:rPr>
            </w:pPr>
            <w:r>
              <w:rPr>
                <w:rFonts w:ascii="Arial" w:cs="Arial" w:eastAsia="Arial" w:hAnsi="Arial"/>
                <w:sz w:val="18"/>
                <w:szCs w:val="18"/>
                <w:color w:val="auto"/>
              </w:rPr>
              <w:t>10.1.3</w:t>
            </w:r>
          </w:p>
        </w:tc>
        <w:tc>
          <w:tcPr>
            <w:tcW w:w="280" w:type="dxa"/>
            <w:vAlign w:val="bottom"/>
          </w:tcPr>
          <w:p>
            <w:pPr>
              <w:spacing w:after="0"/>
              <w:rPr>
                <w:sz w:val="15"/>
                <w:szCs w:val="15"/>
                <w:color w:val="auto"/>
              </w:rPr>
            </w:pPr>
          </w:p>
        </w:tc>
        <w:tc>
          <w:tcPr>
            <w:tcW w:w="4900" w:type="dxa"/>
            <w:vAlign w:val="bottom"/>
            <w:tcBorders>
              <w:top w:val="single" w:sz="8" w:color="auto"/>
            </w:tcBorders>
          </w:tcPr>
          <w:p>
            <w:pPr>
              <w:spacing w:after="0" w:line="175" w:lineRule="exact"/>
              <w:rPr>
                <w:sz w:val="20"/>
                <w:szCs w:val="20"/>
                <w:color w:val="auto"/>
              </w:rPr>
            </w:pPr>
            <w:r>
              <w:rPr>
                <w:rFonts w:ascii="Arial" w:cs="Arial" w:eastAsia="Arial" w:hAnsi="Arial"/>
                <w:sz w:val="18"/>
                <w:szCs w:val="18"/>
                <w:color w:val="auto"/>
                <w:w w:val="97"/>
              </w:rPr>
              <w:t>Second Amendment, dated as of January 26, 2021, to the Fifth</w:t>
            </w:r>
          </w:p>
        </w:tc>
      </w:tr>
      <w:tr>
        <w:trPr>
          <w:trHeight w:val="175"/>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w w:val="94"/>
              </w:rPr>
              <w:t>Amended and Restated Credit Agreement with Bank of America,</w:t>
            </w:r>
          </w:p>
        </w:tc>
      </w:tr>
      <w:tr>
        <w:trPr>
          <w:trHeight w:val="176"/>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w w:val="92"/>
              </w:rPr>
              <w:t>N.A., as administrative agent, and certain banks, dated as of June</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28, 2019.</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10.1.4</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Third Amendment, dated as of January 26, 2021, to the Fifth</w:t>
            </w:r>
          </w:p>
        </w:tc>
      </w:tr>
      <w:tr>
        <w:trPr>
          <w:trHeight w:val="175"/>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w w:val="94"/>
              </w:rPr>
              <w:t>Amended and Restated Credit Agreement with Bank of America,</w:t>
            </w:r>
          </w:p>
        </w:tc>
      </w:tr>
      <w:tr>
        <w:trPr>
          <w:trHeight w:val="176"/>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w w:val="92"/>
              </w:rPr>
              <w:t>N.A., as administrative agent, and certain banks, dated as of June</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28, 2019.</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10.2.1</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6"/>
              </w:rPr>
              <w:t>License, Services and Development Agreement entered into on</w:t>
            </w:r>
          </w:p>
        </w:tc>
      </w:tr>
      <w:tr>
        <w:trPr>
          <w:trHeight w:val="176"/>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w w:val="98"/>
              </w:rPr>
              <w:t>November 17, 2011, among the Company, Marriott Worldwide</w:t>
            </w:r>
          </w:p>
        </w:tc>
      </w:tr>
      <w:tr>
        <w:trPr>
          <w:trHeight w:val="176"/>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w w:val="96"/>
              </w:rPr>
              <w:t>Corporation, Marriott Vacations Worldwide Corporation, and the</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other signatories thereto.</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10.2.2</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First Amendment to License, Services, and Development</w:t>
            </w:r>
          </w:p>
        </w:tc>
      </w:tr>
      <w:tr>
        <w:trPr>
          <w:trHeight w:val="176"/>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w w:val="93"/>
              </w:rPr>
              <w:t>Agreement for Marriott Projects, dated February 26, 2018, among</w:t>
            </w:r>
          </w:p>
        </w:tc>
      </w:tr>
      <w:tr>
        <w:trPr>
          <w:trHeight w:val="176"/>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w w:val="93"/>
              </w:rPr>
              <w:t>the Company, Marriott Worldwide Corporation, Marriott Vacations</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Worldwide Corporation, and the other signatories thereto.</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10.2.3</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6"/>
              </w:rPr>
              <w:t>Letter of Agreement, effective as of September 1, 2018, among</w:t>
            </w:r>
          </w:p>
        </w:tc>
      </w:tr>
      <w:tr>
        <w:trPr>
          <w:trHeight w:val="176"/>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rPr>
              <w:t>Marriott International, Inc., Marriott Worldwide Corporation,</w:t>
            </w:r>
          </w:p>
        </w:tc>
      </w:tr>
      <w:tr>
        <w:trPr>
          <w:trHeight w:val="176"/>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w w:val="97"/>
              </w:rPr>
              <w:t>Marriott Rewards, LLC, Starwood Hotels &amp; Resorts Worldwide,</w:t>
            </w:r>
          </w:p>
        </w:tc>
      </w:tr>
      <w:tr>
        <w:trPr>
          <w:trHeight w:val="175"/>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rPr>
              <w:t>LLC, Marriott Vacations Worldwide Corporation, Marriott</w:t>
            </w:r>
          </w:p>
        </w:tc>
      </w:tr>
      <w:tr>
        <w:trPr>
          <w:trHeight w:val="176"/>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w w:val="93"/>
              </w:rPr>
              <w:t>Ownership Resorts, Inc., Vistana Signature Experiences, Inc. and</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ILG, LLC.</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10.3.1</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6"/>
              </w:rPr>
              <w:t>License, Services and Development Agreement entered into on</w:t>
            </w:r>
          </w:p>
        </w:tc>
      </w:tr>
      <w:tr>
        <w:trPr>
          <w:trHeight w:val="176"/>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w w:val="98"/>
              </w:rPr>
              <w:t>November 17, 2011, among The Ritz-Carlton Hotel Company,</w:t>
            </w:r>
          </w:p>
        </w:tc>
      </w:tr>
      <w:tr>
        <w:trPr>
          <w:trHeight w:val="176"/>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w w:val="96"/>
              </w:rPr>
              <w:t>L.L.C., Marriott Vacations Worldwide Corporation, and the other</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signatories thereto.</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10.3.2</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First Amendment to License, Services, and Development</w:t>
            </w:r>
          </w:p>
        </w:tc>
      </w:tr>
      <w:tr>
        <w:trPr>
          <w:trHeight w:val="175"/>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w w:val="98"/>
              </w:rPr>
              <w:t>Agreement for Ritz-Carlton Projects, dated February 26, 2018,</w:t>
            </w:r>
          </w:p>
        </w:tc>
      </w:tr>
      <w:tr>
        <w:trPr>
          <w:trHeight w:val="175"/>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rPr>
              <w:t>among The Ritz-Carlton Hotel Company, L.L.C., Marriott</w:t>
            </w:r>
          </w:p>
        </w:tc>
      </w:tr>
      <w:tr>
        <w:trPr>
          <w:trHeight w:val="175"/>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rPr>
              <w:t>Vacations Worldwide Corporation, and the other signatories</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thereto.</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10.4.1</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3"/>
              </w:rPr>
              <w:t>Marriott Rewards Affiliation Agreement entered into on November</w:t>
            </w:r>
          </w:p>
        </w:tc>
      </w:tr>
      <w:tr>
        <w:trPr>
          <w:trHeight w:val="175"/>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w w:val="93"/>
              </w:rPr>
              <w:t>17, 2011, among the Company, Marriott Rewards, L.L.C., Marriott</w:t>
            </w:r>
          </w:p>
        </w:tc>
      </w:tr>
      <w:tr>
        <w:trPr>
          <w:trHeight w:val="175"/>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w w:val="95"/>
              </w:rPr>
              <w:t>Vacations Worldwide Corporation and certain of its subsidiaries,</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1"/>
              </w:rPr>
              <w:t>Marriott Ownership Resorts, Inc., and the other signatories thereto.</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10.4.2</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6"/>
              </w:rPr>
              <w:t>First Amendment to the Marriott Rewards Affiliation Agreement,</w:t>
            </w:r>
          </w:p>
        </w:tc>
      </w:tr>
      <w:tr>
        <w:trPr>
          <w:trHeight w:val="175"/>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w w:val="92"/>
              </w:rPr>
              <w:t>dated February 26, 2018, among the Company, Marriott Rewards,</w:t>
            </w:r>
          </w:p>
        </w:tc>
      </w:tr>
      <w:tr>
        <w:trPr>
          <w:trHeight w:val="175"/>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rPr>
              <w:t>LLC, Marriott Vacations Worldwide Corporation, and Marriott</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Ownership Resorts, Inc.</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10.4.3</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7"/>
              </w:rPr>
              <w:t>Second Amendment to Marriott Rewards Affiliation Agreement,</w:t>
            </w:r>
          </w:p>
        </w:tc>
      </w:tr>
      <w:tr>
        <w:trPr>
          <w:trHeight w:val="176"/>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w w:val="90"/>
              </w:rPr>
              <w:t>dated November 25, 2019, among the Company, Marriott Rewards,</w:t>
            </w:r>
          </w:p>
        </w:tc>
      </w:tr>
      <w:tr>
        <w:trPr>
          <w:trHeight w:val="175"/>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rPr>
              <w:t>LLC, Marriott Vacations Worldwide Corporation, and Marriott</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Ownership Resorts, Inc.</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*10.5.1</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Marriott International, Inc. Stock and Cash Incentive Plan, as</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Amended Through February 13, 2014.</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*10.5.2</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7"/>
              </w:rPr>
              <w:t>Amendment dated August 7, 2014 to the Marriott International,</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Inc. Stock and Cash Incentive Plan.</w:t>
            </w:r>
          </w:p>
        </w:tc>
      </w:tr>
      <w:tr>
        <w:trPr>
          <w:trHeight w:val="904"/>
        </w:trPr>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00" w:type="dxa"/>
            <w:vAlign w:val="bottom"/>
          </w:tcPr>
          <w:p>
            <w:pPr>
              <w:ind w:left="4220"/>
              <w:spacing w:after="0"/>
              <w:rPr>
                <w:sz w:val="20"/>
                <w:szCs w:val="20"/>
                <w:color w:val="auto"/>
              </w:rPr>
            </w:pPr>
            <w:r>
              <w:rPr>
                <w:rFonts w:ascii="Arial" w:cs="Arial" w:eastAsia="Arial" w:hAnsi="Arial"/>
                <w:sz w:val="18"/>
                <w:szCs w:val="18"/>
                <w:color w:val="auto"/>
              </w:rPr>
              <w:t>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226" w:lineRule="auto"/>
        <w:rPr>
          <w:sz w:val="20"/>
          <w:szCs w:val="20"/>
          <w:color w:val="auto"/>
        </w:rPr>
      </w:pPr>
      <w:r>
        <w:rPr>
          <w:rFonts w:ascii="Arial" w:cs="Arial" w:eastAsia="Arial" w:hAnsi="Arial"/>
          <w:sz w:val="14"/>
          <w:szCs w:val="14"/>
          <w:b w:val="1"/>
          <w:bCs w:val="1"/>
          <w:color w:val="auto"/>
        </w:rPr>
        <w:t>Incorporation by Reference (where a report is indicated below, that document has been previously filed with the SEC and the applicable exhibit is incorporated by reference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8255</wp:posOffset>
            </wp:positionV>
            <wp:extent cx="3111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6" w:lineRule="exact"/>
        <w:rPr>
          <w:sz w:val="20"/>
          <w:szCs w:val="20"/>
          <w:color w:val="auto"/>
        </w:rPr>
      </w:pPr>
    </w:p>
    <w:p>
      <w:pPr>
        <w:spacing w:after="0"/>
        <w:rPr>
          <w:rFonts w:ascii="Arial" w:cs="Arial" w:eastAsia="Arial" w:hAnsi="Arial"/>
          <w:sz w:val="16"/>
          <w:szCs w:val="16"/>
          <w:u w:val="single" w:color="auto"/>
          <w:color w:val="0000FF"/>
        </w:rPr>
      </w:pPr>
      <w:hyperlink r:id="rId112">
        <w:r>
          <w:rPr>
            <w:rFonts w:ascii="Arial" w:cs="Arial" w:eastAsia="Arial" w:hAnsi="Arial"/>
            <w:sz w:val="16"/>
            <w:szCs w:val="16"/>
            <w:u w:val="single" w:color="auto"/>
            <w:color w:val="0000FF"/>
          </w:rPr>
          <w:t>Exhibit No. 10.1 to our Form 8-K filed January 28, 2021 (File No.</w:t>
        </w:r>
      </w:hyperlink>
    </w:p>
    <w:p>
      <w:pPr>
        <w:spacing w:after="0" w:line="8" w:lineRule="exact"/>
        <w:rPr>
          <w:sz w:val="20"/>
          <w:szCs w:val="20"/>
          <w:color w:val="auto"/>
        </w:rPr>
      </w:pPr>
    </w:p>
    <w:p>
      <w:pPr>
        <w:spacing w:after="0"/>
        <w:rPr>
          <w:rFonts w:ascii="Arial" w:cs="Arial" w:eastAsia="Arial" w:hAnsi="Arial"/>
          <w:sz w:val="18"/>
          <w:szCs w:val="18"/>
          <w:u w:val="single" w:color="auto"/>
          <w:color w:val="0000FF"/>
        </w:rPr>
      </w:pPr>
      <w:hyperlink r:id="rId112">
        <w:r>
          <w:rPr>
            <w:rFonts w:ascii="Arial" w:cs="Arial" w:eastAsia="Arial" w:hAnsi="Arial"/>
            <w:sz w:val="18"/>
            <w:szCs w:val="18"/>
            <w:u w:val="single" w:color="auto"/>
            <w:color w:val="0000FF"/>
          </w:rPr>
          <w:t>001-13881).</w:t>
        </w:r>
      </w:hyperlink>
    </w:p>
    <w:p>
      <w:pPr>
        <w:spacing w:after="0" w:line="200" w:lineRule="exact"/>
        <w:rPr>
          <w:sz w:val="20"/>
          <w:szCs w:val="20"/>
          <w:color w:val="auto"/>
        </w:rPr>
      </w:pPr>
    </w:p>
    <w:p>
      <w:pPr>
        <w:spacing w:after="0" w:line="212" w:lineRule="exact"/>
        <w:rPr>
          <w:sz w:val="20"/>
          <w:szCs w:val="20"/>
          <w:color w:val="auto"/>
        </w:rPr>
      </w:pPr>
    </w:p>
    <w:p>
      <w:pPr>
        <w:spacing w:after="0"/>
        <w:rPr>
          <w:rFonts w:ascii="Arial" w:cs="Arial" w:eastAsia="Arial" w:hAnsi="Arial"/>
          <w:sz w:val="16"/>
          <w:szCs w:val="16"/>
          <w:u w:val="single" w:color="auto"/>
          <w:color w:val="0000FF"/>
        </w:rPr>
      </w:pPr>
      <w:hyperlink r:id="rId113">
        <w:r>
          <w:rPr>
            <w:rFonts w:ascii="Arial" w:cs="Arial" w:eastAsia="Arial" w:hAnsi="Arial"/>
            <w:sz w:val="16"/>
            <w:szCs w:val="16"/>
            <w:u w:val="single" w:color="auto"/>
            <w:color w:val="0000FF"/>
          </w:rPr>
          <w:t>Exhibit No. 10.2 to our Form 8-K filed January 28, 2021 (File No.</w:t>
        </w:r>
      </w:hyperlink>
    </w:p>
    <w:p>
      <w:pPr>
        <w:spacing w:after="0" w:line="8" w:lineRule="exact"/>
        <w:rPr>
          <w:sz w:val="20"/>
          <w:szCs w:val="20"/>
          <w:color w:val="auto"/>
        </w:rPr>
      </w:pPr>
    </w:p>
    <w:p>
      <w:pPr>
        <w:spacing w:after="0"/>
        <w:rPr>
          <w:rFonts w:ascii="Arial" w:cs="Arial" w:eastAsia="Arial" w:hAnsi="Arial"/>
          <w:sz w:val="18"/>
          <w:szCs w:val="18"/>
          <w:u w:val="single" w:color="auto"/>
          <w:color w:val="0000FF"/>
        </w:rPr>
      </w:pPr>
      <w:hyperlink r:id="rId113">
        <w:r>
          <w:rPr>
            <w:rFonts w:ascii="Arial" w:cs="Arial" w:eastAsia="Arial" w:hAnsi="Arial"/>
            <w:sz w:val="18"/>
            <w:szCs w:val="18"/>
            <w:u w:val="single" w:color="auto"/>
            <w:color w:val="0000FF"/>
          </w:rPr>
          <w:t>001-13881).</w:t>
        </w:r>
      </w:hyperlink>
    </w:p>
    <w:p>
      <w:pPr>
        <w:spacing w:after="0" w:line="200" w:lineRule="exact"/>
        <w:rPr>
          <w:sz w:val="20"/>
          <w:szCs w:val="20"/>
          <w:color w:val="auto"/>
        </w:rPr>
      </w:pPr>
    </w:p>
    <w:p>
      <w:pPr>
        <w:spacing w:after="0" w:line="212" w:lineRule="exact"/>
        <w:rPr>
          <w:sz w:val="20"/>
          <w:szCs w:val="20"/>
          <w:color w:val="auto"/>
        </w:rPr>
      </w:pPr>
    </w:p>
    <w:p>
      <w:pPr>
        <w:ind w:right="120"/>
        <w:spacing w:after="0" w:line="235" w:lineRule="auto"/>
        <w:rPr>
          <w:rFonts w:ascii="Arial" w:cs="Arial" w:eastAsia="Arial" w:hAnsi="Arial"/>
          <w:sz w:val="18"/>
          <w:szCs w:val="18"/>
          <w:u w:val="single" w:color="auto"/>
          <w:color w:val="0000FF"/>
        </w:rPr>
      </w:pPr>
      <w:hyperlink r:id="rId114">
        <w:r>
          <w:rPr>
            <w:rFonts w:ascii="Arial" w:cs="Arial" w:eastAsia="Arial" w:hAnsi="Arial"/>
            <w:sz w:val="18"/>
            <w:szCs w:val="18"/>
            <w:u w:val="single" w:color="auto"/>
            <w:color w:val="0000FF"/>
          </w:rPr>
          <w:t>Exhibit No. 10.1 to our Form 8-K filed November 21, 2011 (File</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No. 001-13881).</w:t>
        </w:r>
      </w:hyperlink>
    </w:p>
    <w:p>
      <w:pPr>
        <w:spacing w:after="0" w:line="200" w:lineRule="exact"/>
        <w:rPr>
          <w:sz w:val="20"/>
          <w:szCs w:val="20"/>
          <w:color w:val="auto"/>
        </w:rPr>
      </w:pPr>
    </w:p>
    <w:p>
      <w:pPr>
        <w:spacing w:after="0" w:line="205" w:lineRule="exact"/>
        <w:rPr>
          <w:sz w:val="20"/>
          <w:szCs w:val="20"/>
          <w:color w:val="auto"/>
        </w:rPr>
      </w:pPr>
    </w:p>
    <w:p>
      <w:pPr>
        <w:ind w:right="220"/>
        <w:spacing w:after="0" w:line="235" w:lineRule="auto"/>
        <w:rPr>
          <w:rFonts w:ascii="Arial" w:cs="Arial" w:eastAsia="Arial" w:hAnsi="Arial"/>
          <w:sz w:val="18"/>
          <w:szCs w:val="18"/>
          <w:u w:val="single" w:color="auto"/>
          <w:color w:val="0000FF"/>
        </w:rPr>
      </w:pPr>
      <w:hyperlink r:id="rId115">
        <w:r>
          <w:rPr>
            <w:rFonts w:ascii="Arial" w:cs="Arial" w:eastAsia="Arial" w:hAnsi="Arial"/>
            <w:sz w:val="18"/>
            <w:szCs w:val="18"/>
            <w:u w:val="single" w:color="auto"/>
            <w:color w:val="0000FF"/>
          </w:rPr>
          <w:t>Exhibit No. 10.1 to our Form 8-K filed February 27, 2018 (File</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No. 001-13881).</w:t>
        </w:r>
      </w:hyperlink>
    </w:p>
    <w:p>
      <w:pPr>
        <w:spacing w:after="0" w:line="200" w:lineRule="exact"/>
        <w:rPr>
          <w:sz w:val="20"/>
          <w:szCs w:val="20"/>
          <w:color w:val="auto"/>
        </w:rPr>
      </w:pPr>
    </w:p>
    <w:p>
      <w:pPr>
        <w:spacing w:after="0" w:line="205" w:lineRule="exact"/>
        <w:rPr>
          <w:sz w:val="20"/>
          <w:szCs w:val="20"/>
          <w:color w:val="auto"/>
        </w:rPr>
      </w:pPr>
    </w:p>
    <w:p>
      <w:pPr>
        <w:ind w:right="120"/>
        <w:spacing w:after="0" w:line="235" w:lineRule="auto"/>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Exhibit No. 10.2 to our Form 10-Q filed November 6, 2018 (File</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No. 001-13881).</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120"/>
        <w:spacing w:after="0" w:line="235" w:lineRule="auto"/>
        <w:rPr>
          <w:rFonts w:ascii="Arial" w:cs="Arial" w:eastAsia="Arial" w:hAnsi="Arial"/>
          <w:sz w:val="18"/>
          <w:szCs w:val="18"/>
          <w:u w:val="single" w:color="auto"/>
          <w:color w:val="0000FF"/>
        </w:rPr>
      </w:pPr>
      <w:hyperlink r:id="rId117">
        <w:r>
          <w:rPr>
            <w:rFonts w:ascii="Arial" w:cs="Arial" w:eastAsia="Arial" w:hAnsi="Arial"/>
            <w:sz w:val="18"/>
            <w:szCs w:val="18"/>
            <w:u w:val="single" w:color="auto"/>
            <w:color w:val="0000FF"/>
          </w:rPr>
          <w:t>Exhibit No. 10.2 to our Form 8-K filed November 21, 2011 (File</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No. 001-13881).</w:t>
        </w:r>
      </w:hyperlink>
    </w:p>
    <w:p>
      <w:pPr>
        <w:spacing w:after="0" w:line="200" w:lineRule="exact"/>
        <w:rPr>
          <w:sz w:val="20"/>
          <w:szCs w:val="20"/>
          <w:color w:val="auto"/>
        </w:rPr>
      </w:pPr>
    </w:p>
    <w:p>
      <w:pPr>
        <w:spacing w:after="0" w:line="205" w:lineRule="exact"/>
        <w:rPr>
          <w:sz w:val="20"/>
          <w:szCs w:val="20"/>
          <w:color w:val="auto"/>
        </w:rPr>
      </w:pPr>
    </w:p>
    <w:p>
      <w:pPr>
        <w:ind w:right="220"/>
        <w:spacing w:after="0" w:line="235" w:lineRule="auto"/>
        <w:rPr>
          <w:rFonts w:ascii="Arial" w:cs="Arial" w:eastAsia="Arial" w:hAnsi="Arial"/>
          <w:sz w:val="18"/>
          <w:szCs w:val="18"/>
          <w:u w:val="single" w:color="auto"/>
          <w:color w:val="0000FF"/>
        </w:rPr>
      </w:pPr>
      <w:hyperlink r:id="rId118">
        <w:r>
          <w:rPr>
            <w:rFonts w:ascii="Arial" w:cs="Arial" w:eastAsia="Arial" w:hAnsi="Arial"/>
            <w:sz w:val="18"/>
            <w:szCs w:val="18"/>
            <w:u w:val="single" w:color="auto"/>
            <w:color w:val="0000FF"/>
          </w:rPr>
          <w:t>Exhibit No. 10.2 to our Form 8-K filed February 27, 2018 (File</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No. 001-13881).</w:t>
        </w:r>
      </w:hyperlink>
    </w:p>
    <w:p>
      <w:pPr>
        <w:spacing w:after="0" w:line="200" w:lineRule="exact"/>
        <w:rPr>
          <w:sz w:val="20"/>
          <w:szCs w:val="20"/>
          <w:color w:val="auto"/>
        </w:rPr>
      </w:pPr>
    </w:p>
    <w:p>
      <w:pPr>
        <w:spacing w:after="0" w:line="380" w:lineRule="exact"/>
        <w:rPr>
          <w:sz w:val="20"/>
          <w:szCs w:val="20"/>
          <w:color w:val="auto"/>
        </w:rPr>
      </w:pPr>
    </w:p>
    <w:p>
      <w:pPr>
        <w:ind w:right="120"/>
        <w:spacing w:after="0" w:line="235" w:lineRule="auto"/>
        <w:rPr>
          <w:rFonts w:ascii="Arial" w:cs="Arial" w:eastAsia="Arial" w:hAnsi="Arial"/>
          <w:sz w:val="18"/>
          <w:szCs w:val="18"/>
          <w:u w:val="single" w:color="auto"/>
          <w:color w:val="0000FF"/>
        </w:rPr>
      </w:pPr>
      <w:hyperlink r:id="rId119">
        <w:r>
          <w:rPr>
            <w:rFonts w:ascii="Arial" w:cs="Arial" w:eastAsia="Arial" w:hAnsi="Arial"/>
            <w:sz w:val="18"/>
            <w:szCs w:val="18"/>
            <w:u w:val="single" w:color="auto"/>
            <w:color w:val="0000FF"/>
          </w:rPr>
          <w:t>Exhibit No. 10.5 to our Form 8-K filed November 21, 2011 (File</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No. 001-13881).</w:t>
        </w:r>
      </w:hyperlink>
    </w:p>
    <w:p>
      <w:pPr>
        <w:spacing w:after="0" w:line="200" w:lineRule="exact"/>
        <w:rPr>
          <w:sz w:val="20"/>
          <w:szCs w:val="20"/>
          <w:color w:val="auto"/>
        </w:rPr>
      </w:pPr>
    </w:p>
    <w:p>
      <w:pPr>
        <w:spacing w:after="0" w:line="205" w:lineRule="exact"/>
        <w:rPr>
          <w:sz w:val="20"/>
          <w:szCs w:val="20"/>
          <w:color w:val="auto"/>
        </w:rPr>
      </w:pPr>
    </w:p>
    <w:p>
      <w:pPr>
        <w:ind w:right="220"/>
        <w:spacing w:after="0" w:line="235" w:lineRule="auto"/>
        <w:rPr>
          <w:rFonts w:ascii="Arial" w:cs="Arial" w:eastAsia="Arial" w:hAnsi="Arial"/>
          <w:sz w:val="18"/>
          <w:szCs w:val="18"/>
          <w:u w:val="single" w:color="auto"/>
          <w:color w:val="0000FF"/>
        </w:rPr>
      </w:pPr>
      <w:hyperlink r:id="rId120">
        <w:r>
          <w:rPr>
            <w:rFonts w:ascii="Arial" w:cs="Arial" w:eastAsia="Arial" w:hAnsi="Arial"/>
            <w:sz w:val="18"/>
            <w:szCs w:val="18"/>
            <w:u w:val="single" w:color="auto"/>
            <w:color w:val="0000FF"/>
          </w:rPr>
          <w:t>Exhibit No. 10.3 to our Form 8-K filed February 27, 2018 (File</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No. 001-13881).</w:t>
        </w:r>
      </w:hyperlink>
    </w:p>
    <w:p>
      <w:pPr>
        <w:spacing w:after="0" w:line="200" w:lineRule="exact"/>
        <w:rPr>
          <w:sz w:val="20"/>
          <w:szCs w:val="20"/>
          <w:color w:val="auto"/>
        </w:rPr>
      </w:pPr>
    </w:p>
    <w:p>
      <w:pPr>
        <w:spacing w:after="0" w:line="205" w:lineRule="exact"/>
        <w:rPr>
          <w:sz w:val="20"/>
          <w:szCs w:val="20"/>
          <w:color w:val="auto"/>
        </w:rPr>
      </w:pPr>
    </w:p>
    <w:p>
      <w:pPr>
        <w:ind w:right="340"/>
        <w:spacing w:after="0" w:line="235" w:lineRule="auto"/>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Exhibit No. 10.4.3 to our Form 10-K for the fiscal year-ended</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December 31, 2019 (File No. 001-13881).</w:t>
        </w:r>
      </w:hyperlink>
    </w:p>
    <w:p>
      <w:pPr>
        <w:spacing w:after="0" w:line="200" w:lineRule="exact"/>
        <w:rPr>
          <w:sz w:val="20"/>
          <w:szCs w:val="20"/>
          <w:color w:val="auto"/>
        </w:rPr>
      </w:pPr>
    </w:p>
    <w:p>
      <w:pPr>
        <w:spacing w:after="0" w:line="205" w:lineRule="exact"/>
        <w:rPr>
          <w:sz w:val="20"/>
          <w:szCs w:val="20"/>
          <w:color w:val="auto"/>
        </w:rPr>
      </w:pPr>
    </w:p>
    <w:p>
      <w:pPr>
        <w:ind w:right="220"/>
        <w:spacing w:after="0" w:line="235" w:lineRule="auto"/>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Exhibit A to our Definitive Proxy Statement filed April 4, 2014</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(File No. 001-13881).</w:t>
        </w:r>
      </w:hyperlink>
    </w:p>
    <w:p>
      <w:pPr>
        <w:spacing w:after="0" w:line="54" w:lineRule="exact"/>
        <w:rPr>
          <w:sz w:val="20"/>
          <w:szCs w:val="20"/>
          <w:color w:val="auto"/>
        </w:rPr>
      </w:pPr>
    </w:p>
    <w:p>
      <w:pPr>
        <w:spacing w:after="0"/>
        <w:rPr>
          <w:rFonts w:ascii="Arial" w:cs="Arial" w:eastAsia="Arial" w:hAnsi="Arial"/>
          <w:sz w:val="16"/>
          <w:szCs w:val="16"/>
          <w:u w:val="single" w:color="auto"/>
          <w:color w:val="0000FF"/>
        </w:rPr>
      </w:pPr>
      <w:hyperlink r:id="rId123">
        <w:r>
          <w:rPr>
            <w:rFonts w:ascii="Arial" w:cs="Arial" w:eastAsia="Arial" w:hAnsi="Arial"/>
            <w:sz w:val="16"/>
            <w:szCs w:val="16"/>
            <w:u w:val="single" w:color="auto"/>
            <w:color w:val="0000FF"/>
          </w:rPr>
          <w:t>Exhibit No. 10 to our Form 10-Q filed October 29, 2014 (File No.</w:t>
        </w:r>
      </w:hyperlink>
    </w:p>
    <w:p>
      <w:pPr>
        <w:spacing w:after="0" w:line="8" w:lineRule="exact"/>
        <w:rPr>
          <w:sz w:val="20"/>
          <w:szCs w:val="20"/>
          <w:color w:val="auto"/>
        </w:rPr>
      </w:pPr>
    </w:p>
    <w:p>
      <w:pPr>
        <w:spacing w:after="0"/>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001-13881).</w:t>
        </w:r>
      </w:hyperlink>
    </w:p>
    <w:p>
      <w:pPr>
        <w:sectPr>
          <w:pgSz w:w="11900" w:h="16838" w:orient="portrait"/>
          <w:cols w:equalWidth="0" w:num="2">
            <w:col w:w="6220" w:space="120"/>
            <w:col w:w="4780"/>
          </w:cols>
          <w:pgMar w:left="320" w:top="125" w:right="45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490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175"/>
        </w:trPr>
        <w:tc>
          <w:tcPr>
            <w:tcW w:w="1000" w:type="dxa"/>
            <w:vAlign w:val="bottom"/>
            <w:tcBorders>
              <w:top w:val="single" w:sz="8" w:color="auto"/>
            </w:tcBorders>
          </w:tcPr>
          <w:p>
            <w:pPr>
              <w:spacing w:after="0" w:line="175" w:lineRule="exact"/>
              <w:rPr>
                <w:sz w:val="20"/>
                <w:szCs w:val="20"/>
                <w:color w:val="auto"/>
              </w:rPr>
            </w:pPr>
            <w:r>
              <w:rPr>
                <w:rFonts w:ascii="Arial" w:cs="Arial" w:eastAsia="Arial" w:hAnsi="Arial"/>
                <w:sz w:val="18"/>
                <w:szCs w:val="18"/>
                <w:color w:val="auto"/>
              </w:rPr>
              <w:t>*10.5.3</w:t>
            </w:r>
          </w:p>
        </w:tc>
        <w:tc>
          <w:tcPr>
            <w:tcW w:w="280" w:type="dxa"/>
            <w:vAlign w:val="bottom"/>
          </w:tcPr>
          <w:p>
            <w:pPr>
              <w:spacing w:after="0"/>
              <w:rPr>
                <w:sz w:val="15"/>
                <w:szCs w:val="15"/>
                <w:color w:val="auto"/>
              </w:rPr>
            </w:pPr>
          </w:p>
        </w:tc>
        <w:tc>
          <w:tcPr>
            <w:tcW w:w="4900" w:type="dxa"/>
            <w:vAlign w:val="bottom"/>
            <w:tcBorders>
              <w:top w:val="single" w:sz="8" w:color="auto"/>
            </w:tcBorders>
          </w:tcPr>
          <w:p>
            <w:pPr>
              <w:spacing w:after="0" w:line="175" w:lineRule="exact"/>
              <w:rPr>
                <w:sz w:val="20"/>
                <w:szCs w:val="20"/>
                <w:color w:val="auto"/>
              </w:rPr>
            </w:pPr>
            <w:r>
              <w:rPr>
                <w:rFonts w:ascii="Arial" w:cs="Arial" w:eastAsia="Arial" w:hAnsi="Arial"/>
                <w:sz w:val="18"/>
                <w:szCs w:val="18"/>
                <w:color w:val="auto"/>
              </w:rPr>
              <w:t>Amendment dated September 23, 2016 to the Marriott</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International, Inc. Stock and Cash Incentive Plan.</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*10.5.4</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5"/>
              </w:rPr>
              <w:t>Amendment dated May 5, 2017 to the Marriott International, Inc.</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Stock and Cash Incentive Plan.</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*10.5.5</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3"/>
              </w:rPr>
              <w:t>Amendment dated February 15, 2019 to the Marriott International,</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Inc. Stock and Cash Incentive Plan.</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*10.5.6</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3"/>
              </w:rPr>
              <w:t>Amendment dated May 10, 2019 to the Marriott International, Inc.</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Stock and Cash Incentive Plan.</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*10.5.7</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5"/>
              </w:rPr>
              <w:t>Amendment dated May 8, 2020 to the Marriott International, Inc.</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Stock and Cash Incentive Plan.</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*10.6.1</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Marriott International, Inc. Executive Deferred Compensation</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Plan, Amended and Restated as of January 1, 2009.</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*10.6.2</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4"/>
              </w:rPr>
              <w:t>Amendment to the Marriott International, Inc. Executive Deferred</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Compensation Plan, effective January 1, 2010.</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*10.6.3</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4"/>
              </w:rPr>
              <w:t>Amendment to the Marriott International, Inc. Executive Deferred</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Compensation Plan, effective April 1, 2010.</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*10.6.4</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4"/>
              </w:rPr>
              <w:t>Amendment to the Marriott International, Inc. Executive Deferred</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Compensation Plan, effective October 25, 2011.</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*10.6.5</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4"/>
              </w:rPr>
              <w:t>Amendment to the Marriott International, Inc. Executive Deferred</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Compensation Plan, effective November 19, 2011.</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*10.6.6</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4"/>
              </w:rPr>
              <w:t>Amendment to the Marriott International, Inc. Executive Deferred</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Compensation Plan, effective January 1, 2013.</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*10.6.7</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4"/>
              </w:rPr>
              <w:t>Amendment to the Marriott International, Inc. Executive Deferred</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Compensation Plan, effective September 23, 2016 (409A).</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*10.6.8</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4"/>
              </w:rPr>
              <w:t>Amendment to the Marriott International, Inc. Executive Deferred</w:t>
            </w:r>
          </w:p>
        </w:tc>
      </w:tr>
      <w:tr>
        <w:trPr>
          <w:trHeight w:val="175"/>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w w:val="99"/>
              </w:rPr>
              <w:t>Compensation Plan, effective September 23, 2016 (Starwood</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deferral elections).</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*10.6.9</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4"/>
              </w:rPr>
              <w:t>Amendment to the Marriott International, Inc. Executive Deferred</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Compensation Plan, effective January 1, 2019.</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*10.7.1</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3"/>
              </w:rPr>
              <w:t>Form of Employee Non-Qualified Stock Option Agreement for the</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Marriott International, Inc. Stock and Cash Incentive Plan.</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*10.7.2</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Form of Senior Executive Supplemental Non-Qualified Stock</w:t>
            </w:r>
          </w:p>
        </w:tc>
      </w:tr>
      <w:tr>
        <w:trPr>
          <w:trHeight w:val="175"/>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w w:val="98"/>
              </w:rPr>
              <w:t>Option Agreement for the Marriott International, Inc. Stock and</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Cash Incentive Plan.</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*10.8.1</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3"/>
              </w:rPr>
              <w:t>Form of Executive Restricted Stock Unit/MI Shares Agreement for</w:t>
            </w:r>
          </w:p>
        </w:tc>
      </w:tr>
      <w:tr>
        <w:trPr>
          <w:trHeight w:val="175"/>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w w:val="92"/>
              </w:rPr>
              <w:t>the Marriott International, Inc. Stock and Cash Incentive Plan (pre-</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February 2018).</w:t>
            </w:r>
          </w:p>
        </w:tc>
      </w:tr>
      <w:tr>
        <w:trPr>
          <w:trHeight w:val="904"/>
        </w:trPr>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00" w:type="dxa"/>
            <w:vAlign w:val="bottom"/>
          </w:tcPr>
          <w:p>
            <w:pPr>
              <w:ind w:left="4220"/>
              <w:spacing w:after="0"/>
              <w:rPr>
                <w:sz w:val="20"/>
                <w:szCs w:val="20"/>
                <w:color w:val="auto"/>
              </w:rPr>
            </w:pPr>
            <w:r>
              <w:rPr>
                <w:rFonts w:ascii="Arial" w:cs="Arial" w:eastAsia="Arial" w:hAnsi="Arial"/>
                <w:sz w:val="18"/>
                <w:szCs w:val="18"/>
                <w:color w:val="auto"/>
              </w:rPr>
              <w:t>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
        <w:spacing w:after="0" w:line="226" w:lineRule="auto"/>
        <w:rPr>
          <w:sz w:val="20"/>
          <w:szCs w:val="20"/>
          <w:color w:val="auto"/>
        </w:rPr>
      </w:pPr>
      <w:r>
        <w:rPr>
          <w:rFonts w:ascii="Arial" w:cs="Arial" w:eastAsia="Arial" w:hAnsi="Arial"/>
          <w:sz w:val="14"/>
          <w:szCs w:val="14"/>
          <w:b w:val="1"/>
          <w:bCs w:val="1"/>
          <w:color w:val="auto"/>
        </w:rPr>
        <w:t>Incorporation by Reference (where a report is indicated below, that document has been previously filed with the SEC and the applicable exhibit is incorporated by reference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8255</wp:posOffset>
            </wp:positionV>
            <wp:extent cx="3111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5">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6" w:lineRule="exact"/>
        <w:rPr>
          <w:sz w:val="20"/>
          <w:szCs w:val="20"/>
          <w:color w:val="auto"/>
        </w:rPr>
      </w:pPr>
    </w:p>
    <w:p>
      <w:pPr>
        <w:spacing w:after="0"/>
        <w:rPr>
          <w:rFonts w:ascii="Arial" w:cs="Arial" w:eastAsia="Arial" w:hAnsi="Arial"/>
          <w:sz w:val="16"/>
          <w:szCs w:val="16"/>
          <w:u w:val="single" w:color="auto"/>
          <w:color w:val="0000FF"/>
        </w:rPr>
      </w:pPr>
      <w:hyperlink r:id="rId126">
        <w:r>
          <w:rPr>
            <w:rFonts w:ascii="Arial" w:cs="Arial" w:eastAsia="Arial" w:hAnsi="Arial"/>
            <w:sz w:val="16"/>
            <w:szCs w:val="16"/>
            <w:u w:val="single" w:color="auto"/>
            <w:color w:val="0000FF"/>
          </w:rPr>
          <w:t>Exhibit 10.8.2 to our Form 10-K filed February 15, 2018 (File No.</w:t>
        </w:r>
      </w:hyperlink>
    </w:p>
    <w:p>
      <w:pPr>
        <w:spacing w:after="0" w:line="8" w:lineRule="exact"/>
        <w:rPr>
          <w:sz w:val="20"/>
          <w:szCs w:val="20"/>
          <w:color w:val="auto"/>
        </w:rPr>
      </w:pPr>
    </w:p>
    <w:p>
      <w:pPr>
        <w:spacing w:after="0"/>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001-13881).</w:t>
        </w:r>
      </w:hyperlink>
    </w:p>
    <w:p>
      <w:pPr>
        <w:spacing w:after="0" w:line="61" w:lineRule="exact"/>
        <w:rPr>
          <w:sz w:val="20"/>
          <w:szCs w:val="20"/>
          <w:color w:val="auto"/>
        </w:rPr>
      </w:pPr>
    </w:p>
    <w:p>
      <w:pPr>
        <w:spacing w:after="0"/>
        <w:rPr>
          <w:rFonts w:ascii="Arial" w:cs="Arial" w:eastAsia="Arial" w:hAnsi="Arial"/>
          <w:sz w:val="16"/>
          <w:szCs w:val="16"/>
          <w:u w:val="single" w:color="auto"/>
          <w:color w:val="0000FF"/>
        </w:rPr>
      </w:pPr>
      <w:hyperlink r:id="rId127">
        <w:r>
          <w:rPr>
            <w:rFonts w:ascii="Arial" w:cs="Arial" w:eastAsia="Arial" w:hAnsi="Arial"/>
            <w:sz w:val="16"/>
            <w:szCs w:val="16"/>
            <w:u w:val="single" w:color="auto"/>
            <w:color w:val="0000FF"/>
          </w:rPr>
          <w:t>Exhibit 10.8.3 to our Form 10-K filed February 15, 2018 (File No.</w:t>
        </w:r>
      </w:hyperlink>
    </w:p>
    <w:p>
      <w:pPr>
        <w:spacing w:after="0" w:line="8" w:lineRule="exact"/>
        <w:rPr>
          <w:sz w:val="20"/>
          <w:szCs w:val="20"/>
          <w:color w:val="auto"/>
        </w:rPr>
      </w:pPr>
    </w:p>
    <w:p>
      <w:pPr>
        <w:spacing w:after="0"/>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001-13881).</w:t>
        </w:r>
      </w:hyperlink>
    </w:p>
    <w:p>
      <w:pPr>
        <w:spacing w:after="0" w:line="57" w:lineRule="exact"/>
        <w:rPr>
          <w:sz w:val="20"/>
          <w:szCs w:val="20"/>
          <w:color w:val="auto"/>
        </w:rPr>
      </w:pPr>
    </w:p>
    <w:p>
      <w:pPr>
        <w:spacing w:after="0"/>
        <w:rPr>
          <w:rFonts w:ascii="Arial" w:cs="Arial" w:eastAsia="Arial" w:hAnsi="Arial"/>
          <w:sz w:val="17"/>
          <w:szCs w:val="17"/>
          <w:u w:val="single" w:color="auto"/>
          <w:color w:val="0000FF"/>
        </w:rPr>
      </w:pPr>
      <w:hyperlink r:id="rId128">
        <w:r>
          <w:rPr>
            <w:rFonts w:ascii="Arial" w:cs="Arial" w:eastAsia="Arial" w:hAnsi="Arial"/>
            <w:sz w:val="17"/>
            <w:szCs w:val="17"/>
            <w:u w:val="single" w:color="auto"/>
            <w:color w:val="0000FF"/>
          </w:rPr>
          <w:t>Exhibit 10.7.5 to our Form 10-K filed March 1, 2019 (File No.</w:t>
        </w:r>
      </w:hyperlink>
    </w:p>
    <w:p>
      <w:pPr>
        <w:spacing w:after="0"/>
        <w:rPr>
          <w:rFonts w:ascii="Arial" w:cs="Arial" w:eastAsia="Arial" w:hAnsi="Arial"/>
          <w:sz w:val="18"/>
          <w:szCs w:val="18"/>
          <w:u w:val="single" w:color="auto"/>
          <w:color w:val="0000FF"/>
        </w:rPr>
      </w:pPr>
      <w:hyperlink r:id="rId128">
        <w:r>
          <w:rPr>
            <w:rFonts w:ascii="Arial" w:cs="Arial" w:eastAsia="Arial" w:hAnsi="Arial"/>
            <w:sz w:val="18"/>
            <w:szCs w:val="18"/>
            <w:u w:val="single" w:color="auto"/>
            <w:color w:val="0000FF"/>
          </w:rPr>
          <w:t>001-13881).</w:t>
        </w:r>
      </w:hyperlink>
    </w:p>
    <w:p>
      <w:pPr>
        <w:spacing w:after="0" w:line="61" w:lineRule="exact"/>
        <w:rPr>
          <w:sz w:val="20"/>
          <w:szCs w:val="20"/>
          <w:color w:val="auto"/>
        </w:rPr>
      </w:pPr>
    </w:p>
    <w:p>
      <w:pPr>
        <w:spacing w:after="0" w:line="235" w:lineRule="auto"/>
        <w:rPr>
          <w:rFonts w:ascii="Arial" w:cs="Arial" w:eastAsia="Arial" w:hAnsi="Arial"/>
          <w:sz w:val="18"/>
          <w:szCs w:val="18"/>
          <w:u w:val="single" w:color="auto"/>
          <w:color w:val="0000FF"/>
        </w:rPr>
      </w:pPr>
      <w:hyperlink r:id="rId129">
        <w:r>
          <w:rPr>
            <w:rFonts w:ascii="Arial" w:cs="Arial" w:eastAsia="Arial" w:hAnsi="Arial"/>
            <w:sz w:val="18"/>
            <w:szCs w:val="18"/>
            <w:u w:val="single" w:color="auto"/>
            <w:color w:val="0000FF"/>
          </w:rPr>
          <w:t>Exhibit 10.1 to our Form 10-Q filed August 6, 2019 (File No. 001-</w:t>
        </w:r>
      </w:hyperlink>
      <w:hyperlink r:id="rId129">
        <w:r>
          <w:rPr>
            <w:rFonts w:ascii="Arial" w:cs="Arial" w:eastAsia="Arial" w:hAnsi="Arial"/>
            <w:sz w:val="18"/>
            <w:szCs w:val="18"/>
            <w:u w:val="single" w:color="auto"/>
            <w:color w:val="0000FF"/>
          </w:rPr>
          <w:t>13881).</w:t>
        </w:r>
      </w:hyperlink>
    </w:p>
    <w:p>
      <w:pPr>
        <w:spacing w:after="0" w:line="50" w:lineRule="exact"/>
        <w:rPr>
          <w:sz w:val="20"/>
          <w:szCs w:val="20"/>
          <w:color w:val="auto"/>
        </w:rPr>
      </w:pPr>
    </w:p>
    <w:p>
      <w:pPr>
        <w:spacing w:after="0"/>
        <w:rPr>
          <w:rFonts w:ascii="Arial" w:cs="Arial" w:eastAsia="Arial" w:hAnsi="Arial"/>
          <w:sz w:val="17"/>
          <w:szCs w:val="17"/>
          <w:u w:val="single" w:color="auto"/>
          <w:color w:val="0000FF"/>
        </w:rPr>
      </w:pPr>
      <w:hyperlink r:id="rId130">
        <w:r>
          <w:rPr>
            <w:rFonts w:ascii="Arial" w:cs="Arial" w:eastAsia="Arial" w:hAnsi="Arial"/>
            <w:sz w:val="17"/>
            <w:szCs w:val="17"/>
            <w:u w:val="single" w:color="auto"/>
            <w:color w:val="0000FF"/>
          </w:rPr>
          <w:t>Exhibit 10.1 to our Form 10-Q filed August 10, 2020 (File No.</w:t>
        </w:r>
      </w:hyperlink>
    </w:p>
    <w:p>
      <w:pPr>
        <w:spacing w:after="0"/>
        <w:rPr>
          <w:rFonts w:ascii="Arial" w:cs="Arial" w:eastAsia="Arial" w:hAnsi="Arial"/>
          <w:sz w:val="18"/>
          <w:szCs w:val="18"/>
          <w:u w:val="single" w:color="auto"/>
          <w:color w:val="0000FF"/>
        </w:rPr>
      </w:pPr>
      <w:hyperlink r:id="rId130">
        <w:r>
          <w:rPr>
            <w:rFonts w:ascii="Arial" w:cs="Arial" w:eastAsia="Arial" w:hAnsi="Arial"/>
            <w:sz w:val="18"/>
            <w:szCs w:val="18"/>
            <w:u w:val="single" w:color="auto"/>
            <w:color w:val="0000FF"/>
          </w:rPr>
          <w:t>001-13881).</w:t>
        </w:r>
      </w:hyperlink>
    </w:p>
    <w:p>
      <w:pPr>
        <w:spacing w:after="0" w:line="57" w:lineRule="exact"/>
        <w:rPr>
          <w:sz w:val="20"/>
          <w:szCs w:val="20"/>
          <w:color w:val="auto"/>
        </w:rPr>
      </w:pPr>
    </w:p>
    <w:p>
      <w:pPr>
        <w:spacing w:after="0"/>
        <w:rPr>
          <w:rFonts w:ascii="Arial" w:cs="Arial" w:eastAsia="Arial" w:hAnsi="Arial"/>
          <w:sz w:val="17"/>
          <w:szCs w:val="17"/>
          <w:u w:val="single" w:color="auto"/>
          <w:color w:val="0000FF"/>
        </w:rPr>
      </w:pPr>
      <w:hyperlink r:id="rId131">
        <w:r>
          <w:rPr>
            <w:rFonts w:ascii="Arial" w:cs="Arial" w:eastAsia="Arial" w:hAnsi="Arial"/>
            <w:sz w:val="17"/>
            <w:szCs w:val="17"/>
            <w:u w:val="single" w:color="auto"/>
            <w:color w:val="0000FF"/>
          </w:rPr>
          <w:t>Exhibit No. 99 to our Form 8-K filed August 6, 2009 (File No.</w:t>
        </w:r>
      </w:hyperlink>
    </w:p>
    <w:p>
      <w:pPr>
        <w:spacing w:after="0"/>
        <w:rPr>
          <w:rFonts w:ascii="Arial" w:cs="Arial" w:eastAsia="Arial" w:hAnsi="Arial"/>
          <w:sz w:val="18"/>
          <w:szCs w:val="18"/>
          <w:u w:val="single" w:color="auto"/>
          <w:color w:val="0000FF"/>
        </w:rPr>
      </w:pPr>
      <w:hyperlink r:id="rId131">
        <w:r>
          <w:rPr>
            <w:rFonts w:ascii="Arial" w:cs="Arial" w:eastAsia="Arial" w:hAnsi="Arial"/>
            <w:sz w:val="18"/>
            <w:szCs w:val="18"/>
            <w:u w:val="single" w:color="auto"/>
            <w:color w:val="0000FF"/>
          </w:rPr>
          <w:t>001-13881).</w:t>
        </w:r>
      </w:hyperlink>
    </w:p>
    <w:p>
      <w:pPr>
        <w:spacing w:after="0" w:line="61" w:lineRule="exact"/>
        <w:rPr>
          <w:sz w:val="20"/>
          <w:szCs w:val="20"/>
          <w:color w:val="auto"/>
        </w:rPr>
      </w:pPr>
    </w:p>
    <w:p>
      <w:pPr>
        <w:spacing w:after="0"/>
        <w:rPr>
          <w:rFonts w:ascii="Arial" w:cs="Arial" w:eastAsia="Arial" w:hAnsi="Arial"/>
          <w:sz w:val="16"/>
          <w:szCs w:val="16"/>
          <w:u w:val="single" w:color="auto"/>
          <w:color w:val="0000FF"/>
        </w:rPr>
      </w:pPr>
      <w:hyperlink r:id="rId132">
        <w:r>
          <w:rPr>
            <w:rFonts w:ascii="Arial" w:cs="Arial" w:eastAsia="Arial" w:hAnsi="Arial"/>
            <w:sz w:val="16"/>
            <w:szCs w:val="16"/>
            <w:u w:val="single" w:color="auto"/>
            <w:color w:val="0000FF"/>
          </w:rPr>
          <w:t>Exhibit 10.9.1 to our Form 10-K filed February 15, 2018 (File No.</w:t>
        </w:r>
      </w:hyperlink>
    </w:p>
    <w:p>
      <w:pPr>
        <w:spacing w:after="0" w:line="8" w:lineRule="exact"/>
        <w:rPr>
          <w:sz w:val="20"/>
          <w:szCs w:val="20"/>
          <w:color w:val="auto"/>
        </w:rPr>
      </w:pPr>
    </w:p>
    <w:p>
      <w:pPr>
        <w:spacing w:after="0"/>
        <w:rPr>
          <w:rFonts w:ascii="Arial" w:cs="Arial" w:eastAsia="Arial" w:hAnsi="Arial"/>
          <w:sz w:val="18"/>
          <w:szCs w:val="18"/>
          <w:u w:val="single" w:color="auto"/>
          <w:color w:val="0000FF"/>
        </w:rPr>
      </w:pPr>
      <w:hyperlink r:id="rId132">
        <w:r>
          <w:rPr>
            <w:rFonts w:ascii="Arial" w:cs="Arial" w:eastAsia="Arial" w:hAnsi="Arial"/>
            <w:sz w:val="18"/>
            <w:szCs w:val="18"/>
            <w:u w:val="single" w:color="auto"/>
            <w:color w:val="0000FF"/>
          </w:rPr>
          <w:t>001-13881).</w:t>
        </w:r>
      </w:hyperlink>
    </w:p>
    <w:p>
      <w:pPr>
        <w:spacing w:after="0" w:line="61" w:lineRule="exact"/>
        <w:rPr>
          <w:sz w:val="20"/>
          <w:szCs w:val="20"/>
          <w:color w:val="auto"/>
        </w:rPr>
      </w:pPr>
    </w:p>
    <w:p>
      <w:pPr>
        <w:spacing w:after="0"/>
        <w:rPr>
          <w:rFonts w:ascii="Arial" w:cs="Arial" w:eastAsia="Arial" w:hAnsi="Arial"/>
          <w:sz w:val="16"/>
          <w:szCs w:val="16"/>
          <w:u w:val="single" w:color="auto"/>
          <w:color w:val="0000FF"/>
        </w:rPr>
      </w:pPr>
      <w:hyperlink r:id="rId133">
        <w:r>
          <w:rPr>
            <w:rFonts w:ascii="Arial" w:cs="Arial" w:eastAsia="Arial" w:hAnsi="Arial"/>
            <w:sz w:val="16"/>
            <w:szCs w:val="16"/>
            <w:u w:val="single" w:color="auto"/>
            <w:color w:val="0000FF"/>
          </w:rPr>
          <w:t>Exhibit 10.9.2 to our Form 10-K filed February 15, 2018 (File No.</w:t>
        </w:r>
      </w:hyperlink>
    </w:p>
    <w:p>
      <w:pPr>
        <w:spacing w:after="0" w:line="8" w:lineRule="exact"/>
        <w:rPr>
          <w:sz w:val="20"/>
          <w:szCs w:val="20"/>
          <w:color w:val="auto"/>
        </w:rPr>
      </w:pPr>
    </w:p>
    <w:p>
      <w:pPr>
        <w:spacing w:after="0"/>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001-13881).</w:t>
        </w:r>
      </w:hyperlink>
    </w:p>
    <w:p>
      <w:pPr>
        <w:spacing w:after="0" w:line="61" w:lineRule="exact"/>
        <w:rPr>
          <w:sz w:val="20"/>
          <w:szCs w:val="20"/>
          <w:color w:val="auto"/>
        </w:rPr>
      </w:pPr>
    </w:p>
    <w:p>
      <w:pPr>
        <w:spacing w:after="0"/>
        <w:rPr>
          <w:rFonts w:ascii="Arial" w:cs="Arial" w:eastAsia="Arial" w:hAnsi="Arial"/>
          <w:sz w:val="16"/>
          <w:szCs w:val="16"/>
          <w:u w:val="single" w:color="auto"/>
          <w:color w:val="0000FF"/>
        </w:rPr>
      </w:pPr>
      <w:hyperlink r:id="rId134">
        <w:r>
          <w:rPr>
            <w:rFonts w:ascii="Arial" w:cs="Arial" w:eastAsia="Arial" w:hAnsi="Arial"/>
            <w:sz w:val="16"/>
            <w:szCs w:val="16"/>
            <w:u w:val="single" w:color="auto"/>
            <w:color w:val="0000FF"/>
          </w:rPr>
          <w:t>Exhibit 10.9.3 to our Form 10-K filed February 15, 2018 (File No.</w:t>
        </w:r>
      </w:hyperlink>
    </w:p>
    <w:p>
      <w:pPr>
        <w:spacing w:after="0" w:line="8" w:lineRule="exact"/>
        <w:rPr>
          <w:sz w:val="20"/>
          <w:szCs w:val="20"/>
          <w:color w:val="auto"/>
        </w:rPr>
      </w:pPr>
    </w:p>
    <w:p>
      <w:pPr>
        <w:spacing w:after="0"/>
        <w:rPr>
          <w:rFonts w:ascii="Arial" w:cs="Arial" w:eastAsia="Arial" w:hAnsi="Arial"/>
          <w:sz w:val="18"/>
          <w:szCs w:val="18"/>
          <w:u w:val="single" w:color="auto"/>
          <w:color w:val="0000FF"/>
        </w:rPr>
      </w:pPr>
      <w:hyperlink r:id="rId134">
        <w:r>
          <w:rPr>
            <w:rFonts w:ascii="Arial" w:cs="Arial" w:eastAsia="Arial" w:hAnsi="Arial"/>
            <w:sz w:val="18"/>
            <w:szCs w:val="18"/>
            <w:u w:val="single" w:color="auto"/>
            <w:color w:val="0000FF"/>
          </w:rPr>
          <w:t>001-13881).</w:t>
        </w:r>
      </w:hyperlink>
    </w:p>
    <w:p>
      <w:pPr>
        <w:spacing w:after="0" w:line="61" w:lineRule="exact"/>
        <w:rPr>
          <w:sz w:val="20"/>
          <w:szCs w:val="20"/>
          <w:color w:val="auto"/>
        </w:rPr>
      </w:pPr>
    </w:p>
    <w:p>
      <w:pPr>
        <w:spacing w:after="0"/>
        <w:rPr>
          <w:rFonts w:ascii="Arial" w:cs="Arial" w:eastAsia="Arial" w:hAnsi="Arial"/>
          <w:sz w:val="16"/>
          <w:szCs w:val="16"/>
          <w:u w:val="single" w:color="auto"/>
          <w:color w:val="0000FF"/>
        </w:rPr>
      </w:pPr>
      <w:hyperlink r:id="rId135">
        <w:r>
          <w:rPr>
            <w:rFonts w:ascii="Arial" w:cs="Arial" w:eastAsia="Arial" w:hAnsi="Arial"/>
            <w:sz w:val="16"/>
            <w:szCs w:val="16"/>
            <w:u w:val="single" w:color="auto"/>
            <w:color w:val="0000FF"/>
          </w:rPr>
          <w:t>Exhibit 10.9.4 to our Form 10-K filed February 15, 2018 (File No.</w:t>
        </w:r>
      </w:hyperlink>
    </w:p>
    <w:p>
      <w:pPr>
        <w:spacing w:after="0" w:line="8" w:lineRule="exact"/>
        <w:rPr>
          <w:sz w:val="20"/>
          <w:szCs w:val="20"/>
          <w:color w:val="auto"/>
        </w:rPr>
      </w:pPr>
    </w:p>
    <w:p>
      <w:pPr>
        <w:spacing w:after="0"/>
        <w:rPr>
          <w:rFonts w:ascii="Arial" w:cs="Arial" w:eastAsia="Arial" w:hAnsi="Arial"/>
          <w:sz w:val="18"/>
          <w:szCs w:val="18"/>
          <w:u w:val="single" w:color="auto"/>
          <w:color w:val="0000FF"/>
        </w:rPr>
      </w:pPr>
      <w:hyperlink r:id="rId135">
        <w:r>
          <w:rPr>
            <w:rFonts w:ascii="Arial" w:cs="Arial" w:eastAsia="Arial" w:hAnsi="Arial"/>
            <w:sz w:val="18"/>
            <w:szCs w:val="18"/>
            <w:u w:val="single" w:color="auto"/>
            <w:color w:val="0000FF"/>
          </w:rPr>
          <w:t>001-13881).</w:t>
        </w:r>
      </w:hyperlink>
    </w:p>
    <w:p>
      <w:pPr>
        <w:spacing w:after="0" w:line="61" w:lineRule="exact"/>
        <w:rPr>
          <w:sz w:val="20"/>
          <w:szCs w:val="20"/>
          <w:color w:val="auto"/>
        </w:rPr>
      </w:pPr>
    </w:p>
    <w:p>
      <w:pPr>
        <w:spacing w:after="0"/>
        <w:rPr>
          <w:rFonts w:ascii="Arial" w:cs="Arial" w:eastAsia="Arial" w:hAnsi="Arial"/>
          <w:sz w:val="16"/>
          <w:szCs w:val="16"/>
          <w:u w:val="single" w:color="auto"/>
          <w:color w:val="0000FF"/>
        </w:rPr>
      </w:pPr>
      <w:hyperlink r:id="rId136">
        <w:r>
          <w:rPr>
            <w:rFonts w:ascii="Arial" w:cs="Arial" w:eastAsia="Arial" w:hAnsi="Arial"/>
            <w:sz w:val="16"/>
            <w:szCs w:val="16"/>
            <w:u w:val="single" w:color="auto"/>
            <w:color w:val="0000FF"/>
          </w:rPr>
          <w:t>Exhibit 10.9.5 to our Form 10-K filed February 15, 2018 (File No.</w:t>
        </w:r>
      </w:hyperlink>
    </w:p>
    <w:p>
      <w:pPr>
        <w:spacing w:after="0" w:line="8" w:lineRule="exact"/>
        <w:rPr>
          <w:sz w:val="20"/>
          <w:szCs w:val="20"/>
          <w:color w:val="auto"/>
        </w:rPr>
      </w:pPr>
    </w:p>
    <w:p>
      <w:pPr>
        <w:spacing w:after="0"/>
        <w:rPr>
          <w:rFonts w:ascii="Arial" w:cs="Arial" w:eastAsia="Arial" w:hAnsi="Arial"/>
          <w:sz w:val="18"/>
          <w:szCs w:val="18"/>
          <w:u w:val="single" w:color="auto"/>
          <w:color w:val="0000FF"/>
        </w:rPr>
      </w:pPr>
      <w:hyperlink r:id="rId136">
        <w:r>
          <w:rPr>
            <w:rFonts w:ascii="Arial" w:cs="Arial" w:eastAsia="Arial" w:hAnsi="Arial"/>
            <w:sz w:val="18"/>
            <w:szCs w:val="18"/>
            <w:u w:val="single" w:color="auto"/>
            <w:color w:val="0000FF"/>
          </w:rPr>
          <w:t>001-13881).</w:t>
        </w:r>
      </w:hyperlink>
    </w:p>
    <w:p>
      <w:pPr>
        <w:spacing w:after="0" w:line="61" w:lineRule="exact"/>
        <w:rPr>
          <w:sz w:val="20"/>
          <w:szCs w:val="20"/>
          <w:color w:val="auto"/>
        </w:rPr>
      </w:pPr>
    </w:p>
    <w:p>
      <w:pPr>
        <w:spacing w:after="0"/>
        <w:rPr>
          <w:rFonts w:ascii="Arial" w:cs="Arial" w:eastAsia="Arial" w:hAnsi="Arial"/>
          <w:sz w:val="16"/>
          <w:szCs w:val="16"/>
          <w:u w:val="single" w:color="auto"/>
          <w:color w:val="0000FF"/>
        </w:rPr>
      </w:pPr>
      <w:hyperlink r:id="rId137">
        <w:r>
          <w:rPr>
            <w:rFonts w:ascii="Arial" w:cs="Arial" w:eastAsia="Arial" w:hAnsi="Arial"/>
            <w:sz w:val="16"/>
            <w:szCs w:val="16"/>
            <w:u w:val="single" w:color="auto"/>
            <w:color w:val="0000FF"/>
          </w:rPr>
          <w:t>Exhibit 10.9.6 to our Form 10-K filed February 15, 2018 (File No.</w:t>
        </w:r>
      </w:hyperlink>
    </w:p>
    <w:p>
      <w:pPr>
        <w:spacing w:after="0" w:line="8" w:lineRule="exact"/>
        <w:rPr>
          <w:sz w:val="20"/>
          <w:szCs w:val="20"/>
          <w:color w:val="auto"/>
        </w:rPr>
      </w:pPr>
    </w:p>
    <w:p>
      <w:pPr>
        <w:spacing w:after="0"/>
        <w:rPr>
          <w:rFonts w:ascii="Arial" w:cs="Arial" w:eastAsia="Arial" w:hAnsi="Arial"/>
          <w:sz w:val="18"/>
          <w:szCs w:val="18"/>
          <w:u w:val="single" w:color="auto"/>
          <w:color w:val="0000FF"/>
        </w:rPr>
      </w:pPr>
      <w:hyperlink r:id="rId137">
        <w:r>
          <w:rPr>
            <w:rFonts w:ascii="Arial" w:cs="Arial" w:eastAsia="Arial" w:hAnsi="Arial"/>
            <w:sz w:val="18"/>
            <w:szCs w:val="18"/>
            <w:u w:val="single" w:color="auto"/>
            <w:color w:val="0000FF"/>
          </w:rPr>
          <w:t>001-13881).</w:t>
        </w:r>
      </w:hyperlink>
    </w:p>
    <w:p>
      <w:pPr>
        <w:spacing w:after="0" w:line="61" w:lineRule="exact"/>
        <w:rPr>
          <w:sz w:val="20"/>
          <w:szCs w:val="20"/>
          <w:color w:val="auto"/>
        </w:rPr>
      </w:pPr>
    </w:p>
    <w:p>
      <w:pPr>
        <w:spacing w:after="0"/>
        <w:rPr>
          <w:rFonts w:ascii="Arial" w:cs="Arial" w:eastAsia="Arial" w:hAnsi="Arial"/>
          <w:sz w:val="16"/>
          <w:szCs w:val="16"/>
          <w:u w:val="single" w:color="auto"/>
          <w:color w:val="0000FF"/>
        </w:rPr>
      </w:pPr>
      <w:hyperlink r:id="rId138">
        <w:r>
          <w:rPr>
            <w:rFonts w:ascii="Arial" w:cs="Arial" w:eastAsia="Arial" w:hAnsi="Arial"/>
            <w:sz w:val="16"/>
            <w:szCs w:val="16"/>
            <w:u w:val="single" w:color="auto"/>
            <w:color w:val="0000FF"/>
          </w:rPr>
          <w:t>Exhibit 10.9.7 to our Form 10-K filed February 15, 2018 (File No.</w:t>
        </w:r>
      </w:hyperlink>
    </w:p>
    <w:p>
      <w:pPr>
        <w:spacing w:after="0" w:line="8" w:lineRule="exact"/>
        <w:rPr>
          <w:sz w:val="20"/>
          <w:szCs w:val="20"/>
          <w:color w:val="auto"/>
        </w:rPr>
      </w:pPr>
    </w:p>
    <w:p>
      <w:pPr>
        <w:spacing w:after="0"/>
        <w:rPr>
          <w:rFonts w:ascii="Arial" w:cs="Arial" w:eastAsia="Arial" w:hAnsi="Arial"/>
          <w:sz w:val="18"/>
          <w:szCs w:val="18"/>
          <w:u w:val="single" w:color="auto"/>
          <w:color w:val="0000FF"/>
        </w:rPr>
      </w:pPr>
      <w:hyperlink r:id="rId138">
        <w:r>
          <w:rPr>
            <w:rFonts w:ascii="Arial" w:cs="Arial" w:eastAsia="Arial" w:hAnsi="Arial"/>
            <w:sz w:val="18"/>
            <w:szCs w:val="18"/>
            <w:u w:val="single" w:color="auto"/>
            <w:color w:val="0000FF"/>
          </w:rPr>
          <w:t>001-13881).</w:t>
        </w:r>
      </w:hyperlink>
    </w:p>
    <w:p>
      <w:pPr>
        <w:spacing w:after="0" w:line="232" w:lineRule="exact"/>
        <w:rPr>
          <w:sz w:val="20"/>
          <w:szCs w:val="20"/>
          <w:color w:val="auto"/>
        </w:rPr>
      </w:pPr>
    </w:p>
    <w:p>
      <w:pPr>
        <w:spacing w:after="0"/>
        <w:rPr>
          <w:rFonts w:ascii="Arial" w:cs="Arial" w:eastAsia="Arial" w:hAnsi="Arial"/>
          <w:sz w:val="17"/>
          <w:szCs w:val="17"/>
          <w:u w:val="single" w:color="auto"/>
          <w:color w:val="0000FF"/>
        </w:rPr>
      </w:pPr>
      <w:hyperlink r:id="rId139">
        <w:r>
          <w:rPr>
            <w:rFonts w:ascii="Arial" w:cs="Arial" w:eastAsia="Arial" w:hAnsi="Arial"/>
            <w:sz w:val="17"/>
            <w:szCs w:val="17"/>
            <w:u w:val="single" w:color="auto"/>
            <w:color w:val="0000FF"/>
          </w:rPr>
          <w:t>Exhibit 10.8.9 to our Form 10-K filed March 1, 2019 (File No.</w:t>
        </w:r>
      </w:hyperlink>
    </w:p>
    <w:p>
      <w:pPr>
        <w:spacing w:after="0"/>
        <w:rPr>
          <w:rFonts w:ascii="Arial" w:cs="Arial" w:eastAsia="Arial" w:hAnsi="Arial"/>
          <w:sz w:val="18"/>
          <w:szCs w:val="18"/>
          <w:u w:val="single" w:color="auto"/>
          <w:color w:val="0000FF"/>
        </w:rPr>
      </w:pPr>
      <w:hyperlink r:id="rId139">
        <w:r>
          <w:rPr>
            <w:rFonts w:ascii="Arial" w:cs="Arial" w:eastAsia="Arial" w:hAnsi="Arial"/>
            <w:sz w:val="18"/>
            <w:szCs w:val="18"/>
            <w:u w:val="single" w:color="auto"/>
            <w:color w:val="0000FF"/>
          </w:rPr>
          <w:t>001-13881).</w:t>
        </w:r>
      </w:hyperlink>
    </w:p>
    <w:p>
      <w:pPr>
        <w:spacing w:after="0" w:line="61" w:lineRule="exact"/>
        <w:rPr>
          <w:sz w:val="20"/>
          <w:szCs w:val="20"/>
          <w:color w:val="auto"/>
        </w:rPr>
      </w:pPr>
    </w:p>
    <w:p>
      <w:pPr>
        <w:spacing w:after="0"/>
        <w:rPr>
          <w:rFonts w:ascii="Arial" w:cs="Arial" w:eastAsia="Arial" w:hAnsi="Arial"/>
          <w:sz w:val="16"/>
          <w:szCs w:val="16"/>
          <w:u w:val="single" w:color="auto"/>
          <w:color w:val="0000FF"/>
        </w:rPr>
      </w:pPr>
      <w:hyperlink r:id="rId140">
        <w:r>
          <w:rPr>
            <w:rFonts w:ascii="Arial" w:cs="Arial" w:eastAsia="Arial" w:hAnsi="Arial"/>
            <w:sz w:val="16"/>
            <w:szCs w:val="16"/>
            <w:u w:val="single" w:color="auto"/>
            <w:color w:val="0000FF"/>
          </w:rPr>
          <w:t>Exhibit 10.10 to our Form 10-K filed February 15, 2018 (File No.</w:t>
        </w:r>
      </w:hyperlink>
    </w:p>
    <w:p>
      <w:pPr>
        <w:spacing w:after="0" w:line="8" w:lineRule="exact"/>
        <w:rPr>
          <w:sz w:val="20"/>
          <w:szCs w:val="20"/>
          <w:color w:val="auto"/>
        </w:rPr>
      </w:pPr>
    </w:p>
    <w:p>
      <w:pPr>
        <w:spacing w:after="0"/>
        <w:rPr>
          <w:rFonts w:ascii="Arial" w:cs="Arial" w:eastAsia="Arial" w:hAnsi="Arial"/>
          <w:sz w:val="18"/>
          <w:szCs w:val="18"/>
          <w:u w:val="single" w:color="auto"/>
          <w:color w:val="0000FF"/>
        </w:rPr>
      </w:pPr>
      <w:hyperlink r:id="rId140">
        <w:r>
          <w:rPr>
            <w:rFonts w:ascii="Arial" w:cs="Arial" w:eastAsia="Arial" w:hAnsi="Arial"/>
            <w:sz w:val="18"/>
            <w:szCs w:val="18"/>
            <w:u w:val="single" w:color="auto"/>
            <w:color w:val="0000FF"/>
          </w:rPr>
          <w:t>001-13881).</w:t>
        </w:r>
      </w:hyperlink>
    </w:p>
    <w:p>
      <w:pPr>
        <w:spacing w:after="0" w:line="61" w:lineRule="exact"/>
        <w:rPr>
          <w:sz w:val="20"/>
          <w:szCs w:val="20"/>
          <w:color w:val="auto"/>
        </w:rPr>
      </w:pPr>
    </w:p>
    <w:p>
      <w:pPr>
        <w:ind w:right="240"/>
        <w:spacing w:after="0" w:line="235" w:lineRule="auto"/>
        <w:rPr>
          <w:rFonts w:ascii="Arial" w:cs="Arial" w:eastAsia="Arial" w:hAnsi="Arial"/>
          <w:sz w:val="18"/>
          <w:szCs w:val="18"/>
          <w:u w:val="single" w:color="auto"/>
          <w:color w:val="0000FF"/>
        </w:rPr>
      </w:pPr>
      <w:hyperlink r:id="rId141">
        <w:r>
          <w:rPr>
            <w:rFonts w:ascii="Arial" w:cs="Arial" w:eastAsia="Arial" w:hAnsi="Arial"/>
            <w:sz w:val="18"/>
            <w:szCs w:val="18"/>
            <w:u w:val="single" w:color="auto"/>
            <w:color w:val="0000FF"/>
          </w:rPr>
          <w:t>Exhibit 10.10.1 to our Form 10-K filed February 15, 2018 (File</w:t>
        </w:r>
      </w:hyperlink>
      <w:r>
        <w:rPr>
          <w:rFonts w:ascii="Arial" w:cs="Arial" w:eastAsia="Arial" w:hAnsi="Arial"/>
          <w:sz w:val="18"/>
          <w:szCs w:val="18"/>
          <w:u w:val="single" w:color="auto"/>
          <w:color w:val="0000FF"/>
        </w:rPr>
        <w:t xml:space="preserve"> </w:t>
      </w:r>
      <w:hyperlink r:id="rId141">
        <w:r>
          <w:rPr>
            <w:rFonts w:ascii="Arial" w:cs="Arial" w:eastAsia="Arial" w:hAnsi="Arial"/>
            <w:sz w:val="18"/>
            <w:szCs w:val="18"/>
            <w:u w:val="single" w:color="auto"/>
            <w:color w:val="0000FF"/>
          </w:rPr>
          <w:t>No. 001-13881).</w:t>
        </w:r>
      </w:hyperlink>
    </w:p>
    <w:p>
      <w:pPr>
        <w:spacing w:after="0" w:line="229" w:lineRule="exact"/>
        <w:rPr>
          <w:sz w:val="20"/>
          <w:szCs w:val="20"/>
          <w:color w:val="auto"/>
        </w:rPr>
      </w:pPr>
    </w:p>
    <w:p>
      <w:pPr>
        <w:spacing w:after="0"/>
        <w:rPr>
          <w:rFonts w:ascii="Arial" w:cs="Arial" w:eastAsia="Arial" w:hAnsi="Arial"/>
          <w:sz w:val="16"/>
          <w:szCs w:val="16"/>
          <w:u w:val="single" w:color="auto"/>
          <w:color w:val="0000FF"/>
        </w:rPr>
      </w:pPr>
      <w:hyperlink r:id="rId142">
        <w:r>
          <w:rPr>
            <w:rFonts w:ascii="Arial" w:cs="Arial" w:eastAsia="Arial" w:hAnsi="Arial"/>
            <w:sz w:val="16"/>
            <w:szCs w:val="16"/>
            <w:u w:val="single" w:color="auto"/>
            <w:color w:val="0000FF"/>
          </w:rPr>
          <w:t>Exhibit 10.11 to our Form 10-K filed February 15, 2018 (File No.</w:t>
        </w:r>
      </w:hyperlink>
    </w:p>
    <w:p>
      <w:pPr>
        <w:spacing w:after="0" w:line="8" w:lineRule="exact"/>
        <w:rPr>
          <w:sz w:val="20"/>
          <w:szCs w:val="20"/>
          <w:color w:val="auto"/>
        </w:rPr>
      </w:pPr>
    </w:p>
    <w:p>
      <w:pPr>
        <w:spacing w:after="0"/>
        <w:rPr>
          <w:rFonts w:ascii="Arial" w:cs="Arial" w:eastAsia="Arial" w:hAnsi="Arial"/>
          <w:sz w:val="18"/>
          <w:szCs w:val="18"/>
          <w:u w:val="single" w:color="auto"/>
          <w:color w:val="0000FF"/>
        </w:rPr>
      </w:pPr>
      <w:hyperlink r:id="rId142">
        <w:r>
          <w:rPr>
            <w:rFonts w:ascii="Arial" w:cs="Arial" w:eastAsia="Arial" w:hAnsi="Arial"/>
            <w:sz w:val="18"/>
            <w:szCs w:val="18"/>
            <w:u w:val="single" w:color="auto"/>
            <w:color w:val="0000FF"/>
          </w:rPr>
          <w:t>001-13881).</w:t>
        </w:r>
      </w:hyperlink>
    </w:p>
    <w:p>
      <w:pPr>
        <w:sectPr>
          <w:pgSz w:w="11900" w:h="16838" w:orient="portrait"/>
          <w:cols w:equalWidth="0" w:num="2">
            <w:col w:w="6220" w:space="120"/>
            <w:col w:w="4800"/>
          </w:cols>
          <w:pgMar w:left="320" w:top="125" w:right="4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490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175"/>
        </w:trPr>
        <w:tc>
          <w:tcPr>
            <w:tcW w:w="1000" w:type="dxa"/>
            <w:vAlign w:val="bottom"/>
            <w:tcBorders>
              <w:top w:val="single" w:sz="8" w:color="auto"/>
            </w:tcBorders>
          </w:tcPr>
          <w:p>
            <w:pPr>
              <w:spacing w:after="0" w:line="175" w:lineRule="exact"/>
              <w:rPr>
                <w:sz w:val="20"/>
                <w:szCs w:val="20"/>
                <w:color w:val="auto"/>
              </w:rPr>
            </w:pPr>
            <w:r>
              <w:rPr>
                <w:rFonts w:ascii="Arial" w:cs="Arial" w:eastAsia="Arial" w:hAnsi="Arial"/>
                <w:sz w:val="18"/>
                <w:szCs w:val="18"/>
                <w:color w:val="auto"/>
              </w:rPr>
              <w:t>*10.8.2</w:t>
            </w:r>
          </w:p>
        </w:tc>
        <w:tc>
          <w:tcPr>
            <w:tcW w:w="280" w:type="dxa"/>
            <w:vAlign w:val="bottom"/>
          </w:tcPr>
          <w:p>
            <w:pPr>
              <w:spacing w:after="0"/>
              <w:rPr>
                <w:sz w:val="15"/>
                <w:szCs w:val="15"/>
                <w:color w:val="auto"/>
              </w:rPr>
            </w:pPr>
          </w:p>
        </w:tc>
        <w:tc>
          <w:tcPr>
            <w:tcW w:w="4900" w:type="dxa"/>
            <w:vAlign w:val="bottom"/>
            <w:tcBorders>
              <w:top w:val="single" w:sz="8" w:color="auto"/>
            </w:tcBorders>
          </w:tcPr>
          <w:p>
            <w:pPr>
              <w:spacing w:after="0" w:line="175" w:lineRule="exact"/>
              <w:rPr>
                <w:sz w:val="20"/>
                <w:szCs w:val="20"/>
                <w:color w:val="auto"/>
              </w:rPr>
            </w:pPr>
            <w:r>
              <w:rPr>
                <w:rFonts w:ascii="Arial" w:cs="Arial" w:eastAsia="Arial" w:hAnsi="Arial"/>
                <w:sz w:val="18"/>
                <w:szCs w:val="18"/>
                <w:color w:val="auto"/>
                <w:w w:val="93"/>
              </w:rPr>
              <w:t>Form of Executive Restricted Stock Unit/MI Shares Agreement for</w:t>
            </w:r>
          </w:p>
        </w:tc>
      </w:tr>
      <w:tr>
        <w:trPr>
          <w:trHeight w:val="175"/>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rPr>
              <w:t>the Marriott International, Inc. Stock and Cash Incentive Plan</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(February 2018).</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*10.8.3</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3"/>
              </w:rPr>
              <w:t>Form of Retention Executive Restricted Stock Unit Agreement for</w:t>
            </w:r>
          </w:p>
        </w:tc>
      </w:tr>
      <w:tr>
        <w:trPr>
          <w:trHeight w:val="176"/>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rPr>
              <w:t>the Marriott International, Inc. Stock and Cash Incentive Plan</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(February 2018).</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*10.8.4</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6"/>
              </w:rPr>
              <w:t>Form of MI Shares Agreement for the Marriott International, Inc.</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Stock and Cash Incentive Plan (March 2019).</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*10.8.5</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3"/>
              </w:rPr>
              <w:t>Form of Retention Executive Restricted Stock Unit Agreement for</w:t>
            </w:r>
          </w:p>
        </w:tc>
      </w:tr>
      <w:tr>
        <w:trPr>
          <w:trHeight w:val="176"/>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rPr>
              <w:t>the Marriott International, Inc. Stock and Cash Incentive Plan</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(March 2019).</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*10.9.1</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Form of Stock Appreciation Right Agreement for the Marriott</w:t>
            </w:r>
          </w:p>
        </w:tc>
      </w:tr>
      <w:tr>
        <w:trPr>
          <w:trHeight w:val="176"/>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w w:val="96"/>
              </w:rPr>
              <w:t>International, Inc. Stock and Cash Incentive Plan (pre-February</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2018).</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*10.9.2</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3"/>
              </w:rPr>
              <w:t>Form of Senior Executive Supplemental Stock Appreciation Right</w:t>
            </w:r>
          </w:p>
        </w:tc>
      </w:tr>
      <w:tr>
        <w:trPr>
          <w:trHeight w:val="175"/>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rPr>
              <w:t>Agreement for the Marriott International, Inc. Stock and Cash</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Incentive Plan.</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*10.9.3</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Form of Stock Appreciation Right Agreement for the Marriott</w:t>
            </w:r>
          </w:p>
        </w:tc>
      </w:tr>
      <w:tr>
        <w:trPr>
          <w:trHeight w:val="176"/>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rPr>
              <w:t>International, Inc. Stock and Cash Incentive Plan (For Non-</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Employee Directors).</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*10.9.4</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9"/>
              </w:rPr>
              <w:t>Form of Stock Appreciation Rights Agreement for the Marriott</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2"/>
              </w:rPr>
              <w:t>International, Inc. Stock and Cash Incentive Plan (February 2018).</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*10.9.5</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9"/>
              </w:rPr>
              <w:t>Form of Stock Appreciation Rights Agreement for the Marriott</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6"/>
              </w:rPr>
              <w:t>International, Inc. Stock and Cash Incentive Plan (March 2019).</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*10.10.1</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Form of Performance Share Unit Award Agreement for the</w:t>
            </w:r>
          </w:p>
        </w:tc>
      </w:tr>
      <w:tr>
        <w:trPr>
          <w:trHeight w:val="175"/>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rPr>
              <w:t>Marriott International, Inc. Stock and Cash Incentive Plan</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(February 2018).</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*10.10.2</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Form of Performance Share Unit Award Agreement for the</w:t>
            </w:r>
          </w:p>
        </w:tc>
      </w:tr>
      <w:tr>
        <w:trPr>
          <w:trHeight w:val="175"/>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tcPr>
          <w:p>
            <w:pPr>
              <w:spacing w:after="0" w:line="176" w:lineRule="exact"/>
              <w:rPr>
                <w:sz w:val="20"/>
                <w:szCs w:val="20"/>
                <w:color w:val="auto"/>
              </w:rPr>
            </w:pPr>
            <w:r>
              <w:rPr>
                <w:rFonts w:ascii="Arial" w:cs="Arial" w:eastAsia="Arial" w:hAnsi="Arial"/>
                <w:sz w:val="18"/>
                <w:szCs w:val="18"/>
                <w:color w:val="auto"/>
                <w:w w:val="94"/>
              </w:rPr>
              <w:t>Marriott International, Inc. Stock and Cash Incentive Plan (March</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2019).</w:t>
            </w: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*10.11</w:t>
            </w:r>
          </w:p>
        </w:tc>
        <w:tc>
          <w:tcPr>
            <w:tcW w:w="28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7"/>
              </w:rPr>
              <w:t>Summary of Marriott International, Inc. Director Compensation.</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*10.12</w:t>
            </w:r>
          </w:p>
        </w:tc>
        <w:tc>
          <w:tcPr>
            <w:tcW w:w="28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Marriott International, Inc. Executive Officer Annual Cash</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Incentive Program.</w:t>
            </w: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*10.13.1</w:t>
            </w:r>
          </w:p>
        </w:tc>
        <w:tc>
          <w:tcPr>
            <w:tcW w:w="28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Starwood 1999 Long-Term Incentive Compensation Plan.</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*10.13.2</w:t>
            </w:r>
          </w:p>
        </w:tc>
        <w:tc>
          <w:tcPr>
            <w:tcW w:w="28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First Amendment to the Starwood 1999 Long-Term Incentive</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Compensation Plan, dated as of August 1, 2001.</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*10.13.3</w:t>
            </w:r>
          </w:p>
        </w:tc>
        <w:tc>
          <w:tcPr>
            <w:tcW w:w="2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5"/>
              </w:rPr>
              <w:t>Second Amendment to the Starwood 1999 Long-Term Incentive</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Compensation Plan.</w:t>
            </w: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*10.14.1</w:t>
            </w:r>
          </w:p>
        </w:tc>
        <w:tc>
          <w:tcPr>
            <w:tcW w:w="28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Starwood 2002 Long-Term Incentive Compensation Plan.</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*10.14.2</w:t>
            </w:r>
          </w:p>
        </w:tc>
        <w:tc>
          <w:tcPr>
            <w:tcW w:w="28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First Amendment to the Starwood 2002 Long-Term Incentive</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Compensation Plan.</w:t>
            </w:r>
          </w:p>
        </w:tc>
      </w:tr>
      <w:tr>
        <w:trPr>
          <w:trHeight w:val="850"/>
        </w:trPr>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00" w:type="dxa"/>
            <w:vAlign w:val="bottom"/>
          </w:tcPr>
          <w:p>
            <w:pPr>
              <w:ind w:left="4220"/>
              <w:spacing w:after="0"/>
              <w:rPr>
                <w:sz w:val="20"/>
                <w:szCs w:val="20"/>
                <w:color w:val="auto"/>
              </w:rPr>
            </w:pPr>
            <w:r>
              <w:rPr>
                <w:rFonts w:ascii="Arial" w:cs="Arial" w:eastAsia="Arial" w:hAnsi="Arial"/>
                <w:sz w:val="18"/>
                <w:szCs w:val="18"/>
                <w:color w:val="auto"/>
              </w:rPr>
              <w:t>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60"/>
        <w:spacing w:after="0" w:line="226" w:lineRule="auto"/>
        <w:rPr>
          <w:sz w:val="20"/>
          <w:szCs w:val="20"/>
          <w:color w:val="auto"/>
        </w:rPr>
      </w:pPr>
      <w:r>
        <w:rPr>
          <w:rFonts w:ascii="Arial" w:cs="Arial" w:eastAsia="Arial" w:hAnsi="Arial"/>
          <w:sz w:val="14"/>
          <w:szCs w:val="14"/>
          <w:b w:val="1"/>
          <w:bCs w:val="1"/>
          <w:color w:val="auto"/>
        </w:rPr>
        <w:t>Incorporation by Reference (where a report is indicated below, that document has been previously filed with the SEC and the applicable exhibit is incorporated by reference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8255</wp:posOffset>
            </wp:positionV>
            <wp:extent cx="31115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4">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6" w:lineRule="exact"/>
        <w:rPr>
          <w:sz w:val="20"/>
          <w:szCs w:val="20"/>
          <w:color w:val="auto"/>
        </w:rPr>
      </w:pPr>
    </w:p>
    <w:p>
      <w:pPr>
        <w:spacing w:after="0" w:line="235" w:lineRule="auto"/>
        <w:rPr>
          <w:rFonts w:ascii="Arial" w:cs="Arial" w:eastAsia="Arial" w:hAnsi="Arial"/>
          <w:sz w:val="18"/>
          <w:szCs w:val="18"/>
          <w:u w:val="single" w:color="auto"/>
          <w:color w:val="0000FF"/>
        </w:rPr>
      </w:pPr>
      <w:hyperlink r:id="rId145">
        <w:r>
          <w:rPr>
            <w:rFonts w:ascii="Arial" w:cs="Arial" w:eastAsia="Arial" w:hAnsi="Arial"/>
            <w:sz w:val="18"/>
            <w:szCs w:val="18"/>
            <w:u w:val="single" w:color="auto"/>
            <w:color w:val="0000FF"/>
          </w:rPr>
          <w:t>Exhibit 10.6.1 to our Form 10-Q filed May 10, 2018 (File No. 001-</w:t>
        </w:r>
      </w:hyperlink>
      <w:hyperlink r:id="rId145">
        <w:r>
          <w:rPr>
            <w:rFonts w:ascii="Arial" w:cs="Arial" w:eastAsia="Arial" w:hAnsi="Arial"/>
            <w:sz w:val="18"/>
            <w:szCs w:val="18"/>
            <w:u w:val="single" w:color="auto"/>
            <w:color w:val="0000FF"/>
          </w:rPr>
          <w:t>13881).</w:t>
        </w:r>
      </w:hyperlink>
    </w:p>
    <w:p>
      <w:pPr>
        <w:spacing w:after="0" w:line="229" w:lineRule="exact"/>
        <w:rPr>
          <w:sz w:val="20"/>
          <w:szCs w:val="20"/>
          <w:color w:val="auto"/>
        </w:rPr>
      </w:pPr>
    </w:p>
    <w:p>
      <w:pPr>
        <w:spacing w:after="0" w:line="235" w:lineRule="auto"/>
        <w:rPr>
          <w:rFonts w:ascii="Arial" w:cs="Arial" w:eastAsia="Arial" w:hAnsi="Arial"/>
          <w:sz w:val="18"/>
          <w:szCs w:val="18"/>
          <w:u w:val="single" w:color="auto"/>
          <w:color w:val="0000FF"/>
        </w:rPr>
      </w:pPr>
      <w:hyperlink r:id="rId146">
        <w:r>
          <w:rPr>
            <w:rFonts w:ascii="Arial" w:cs="Arial" w:eastAsia="Arial" w:hAnsi="Arial"/>
            <w:sz w:val="18"/>
            <w:szCs w:val="18"/>
            <w:u w:val="single" w:color="auto"/>
            <w:color w:val="0000FF"/>
          </w:rPr>
          <w:t>Exhibit 10.6.2 to our Form 10-Q filed May 10, 2018 (File No. 001-</w:t>
        </w:r>
      </w:hyperlink>
      <w:hyperlink r:id="rId146">
        <w:r>
          <w:rPr>
            <w:rFonts w:ascii="Arial" w:cs="Arial" w:eastAsia="Arial" w:hAnsi="Arial"/>
            <w:sz w:val="18"/>
            <w:szCs w:val="18"/>
            <w:u w:val="single" w:color="auto"/>
            <w:color w:val="0000FF"/>
          </w:rPr>
          <w:t>13881).</w:t>
        </w:r>
      </w:hyperlink>
    </w:p>
    <w:p>
      <w:pPr>
        <w:spacing w:after="0" w:line="229" w:lineRule="exact"/>
        <w:rPr>
          <w:sz w:val="20"/>
          <w:szCs w:val="20"/>
          <w:color w:val="auto"/>
        </w:rPr>
      </w:pPr>
    </w:p>
    <w:p>
      <w:pPr>
        <w:ind w:right="140"/>
        <w:spacing w:after="0" w:line="235" w:lineRule="auto"/>
        <w:rPr>
          <w:rFonts w:ascii="Arial" w:cs="Arial" w:eastAsia="Arial" w:hAnsi="Arial"/>
          <w:sz w:val="18"/>
          <w:szCs w:val="18"/>
          <w:u w:val="single" w:color="auto"/>
          <w:color w:val="0000FF"/>
        </w:rPr>
      </w:pPr>
      <w:hyperlink r:id="rId147">
        <w:r>
          <w:rPr>
            <w:rFonts w:ascii="Arial" w:cs="Arial" w:eastAsia="Arial" w:hAnsi="Arial"/>
            <w:sz w:val="18"/>
            <w:szCs w:val="18"/>
            <w:u w:val="single" w:color="auto"/>
            <w:color w:val="0000FF"/>
          </w:rPr>
          <w:t>Exhibit 10.1 to our Form 10-Q filed May 10, 2019 (File No. 001-</w:t>
        </w:r>
      </w:hyperlink>
      <w:hyperlink r:id="rId147">
        <w:r>
          <w:rPr>
            <w:rFonts w:ascii="Arial" w:cs="Arial" w:eastAsia="Arial" w:hAnsi="Arial"/>
            <w:sz w:val="18"/>
            <w:szCs w:val="18"/>
            <w:u w:val="single" w:color="auto"/>
            <w:color w:val="0000FF"/>
          </w:rPr>
          <w:t>13881).</w:t>
        </w:r>
      </w:hyperlink>
    </w:p>
    <w:p>
      <w:pPr>
        <w:spacing w:after="0" w:line="54" w:lineRule="exact"/>
        <w:rPr>
          <w:sz w:val="20"/>
          <w:szCs w:val="20"/>
          <w:color w:val="auto"/>
        </w:rPr>
      </w:pPr>
    </w:p>
    <w:p>
      <w:pPr>
        <w:ind w:right="140"/>
        <w:spacing w:after="0" w:line="235" w:lineRule="auto"/>
        <w:rPr>
          <w:rFonts w:ascii="Arial" w:cs="Arial" w:eastAsia="Arial" w:hAnsi="Arial"/>
          <w:sz w:val="18"/>
          <w:szCs w:val="18"/>
          <w:u w:val="single" w:color="auto"/>
          <w:color w:val="0000FF"/>
        </w:rPr>
      </w:pPr>
      <w:hyperlink r:id="rId148">
        <w:r>
          <w:rPr>
            <w:rFonts w:ascii="Arial" w:cs="Arial" w:eastAsia="Arial" w:hAnsi="Arial"/>
            <w:sz w:val="18"/>
            <w:szCs w:val="18"/>
            <w:u w:val="single" w:color="auto"/>
            <w:color w:val="0000FF"/>
          </w:rPr>
          <w:t>Exhibit 10.2 to our Form 10-Q filed May 10, 2019 (File No. 001-</w:t>
        </w:r>
      </w:hyperlink>
      <w:hyperlink r:id="rId148">
        <w:r>
          <w:rPr>
            <w:rFonts w:ascii="Arial" w:cs="Arial" w:eastAsia="Arial" w:hAnsi="Arial"/>
            <w:sz w:val="18"/>
            <w:szCs w:val="18"/>
            <w:u w:val="single" w:color="auto"/>
            <w:color w:val="0000FF"/>
          </w:rPr>
          <w:t>13881).</w:t>
        </w:r>
      </w:hyperlink>
    </w:p>
    <w:p>
      <w:pPr>
        <w:spacing w:after="0" w:line="225" w:lineRule="exact"/>
        <w:rPr>
          <w:sz w:val="20"/>
          <w:szCs w:val="20"/>
          <w:color w:val="auto"/>
        </w:rPr>
      </w:pPr>
    </w:p>
    <w:p>
      <w:pPr>
        <w:spacing w:after="0"/>
        <w:rPr>
          <w:rFonts w:ascii="Arial" w:cs="Arial" w:eastAsia="Arial" w:hAnsi="Arial"/>
          <w:sz w:val="17"/>
          <w:szCs w:val="17"/>
          <w:u w:val="single" w:color="auto"/>
          <w:color w:val="0000FF"/>
        </w:rPr>
      </w:pPr>
      <w:hyperlink r:id="rId149">
        <w:r>
          <w:rPr>
            <w:rFonts w:ascii="Arial" w:cs="Arial" w:eastAsia="Arial" w:hAnsi="Arial"/>
            <w:sz w:val="17"/>
            <w:szCs w:val="17"/>
            <w:u w:val="single" w:color="auto"/>
            <w:color w:val="0000FF"/>
          </w:rPr>
          <w:t>Exhibit 10.12 to our Form 10-K filed February 15, 2018 (File No.</w:t>
        </w:r>
      </w:hyperlink>
    </w:p>
    <w:p>
      <w:pPr>
        <w:spacing w:after="0"/>
        <w:rPr>
          <w:rFonts w:ascii="Arial" w:cs="Arial" w:eastAsia="Arial" w:hAnsi="Arial"/>
          <w:sz w:val="18"/>
          <w:szCs w:val="18"/>
          <w:u w:val="single" w:color="auto"/>
          <w:color w:val="0000FF"/>
        </w:rPr>
      </w:pPr>
      <w:hyperlink r:id="rId149">
        <w:r>
          <w:rPr>
            <w:rFonts w:ascii="Arial" w:cs="Arial" w:eastAsia="Arial" w:hAnsi="Arial"/>
            <w:sz w:val="18"/>
            <w:szCs w:val="18"/>
            <w:u w:val="single" w:color="auto"/>
            <w:color w:val="0000FF"/>
          </w:rPr>
          <w:t>001-13881).</w:t>
        </w:r>
      </w:hyperlink>
    </w:p>
    <w:p>
      <w:pPr>
        <w:spacing w:after="0" w:line="236" w:lineRule="exact"/>
        <w:rPr>
          <w:sz w:val="20"/>
          <w:szCs w:val="20"/>
          <w:color w:val="auto"/>
        </w:rPr>
      </w:pPr>
    </w:p>
    <w:p>
      <w:pPr>
        <w:ind w:right="280"/>
        <w:spacing w:after="0" w:line="235" w:lineRule="auto"/>
        <w:rPr>
          <w:rFonts w:ascii="Arial" w:cs="Arial" w:eastAsia="Arial" w:hAnsi="Arial"/>
          <w:sz w:val="18"/>
          <w:szCs w:val="18"/>
          <w:u w:val="single" w:color="auto"/>
          <w:color w:val="0000FF"/>
        </w:rPr>
      </w:pPr>
      <w:hyperlink r:id="rId150">
        <w:r>
          <w:rPr>
            <w:rFonts w:ascii="Arial" w:cs="Arial" w:eastAsia="Arial" w:hAnsi="Arial"/>
            <w:sz w:val="18"/>
            <w:szCs w:val="18"/>
            <w:u w:val="single" w:color="auto"/>
            <w:color w:val="0000FF"/>
          </w:rPr>
          <w:t>Exhibit 10.12.1 to our Form 10-K filed February 15, 2018 (File</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No. 001-13881).</w:t>
        </w:r>
      </w:hyperlink>
    </w:p>
    <w:p>
      <w:pPr>
        <w:spacing w:after="0" w:line="229" w:lineRule="exact"/>
        <w:rPr>
          <w:sz w:val="20"/>
          <w:szCs w:val="20"/>
          <w:color w:val="auto"/>
        </w:rPr>
      </w:pPr>
    </w:p>
    <w:p>
      <w:pPr>
        <w:ind w:right="280"/>
        <w:spacing w:after="0" w:line="235" w:lineRule="auto"/>
        <w:rPr>
          <w:rFonts w:ascii="Arial" w:cs="Arial" w:eastAsia="Arial" w:hAnsi="Arial"/>
          <w:sz w:val="18"/>
          <w:szCs w:val="18"/>
          <w:u w:val="single" w:color="auto"/>
          <w:color w:val="0000FF"/>
        </w:rPr>
      </w:pPr>
      <w:hyperlink r:id="rId151">
        <w:r>
          <w:rPr>
            <w:rFonts w:ascii="Arial" w:cs="Arial" w:eastAsia="Arial" w:hAnsi="Arial"/>
            <w:sz w:val="18"/>
            <w:szCs w:val="18"/>
            <w:u w:val="single" w:color="auto"/>
            <w:color w:val="0000FF"/>
          </w:rPr>
          <w:t>Exhibit 10.12.2 to our Form 10-K filed February 15, 2018 (File</w:t>
        </w:r>
      </w:hyperlink>
      <w:r>
        <w:rPr>
          <w:rFonts w:ascii="Arial" w:cs="Arial" w:eastAsia="Arial" w:hAnsi="Arial"/>
          <w:sz w:val="18"/>
          <w:szCs w:val="18"/>
          <w:u w:val="single" w:color="auto"/>
          <w:color w:val="0000FF"/>
        </w:rPr>
        <w:t xml:space="preserve"> </w:t>
      </w:r>
      <w:hyperlink r:id="rId151">
        <w:r>
          <w:rPr>
            <w:rFonts w:ascii="Arial" w:cs="Arial" w:eastAsia="Arial" w:hAnsi="Arial"/>
            <w:sz w:val="18"/>
            <w:szCs w:val="18"/>
            <w:u w:val="single" w:color="auto"/>
            <w:color w:val="0000FF"/>
          </w:rPr>
          <w:t>No. 001-13881).</w:t>
        </w:r>
      </w:hyperlink>
    </w:p>
    <w:p>
      <w:pPr>
        <w:spacing w:after="0" w:line="229" w:lineRule="exact"/>
        <w:rPr>
          <w:sz w:val="20"/>
          <w:szCs w:val="20"/>
          <w:color w:val="auto"/>
        </w:rPr>
      </w:pPr>
    </w:p>
    <w:p>
      <w:pPr>
        <w:ind w:right="140"/>
        <w:spacing w:after="0" w:line="235" w:lineRule="auto"/>
        <w:rPr>
          <w:rFonts w:ascii="Arial" w:cs="Arial" w:eastAsia="Arial" w:hAnsi="Arial"/>
          <w:sz w:val="18"/>
          <w:szCs w:val="18"/>
          <w:u w:val="single" w:color="auto"/>
          <w:color w:val="0000FF"/>
        </w:rPr>
      </w:pPr>
      <w:hyperlink r:id="rId152">
        <w:r>
          <w:rPr>
            <w:rFonts w:ascii="Arial" w:cs="Arial" w:eastAsia="Arial" w:hAnsi="Arial"/>
            <w:sz w:val="18"/>
            <w:szCs w:val="18"/>
            <w:u w:val="single" w:color="auto"/>
            <w:color w:val="0000FF"/>
          </w:rPr>
          <w:t>Exhibit 10.7 to our Form 10-Q filed May 10, 2018 (File No. 001-</w:t>
        </w:r>
      </w:hyperlink>
      <w:hyperlink r:id="rId152">
        <w:r>
          <w:rPr>
            <w:rFonts w:ascii="Arial" w:cs="Arial" w:eastAsia="Arial" w:hAnsi="Arial"/>
            <w:sz w:val="18"/>
            <w:szCs w:val="18"/>
            <w:u w:val="single" w:color="auto"/>
            <w:color w:val="0000FF"/>
          </w:rPr>
          <w:t>13881).</w:t>
        </w:r>
      </w:hyperlink>
    </w:p>
    <w:p>
      <w:pPr>
        <w:spacing w:after="0" w:line="54" w:lineRule="exact"/>
        <w:rPr>
          <w:sz w:val="20"/>
          <w:szCs w:val="20"/>
          <w:color w:val="auto"/>
        </w:rPr>
      </w:pPr>
    </w:p>
    <w:p>
      <w:pPr>
        <w:ind w:right="140"/>
        <w:spacing w:after="0" w:line="235" w:lineRule="auto"/>
        <w:rPr>
          <w:rFonts w:ascii="Arial" w:cs="Arial" w:eastAsia="Arial" w:hAnsi="Arial"/>
          <w:sz w:val="18"/>
          <w:szCs w:val="18"/>
          <w:u w:val="single" w:color="auto"/>
          <w:color w:val="0000FF"/>
        </w:rPr>
      </w:pPr>
      <w:hyperlink r:id="rId153">
        <w:r>
          <w:rPr>
            <w:rFonts w:ascii="Arial" w:cs="Arial" w:eastAsia="Arial" w:hAnsi="Arial"/>
            <w:sz w:val="18"/>
            <w:szCs w:val="18"/>
            <w:u w:val="single" w:color="auto"/>
            <w:color w:val="0000FF"/>
          </w:rPr>
          <w:t>Exhibit 10.3 to our Form 10-Q filed May 10, 2019 (File No. 001-</w:t>
        </w:r>
      </w:hyperlink>
      <w:hyperlink r:id="rId153">
        <w:r>
          <w:rPr>
            <w:rFonts w:ascii="Arial" w:cs="Arial" w:eastAsia="Arial" w:hAnsi="Arial"/>
            <w:sz w:val="18"/>
            <w:szCs w:val="18"/>
            <w:u w:val="single" w:color="auto"/>
            <w:color w:val="0000FF"/>
          </w:rPr>
          <w:t>13881).</w:t>
        </w:r>
      </w:hyperlink>
    </w:p>
    <w:p>
      <w:pPr>
        <w:spacing w:after="0" w:line="54" w:lineRule="exact"/>
        <w:rPr>
          <w:sz w:val="20"/>
          <w:szCs w:val="20"/>
          <w:color w:val="auto"/>
        </w:rPr>
      </w:pPr>
    </w:p>
    <w:p>
      <w:pPr>
        <w:ind w:right="140"/>
        <w:spacing w:after="0" w:line="235" w:lineRule="auto"/>
        <w:rPr>
          <w:rFonts w:ascii="Arial" w:cs="Arial" w:eastAsia="Arial" w:hAnsi="Arial"/>
          <w:sz w:val="18"/>
          <w:szCs w:val="18"/>
          <w:u w:val="single" w:color="auto"/>
          <w:color w:val="0000FF"/>
        </w:rPr>
      </w:pPr>
      <w:hyperlink r:id="rId154">
        <w:r>
          <w:rPr>
            <w:rFonts w:ascii="Arial" w:cs="Arial" w:eastAsia="Arial" w:hAnsi="Arial"/>
            <w:sz w:val="18"/>
            <w:szCs w:val="18"/>
            <w:u w:val="single" w:color="auto"/>
            <w:color w:val="0000FF"/>
          </w:rPr>
          <w:t>Exhibit 10.8 to our Form 10-Q filed May 10, 2018 (File No. 001-</w:t>
        </w:r>
      </w:hyperlink>
      <w:hyperlink r:id="rId154">
        <w:r>
          <w:rPr>
            <w:rFonts w:ascii="Arial" w:cs="Arial" w:eastAsia="Arial" w:hAnsi="Arial"/>
            <w:sz w:val="18"/>
            <w:szCs w:val="18"/>
            <w:u w:val="single" w:color="auto"/>
            <w:color w:val="0000FF"/>
          </w:rPr>
          <w:t>13881).</w:t>
        </w:r>
      </w:hyperlink>
    </w:p>
    <w:p>
      <w:pPr>
        <w:spacing w:after="0" w:line="229" w:lineRule="exact"/>
        <w:rPr>
          <w:sz w:val="20"/>
          <w:szCs w:val="20"/>
          <w:color w:val="auto"/>
        </w:rPr>
      </w:pPr>
    </w:p>
    <w:p>
      <w:pPr>
        <w:ind w:right="140"/>
        <w:spacing w:after="0" w:line="235" w:lineRule="auto"/>
        <w:rPr>
          <w:rFonts w:ascii="Arial" w:cs="Arial" w:eastAsia="Arial" w:hAnsi="Arial"/>
          <w:sz w:val="18"/>
          <w:szCs w:val="18"/>
          <w:u w:val="single" w:color="auto"/>
          <w:color w:val="0000FF"/>
        </w:rPr>
      </w:pPr>
      <w:hyperlink r:id="rId155">
        <w:r>
          <w:rPr>
            <w:rFonts w:ascii="Arial" w:cs="Arial" w:eastAsia="Arial" w:hAnsi="Arial"/>
            <w:sz w:val="18"/>
            <w:szCs w:val="18"/>
            <w:u w:val="single" w:color="auto"/>
            <w:color w:val="0000FF"/>
          </w:rPr>
          <w:t>Exhibit 10.4 to our Form 10-Q filed May 10, 2019 (File No. 001-</w:t>
        </w:r>
      </w:hyperlink>
      <w:hyperlink r:id="rId155">
        <w:r>
          <w:rPr>
            <w:rFonts w:ascii="Arial" w:cs="Arial" w:eastAsia="Arial" w:hAnsi="Arial"/>
            <w:sz w:val="18"/>
            <w:szCs w:val="18"/>
            <w:u w:val="single" w:color="auto"/>
            <w:color w:val="0000FF"/>
          </w:rPr>
          <w:t>13881).</w:t>
        </w:r>
      </w:hyperlink>
    </w:p>
    <w:p>
      <w:pPr>
        <w:spacing w:after="0" w:line="225" w:lineRule="exact"/>
        <w:rPr>
          <w:sz w:val="20"/>
          <w:szCs w:val="20"/>
          <w:color w:val="auto"/>
        </w:rPr>
      </w:pPr>
    </w:p>
    <w:p>
      <w:pPr>
        <w:spacing w:after="0"/>
        <w:rPr>
          <w:rFonts w:ascii="Arial" w:cs="Arial" w:eastAsia="Arial" w:hAnsi="Arial"/>
          <w:sz w:val="17"/>
          <w:szCs w:val="17"/>
          <w:color w:val="0000FF"/>
        </w:rPr>
      </w:pPr>
      <w:hyperlink r:id="rId156">
        <w:r>
          <w:rPr>
            <w:rFonts w:ascii="Arial" w:cs="Arial" w:eastAsia="Arial" w:hAnsi="Arial"/>
            <w:sz w:val="17"/>
            <w:szCs w:val="17"/>
            <w:u w:val="single" w:color="auto"/>
            <w:color w:val="0000FF"/>
          </w:rPr>
          <w:t>Exhibit 10.2 to our Form 10-Q filed August 10,</w:t>
        </w:r>
        <w:r>
          <w:rPr>
            <w:rFonts w:ascii="Arial" w:cs="Arial" w:eastAsia="Arial" w:hAnsi="Arial"/>
            <w:sz w:val="17"/>
            <w:szCs w:val="17"/>
            <w:color w:val="0000FF"/>
          </w:rPr>
          <w:t xml:space="preserve"> 20</w:t>
        </w:r>
        <w:r>
          <w:rPr>
            <w:rFonts w:ascii="Arial" w:cs="Arial" w:eastAsia="Arial" w:hAnsi="Arial"/>
            <w:sz w:val="17"/>
            <w:szCs w:val="17"/>
            <w:u w:val="single" w:color="auto"/>
            <w:color w:val="0000FF"/>
          </w:rPr>
          <w:t>20 (File No.</w:t>
        </w:r>
      </w:hyperlink>
    </w:p>
    <w:p>
      <w:pPr>
        <w:spacing w:after="0"/>
        <w:rPr>
          <w:rFonts w:ascii="Arial" w:cs="Arial" w:eastAsia="Arial" w:hAnsi="Arial"/>
          <w:sz w:val="18"/>
          <w:szCs w:val="18"/>
          <w:u w:val="single" w:color="auto"/>
          <w:color w:val="0000FF"/>
        </w:rPr>
      </w:pPr>
      <w:hyperlink r:id="rId156">
        <w:r>
          <w:rPr>
            <w:rFonts w:ascii="Arial" w:cs="Arial" w:eastAsia="Arial" w:hAnsi="Arial"/>
            <w:sz w:val="18"/>
            <w:szCs w:val="18"/>
            <w:u w:val="single" w:color="auto"/>
            <w:color w:val="0000FF"/>
          </w:rPr>
          <w:t>001-13881).</w:t>
        </w:r>
      </w:hyperlink>
    </w:p>
    <w:p>
      <w:pPr>
        <w:spacing w:after="0" w:line="61" w:lineRule="exact"/>
        <w:rPr>
          <w:sz w:val="20"/>
          <w:szCs w:val="20"/>
          <w:color w:val="auto"/>
        </w:rPr>
      </w:pPr>
    </w:p>
    <w:p>
      <w:pPr>
        <w:ind w:right="140"/>
        <w:spacing w:after="0" w:line="235" w:lineRule="auto"/>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Exhibit 10.9 to our Form 10-Q filed May 10, 2018 (File No. 001-</w:t>
        </w:r>
      </w:hyperlink>
      <w:hyperlink r:id="rId157">
        <w:r>
          <w:rPr>
            <w:rFonts w:ascii="Arial" w:cs="Arial" w:eastAsia="Arial" w:hAnsi="Arial"/>
            <w:sz w:val="18"/>
            <w:szCs w:val="18"/>
            <w:u w:val="single" w:color="auto"/>
            <w:color w:val="0000FF"/>
          </w:rPr>
          <w:t>13881).</w:t>
        </w:r>
      </w:hyperlink>
    </w:p>
    <w:p>
      <w:pPr>
        <w:spacing w:after="0" w:line="54" w:lineRule="exact"/>
        <w:rPr>
          <w:sz w:val="20"/>
          <w:szCs w:val="20"/>
          <w:color w:val="auto"/>
        </w:rPr>
      </w:pPr>
    </w:p>
    <w:p>
      <w:pPr>
        <w:ind w:right="340"/>
        <w:spacing w:after="0" w:line="235" w:lineRule="auto"/>
        <w:rPr>
          <w:rFonts w:ascii="Arial" w:cs="Arial" w:eastAsia="Arial" w:hAnsi="Arial"/>
          <w:sz w:val="18"/>
          <w:szCs w:val="18"/>
          <w:u w:val="single" w:color="auto"/>
          <w:color w:val="0000FF"/>
        </w:rPr>
      </w:pPr>
      <w:hyperlink r:id="rId158">
        <w:r>
          <w:rPr>
            <w:rFonts w:ascii="Arial" w:cs="Arial" w:eastAsia="Arial" w:hAnsi="Arial"/>
            <w:sz w:val="18"/>
            <w:szCs w:val="18"/>
            <w:u w:val="single" w:color="auto"/>
            <w:color w:val="0000FF"/>
          </w:rPr>
          <w:t>Exhibit 10.4 to Starwood’s Form 10-Q for the quarterly period</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ended June 30, 1999 (File No. 001-07959).</w:t>
        </w:r>
      </w:hyperlink>
    </w:p>
    <w:p>
      <w:pPr>
        <w:spacing w:after="0" w:line="54" w:lineRule="exact"/>
        <w:rPr>
          <w:sz w:val="20"/>
          <w:szCs w:val="20"/>
          <w:color w:val="auto"/>
        </w:rPr>
      </w:pPr>
    </w:p>
    <w:p>
      <w:pPr>
        <w:ind w:right="340"/>
        <w:spacing w:after="0" w:line="235" w:lineRule="auto"/>
        <w:rPr>
          <w:rFonts w:ascii="Arial" w:cs="Arial" w:eastAsia="Arial" w:hAnsi="Arial"/>
          <w:sz w:val="18"/>
          <w:szCs w:val="18"/>
          <w:u w:val="single" w:color="auto"/>
          <w:color w:val="0000FF"/>
        </w:rPr>
      </w:pPr>
      <w:hyperlink r:id="rId159">
        <w:r>
          <w:rPr>
            <w:rFonts w:ascii="Arial" w:cs="Arial" w:eastAsia="Arial" w:hAnsi="Arial"/>
            <w:sz w:val="18"/>
            <w:szCs w:val="18"/>
            <w:u w:val="single" w:color="auto"/>
            <w:color w:val="0000FF"/>
          </w:rPr>
          <w:t>Exhibit 10.1 to Starwood’s Form 10-Q for the quarterly period</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ended September 30, 2001 (File No. 001-07959).</w:t>
        </w:r>
      </w:hyperlink>
    </w:p>
    <w:p>
      <w:pPr>
        <w:spacing w:after="0" w:line="54" w:lineRule="exact"/>
        <w:rPr>
          <w:sz w:val="20"/>
          <w:szCs w:val="20"/>
          <w:color w:val="auto"/>
        </w:rPr>
      </w:pPr>
    </w:p>
    <w:p>
      <w:pPr>
        <w:ind w:right="340"/>
        <w:spacing w:after="0" w:line="235" w:lineRule="auto"/>
        <w:rPr>
          <w:rFonts w:ascii="Arial" w:cs="Arial" w:eastAsia="Arial" w:hAnsi="Arial"/>
          <w:sz w:val="18"/>
          <w:szCs w:val="18"/>
          <w:u w:val="single" w:color="auto"/>
          <w:color w:val="0000FF"/>
        </w:rPr>
      </w:pPr>
      <w:hyperlink r:id="rId160">
        <w:r>
          <w:rPr>
            <w:rFonts w:ascii="Arial" w:cs="Arial" w:eastAsia="Arial" w:hAnsi="Arial"/>
            <w:sz w:val="18"/>
            <w:szCs w:val="18"/>
            <w:u w:val="single" w:color="auto"/>
            <w:color w:val="0000FF"/>
          </w:rPr>
          <w:t>Exhibit 10.2 to Starwood’s Form 10-Q for the quarterly period</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ended March 31, 2003 (File No. 001-07959).</w:t>
        </w:r>
      </w:hyperlink>
    </w:p>
    <w:p>
      <w:pPr>
        <w:spacing w:after="0" w:line="54" w:lineRule="exact"/>
        <w:rPr>
          <w:sz w:val="20"/>
          <w:szCs w:val="20"/>
          <w:color w:val="auto"/>
        </w:rPr>
      </w:pPr>
    </w:p>
    <w:p>
      <w:pPr>
        <w:ind w:right="20"/>
        <w:spacing w:after="0" w:line="235" w:lineRule="auto"/>
        <w:rPr>
          <w:rFonts w:ascii="Arial" w:cs="Arial" w:eastAsia="Arial" w:hAnsi="Arial"/>
          <w:sz w:val="18"/>
          <w:szCs w:val="18"/>
          <w:u w:val="single" w:color="auto"/>
          <w:color w:val="0000FF"/>
        </w:rPr>
      </w:pPr>
      <w:hyperlink r:id="rId161">
        <w:r>
          <w:rPr>
            <w:rFonts w:ascii="Arial" w:cs="Arial" w:eastAsia="Arial" w:hAnsi="Arial"/>
            <w:sz w:val="18"/>
            <w:szCs w:val="18"/>
            <w:u w:val="single" w:color="auto"/>
            <w:color w:val="0000FF"/>
          </w:rPr>
          <w:t>Annex B of Starwood’s 2002 Notice of Annual Meeting and Proxy</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Statement filed April 12, 2002 (File No. 001-07959).</w:t>
        </w:r>
      </w:hyperlink>
    </w:p>
    <w:p>
      <w:pPr>
        <w:spacing w:after="0" w:line="54" w:lineRule="exact"/>
        <w:rPr>
          <w:sz w:val="20"/>
          <w:szCs w:val="20"/>
          <w:color w:val="auto"/>
        </w:rPr>
      </w:pPr>
    </w:p>
    <w:p>
      <w:pPr>
        <w:ind w:right="340"/>
        <w:spacing w:after="0" w:line="235" w:lineRule="auto"/>
        <w:rPr>
          <w:rFonts w:ascii="Arial" w:cs="Arial" w:eastAsia="Arial" w:hAnsi="Arial"/>
          <w:sz w:val="18"/>
          <w:szCs w:val="18"/>
          <w:u w:val="single" w:color="auto"/>
          <w:color w:val="0000FF"/>
        </w:rPr>
      </w:pPr>
      <w:hyperlink r:id="rId162">
        <w:r>
          <w:rPr>
            <w:rFonts w:ascii="Arial" w:cs="Arial" w:eastAsia="Arial" w:hAnsi="Arial"/>
            <w:sz w:val="18"/>
            <w:szCs w:val="18"/>
            <w:u w:val="single" w:color="auto"/>
            <w:color w:val="0000FF"/>
          </w:rPr>
          <w:t>Exhibit 10.1 to Starwood’s Form 10-Q for the quarterly period</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ended March 31, 2003 (File No. 001-07959).</w:t>
        </w:r>
      </w:hyperlink>
    </w:p>
    <w:p>
      <w:pPr>
        <w:sectPr>
          <w:pgSz w:w="11900" w:h="16838" w:orient="portrait"/>
          <w:cols w:equalWidth="0" w:num="2">
            <w:col w:w="6220" w:space="120"/>
            <w:col w:w="4840"/>
          </w:cols>
          <w:pgMar w:left="320" w:top="125" w:right="39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900" w:type="dxa"/>
            <w:vAlign w:val="bottom"/>
          </w:tcPr>
          <w:p>
            <w:pPr>
              <w:ind w:left="20"/>
              <w:spacing w:after="0"/>
              <w:rPr>
                <w:sz w:val="20"/>
                <w:szCs w:val="20"/>
                <w:color w:val="auto"/>
              </w:rPr>
            </w:pPr>
            <w:r>
              <w:rPr>
                <w:rFonts w:ascii="Arial" w:cs="Arial" w:eastAsia="Arial" w:hAnsi="Arial"/>
                <w:sz w:val="14"/>
                <w:szCs w:val="14"/>
                <w:b w:val="1"/>
                <w:bCs w:val="1"/>
                <w:color w:val="auto"/>
                <w:w w:val="94"/>
              </w:rPr>
              <w:t>Incorporation by Reference (where a report is indicated below, that document</w:t>
            </w:r>
          </w:p>
        </w:tc>
        <w:tc>
          <w:tcPr>
            <w:tcW w:w="0" w:type="dxa"/>
            <w:vAlign w:val="bottom"/>
          </w:tcPr>
          <w:p>
            <w:pPr>
              <w:spacing w:after="0"/>
              <w:rPr>
                <w:sz w:val="1"/>
                <w:szCs w:val="1"/>
                <w:color w:val="auto"/>
              </w:rPr>
            </w:pPr>
          </w:p>
        </w:tc>
      </w:tr>
      <w:tr>
        <w:trPr>
          <w:trHeight w:val="135"/>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Exhibit No.</w:t>
            </w:r>
          </w:p>
        </w:tc>
        <w:tc>
          <w:tcPr>
            <w:tcW w:w="280" w:type="dxa"/>
            <w:vAlign w:val="bottom"/>
            <w:vMerge w:val="restart"/>
          </w:tcPr>
          <w:p>
            <w:pPr>
              <w:spacing w:after="0"/>
              <w:rPr>
                <w:sz w:val="11"/>
                <w:szCs w:val="11"/>
                <w:color w:val="auto"/>
              </w:rPr>
            </w:pPr>
          </w:p>
        </w:tc>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1"/>
                <w:szCs w:val="11"/>
                <w:color w:val="auto"/>
              </w:rPr>
            </w:pPr>
          </w:p>
        </w:tc>
        <w:tc>
          <w:tcPr>
            <w:tcW w:w="490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has been previously filed with the SEC and the applicable exhibit is</w:t>
            </w:r>
          </w:p>
        </w:tc>
        <w:tc>
          <w:tcPr>
            <w:tcW w:w="0" w:type="dxa"/>
            <w:vAlign w:val="bottom"/>
          </w:tcPr>
          <w:p>
            <w:pPr>
              <w:spacing w:after="0"/>
              <w:rPr>
                <w:sz w:val="1"/>
                <w:szCs w:val="1"/>
                <w:color w:val="auto"/>
              </w:rPr>
            </w:pPr>
          </w:p>
        </w:tc>
      </w:tr>
      <w:tr>
        <w:trPr>
          <w:trHeight w:val="188"/>
        </w:trPr>
        <w:tc>
          <w:tcPr>
            <w:tcW w:w="1000" w:type="dxa"/>
            <w:vAlign w:val="bottom"/>
            <w:tcBorders>
              <w:bottom w:val="single" w:sz="8" w:color="auto"/>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4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incorporated by reference thereto)</w:t>
            </w: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20"/>
          </w:cols>
          <w:pgMar w:left="320" w:top="125" w:right="359" w:bottom="1440" w:gutter="0" w:footer="0" w:header="0"/>
        </w:sectPr>
      </w:pPr>
    </w:p>
    <w:tbl>
      <w:tblPr>
        <w:tblLayout w:type="fixed"/>
        <w:tblInd w:w="4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*10.15.1</w:t>
            </w:r>
          </w:p>
        </w:tc>
        <w:tc>
          <w:tcPr>
            <w:tcW w:w="5180" w:type="dxa"/>
            <w:vAlign w:val="bottom"/>
          </w:tcPr>
          <w:p>
            <w:pPr>
              <w:ind w:left="320"/>
              <w:spacing w:after="0"/>
              <w:rPr>
                <w:sz w:val="20"/>
                <w:szCs w:val="20"/>
                <w:color w:val="auto"/>
              </w:rPr>
            </w:pPr>
            <w:r>
              <w:rPr>
                <w:rFonts w:ascii="Arial" w:cs="Arial" w:eastAsia="Arial" w:hAnsi="Arial"/>
                <w:sz w:val="18"/>
                <w:szCs w:val="18"/>
                <w:color w:val="auto"/>
                <w:w w:val="89"/>
              </w:rPr>
              <w:t>Starwood 2004 Long-Term Incentive Compensation Plan, amended</w:t>
            </w:r>
          </w:p>
        </w:tc>
      </w:tr>
      <w:tr>
        <w:trPr>
          <w:trHeight w:val="230"/>
        </w:trPr>
        <w:tc>
          <w:tcPr>
            <w:tcW w:w="96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and restated as of December 31, 2008.</w:t>
            </w: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*10.15.2</w:t>
            </w:r>
          </w:p>
        </w:tc>
        <w:tc>
          <w:tcPr>
            <w:tcW w:w="5180" w:type="dxa"/>
            <w:vAlign w:val="bottom"/>
          </w:tcPr>
          <w:p>
            <w:pPr>
              <w:ind w:left="320"/>
              <w:spacing w:after="0"/>
              <w:rPr>
                <w:sz w:val="20"/>
                <w:szCs w:val="20"/>
                <w:color w:val="auto"/>
              </w:rPr>
            </w:pPr>
            <w:r>
              <w:rPr>
                <w:rFonts w:ascii="Arial" w:cs="Arial" w:eastAsia="Arial" w:hAnsi="Arial"/>
                <w:sz w:val="18"/>
                <w:szCs w:val="18"/>
                <w:color w:val="auto"/>
              </w:rPr>
              <w:t>First Amendment to the Starwood 2004 Long-Term Incentive</w:t>
            </w:r>
          </w:p>
        </w:tc>
      </w:tr>
      <w:tr>
        <w:trPr>
          <w:trHeight w:val="230"/>
        </w:trPr>
        <w:tc>
          <w:tcPr>
            <w:tcW w:w="96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Compensation Plan.</w:t>
            </w:r>
          </w:p>
        </w:tc>
      </w:tr>
      <w:tr>
        <w:trPr>
          <w:trHeight w:val="283"/>
        </w:trPr>
        <w:tc>
          <w:tcPr>
            <w:tcW w:w="960" w:type="dxa"/>
            <w:vAlign w:val="bottom"/>
          </w:tcPr>
          <w:p>
            <w:pPr>
              <w:spacing w:after="0"/>
              <w:rPr>
                <w:sz w:val="20"/>
                <w:szCs w:val="20"/>
                <w:color w:val="auto"/>
              </w:rPr>
            </w:pPr>
            <w:r>
              <w:rPr>
                <w:rFonts w:ascii="Arial" w:cs="Arial" w:eastAsia="Arial" w:hAnsi="Arial"/>
                <w:sz w:val="18"/>
                <w:szCs w:val="18"/>
                <w:color w:val="auto"/>
              </w:rPr>
              <w:t>*10.16.1</w:t>
            </w:r>
          </w:p>
        </w:tc>
        <w:tc>
          <w:tcPr>
            <w:tcW w:w="5180" w:type="dxa"/>
            <w:vAlign w:val="bottom"/>
          </w:tcPr>
          <w:p>
            <w:pPr>
              <w:ind w:left="320"/>
              <w:spacing w:after="0"/>
              <w:rPr>
                <w:sz w:val="20"/>
                <w:szCs w:val="20"/>
                <w:color w:val="auto"/>
              </w:rPr>
            </w:pPr>
            <w:r>
              <w:rPr>
                <w:rFonts w:ascii="Arial" w:cs="Arial" w:eastAsia="Arial" w:hAnsi="Arial"/>
                <w:sz w:val="18"/>
                <w:szCs w:val="18"/>
                <w:color w:val="auto"/>
              </w:rPr>
              <w:t>Starwood 2013 Long-Term Incentive Compensation Plan.</w:t>
            </w:r>
          </w:p>
        </w:tc>
      </w:tr>
      <w:tr>
        <w:trPr>
          <w:trHeight w:val="405"/>
        </w:trPr>
        <w:tc>
          <w:tcPr>
            <w:tcW w:w="960" w:type="dxa"/>
            <w:vAlign w:val="bottom"/>
          </w:tcPr>
          <w:p>
            <w:pPr>
              <w:spacing w:after="0"/>
              <w:rPr>
                <w:sz w:val="20"/>
                <w:szCs w:val="20"/>
                <w:color w:val="auto"/>
              </w:rPr>
            </w:pPr>
            <w:r>
              <w:rPr>
                <w:rFonts w:ascii="Arial" w:cs="Arial" w:eastAsia="Arial" w:hAnsi="Arial"/>
                <w:sz w:val="18"/>
                <w:szCs w:val="18"/>
                <w:color w:val="auto"/>
              </w:rPr>
              <w:t>*10.16.2</w:t>
            </w:r>
          </w:p>
        </w:tc>
        <w:tc>
          <w:tcPr>
            <w:tcW w:w="5180" w:type="dxa"/>
            <w:vAlign w:val="bottom"/>
          </w:tcPr>
          <w:p>
            <w:pPr>
              <w:ind w:left="320"/>
              <w:spacing w:after="0"/>
              <w:rPr>
                <w:sz w:val="20"/>
                <w:szCs w:val="20"/>
                <w:color w:val="auto"/>
              </w:rPr>
            </w:pPr>
            <w:r>
              <w:rPr>
                <w:rFonts w:ascii="Arial" w:cs="Arial" w:eastAsia="Arial" w:hAnsi="Arial"/>
                <w:sz w:val="18"/>
                <w:szCs w:val="18"/>
                <w:color w:val="auto"/>
                <w:w w:val="93"/>
              </w:rPr>
              <w:t>Amendment dated May 5, 2017 to the Starwood 2013 Long-Term</w:t>
            </w:r>
          </w:p>
        </w:tc>
      </w:tr>
      <w:tr>
        <w:trPr>
          <w:trHeight w:val="230"/>
        </w:trPr>
        <w:tc>
          <w:tcPr>
            <w:tcW w:w="96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Incentive Compensation Plan.</w:t>
            </w: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*10.17</w:t>
            </w:r>
          </w:p>
        </w:tc>
        <w:tc>
          <w:tcPr>
            <w:tcW w:w="5180" w:type="dxa"/>
            <w:vAlign w:val="bottom"/>
          </w:tcPr>
          <w:p>
            <w:pPr>
              <w:ind w:left="320"/>
              <w:spacing w:after="0"/>
              <w:rPr>
                <w:sz w:val="20"/>
                <w:szCs w:val="20"/>
                <w:color w:val="auto"/>
              </w:rPr>
            </w:pPr>
            <w:r>
              <w:rPr>
                <w:rFonts w:ascii="Arial" w:cs="Arial" w:eastAsia="Arial" w:hAnsi="Arial"/>
                <w:sz w:val="18"/>
                <w:szCs w:val="18"/>
                <w:color w:val="auto"/>
                <w:w w:val="90"/>
              </w:rPr>
              <w:t>Amendment dated June 29, 2016 to the Starwood 2013 Long-Term</w:t>
            </w:r>
          </w:p>
        </w:tc>
      </w:tr>
      <w:tr>
        <w:trPr>
          <w:trHeight w:val="176"/>
        </w:trPr>
        <w:tc>
          <w:tcPr>
            <w:tcW w:w="960" w:type="dxa"/>
            <w:vAlign w:val="bottom"/>
          </w:tcPr>
          <w:p>
            <w:pPr>
              <w:spacing w:after="0"/>
              <w:rPr>
                <w:sz w:val="15"/>
                <w:szCs w:val="15"/>
                <w:color w:val="auto"/>
              </w:rPr>
            </w:pPr>
          </w:p>
        </w:tc>
        <w:tc>
          <w:tcPr>
            <w:tcW w:w="5180" w:type="dxa"/>
            <w:vAlign w:val="bottom"/>
          </w:tcPr>
          <w:p>
            <w:pPr>
              <w:ind w:left="320"/>
              <w:spacing w:after="0" w:line="176" w:lineRule="exact"/>
              <w:rPr>
                <w:sz w:val="20"/>
                <w:szCs w:val="20"/>
                <w:color w:val="auto"/>
              </w:rPr>
            </w:pPr>
            <w:r>
              <w:rPr>
                <w:rFonts w:ascii="Arial" w:cs="Arial" w:eastAsia="Arial" w:hAnsi="Arial"/>
                <w:sz w:val="18"/>
                <w:szCs w:val="18"/>
                <w:color w:val="auto"/>
                <w:w w:val="99"/>
              </w:rPr>
              <w:t>Incentive Compensation Plan, the Starwood 2004 Long-Term</w:t>
            </w:r>
          </w:p>
        </w:tc>
      </w:tr>
      <w:tr>
        <w:trPr>
          <w:trHeight w:val="176"/>
        </w:trPr>
        <w:tc>
          <w:tcPr>
            <w:tcW w:w="960" w:type="dxa"/>
            <w:vAlign w:val="bottom"/>
          </w:tcPr>
          <w:p>
            <w:pPr>
              <w:spacing w:after="0"/>
              <w:rPr>
                <w:sz w:val="15"/>
                <w:szCs w:val="15"/>
                <w:color w:val="auto"/>
              </w:rPr>
            </w:pPr>
          </w:p>
        </w:tc>
        <w:tc>
          <w:tcPr>
            <w:tcW w:w="5180" w:type="dxa"/>
            <w:vAlign w:val="bottom"/>
          </w:tcPr>
          <w:p>
            <w:pPr>
              <w:ind w:left="320"/>
              <w:spacing w:after="0" w:line="176" w:lineRule="exact"/>
              <w:rPr>
                <w:sz w:val="20"/>
                <w:szCs w:val="20"/>
                <w:color w:val="auto"/>
              </w:rPr>
            </w:pPr>
            <w:r>
              <w:rPr>
                <w:rFonts w:ascii="Arial" w:cs="Arial" w:eastAsia="Arial" w:hAnsi="Arial"/>
                <w:sz w:val="18"/>
                <w:szCs w:val="18"/>
                <w:color w:val="auto"/>
                <w:w w:val="99"/>
              </w:rPr>
              <w:t>Incentive Compensation Plan, the Starwood 2002 Long-Term</w:t>
            </w:r>
          </w:p>
        </w:tc>
      </w:tr>
      <w:tr>
        <w:trPr>
          <w:trHeight w:val="175"/>
        </w:trPr>
        <w:tc>
          <w:tcPr>
            <w:tcW w:w="960" w:type="dxa"/>
            <w:vAlign w:val="bottom"/>
          </w:tcPr>
          <w:p>
            <w:pPr>
              <w:spacing w:after="0"/>
              <w:rPr>
                <w:sz w:val="15"/>
                <w:szCs w:val="15"/>
                <w:color w:val="auto"/>
              </w:rPr>
            </w:pPr>
          </w:p>
        </w:tc>
        <w:tc>
          <w:tcPr>
            <w:tcW w:w="5180" w:type="dxa"/>
            <w:vAlign w:val="bottom"/>
          </w:tcPr>
          <w:p>
            <w:pPr>
              <w:ind w:left="320"/>
              <w:spacing w:after="0" w:line="176" w:lineRule="exact"/>
              <w:rPr>
                <w:sz w:val="20"/>
                <w:szCs w:val="20"/>
                <w:color w:val="auto"/>
              </w:rPr>
            </w:pPr>
            <w:r>
              <w:rPr>
                <w:rFonts w:ascii="Arial" w:cs="Arial" w:eastAsia="Arial" w:hAnsi="Arial"/>
                <w:sz w:val="18"/>
                <w:szCs w:val="18"/>
                <w:color w:val="auto"/>
                <w:w w:val="92"/>
              </w:rPr>
              <w:t>Incentive Compensation Plan, and the Starwood 1999 Long-Term</w:t>
            </w:r>
          </w:p>
        </w:tc>
      </w:tr>
      <w:tr>
        <w:trPr>
          <w:trHeight w:val="230"/>
        </w:trPr>
        <w:tc>
          <w:tcPr>
            <w:tcW w:w="96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Incentive Compensation Plan.</w:t>
            </w: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*10.18</w:t>
            </w:r>
          </w:p>
        </w:tc>
        <w:tc>
          <w:tcPr>
            <w:tcW w:w="5180" w:type="dxa"/>
            <w:vAlign w:val="bottom"/>
          </w:tcPr>
          <w:p>
            <w:pPr>
              <w:ind w:left="320"/>
              <w:spacing w:after="0"/>
              <w:rPr>
                <w:sz w:val="20"/>
                <w:szCs w:val="20"/>
                <w:color w:val="auto"/>
              </w:rPr>
            </w:pPr>
            <w:r>
              <w:rPr>
                <w:rFonts w:ascii="Arial" w:cs="Arial" w:eastAsia="Arial" w:hAnsi="Arial"/>
                <w:sz w:val="18"/>
                <w:szCs w:val="18"/>
                <w:color w:val="auto"/>
                <w:w w:val="98"/>
              </w:rPr>
              <w:t>Amendment dated September 23, 2016 to the Starwood 2013</w:t>
            </w:r>
          </w:p>
        </w:tc>
      </w:tr>
      <w:tr>
        <w:trPr>
          <w:trHeight w:val="175"/>
        </w:trPr>
        <w:tc>
          <w:tcPr>
            <w:tcW w:w="960" w:type="dxa"/>
            <w:vAlign w:val="bottom"/>
          </w:tcPr>
          <w:p>
            <w:pPr>
              <w:spacing w:after="0"/>
              <w:rPr>
                <w:sz w:val="15"/>
                <w:szCs w:val="15"/>
                <w:color w:val="auto"/>
              </w:rPr>
            </w:pPr>
          </w:p>
        </w:tc>
        <w:tc>
          <w:tcPr>
            <w:tcW w:w="5180" w:type="dxa"/>
            <w:vAlign w:val="bottom"/>
          </w:tcPr>
          <w:p>
            <w:pPr>
              <w:ind w:left="320"/>
              <w:spacing w:after="0" w:line="176" w:lineRule="exact"/>
              <w:rPr>
                <w:sz w:val="20"/>
                <w:szCs w:val="20"/>
                <w:color w:val="auto"/>
              </w:rPr>
            </w:pPr>
            <w:r>
              <w:rPr>
                <w:rFonts w:ascii="Arial" w:cs="Arial" w:eastAsia="Arial" w:hAnsi="Arial"/>
                <w:sz w:val="18"/>
                <w:szCs w:val="18"/>
                <w:color w:val="auto"/>
                <w:w w:val="99"/>
              </w:rPr>
              <w:t>Long-Term Incentive Compensation Plan, the Starwood 2004</w:t>
            </w:r>
          </w:p>
        </w:tc>
      </w:tr>
      <w:tr>
        <w:trPr>
          <w:trHeight w:val="176"/>
        </w:trPr>
        <w:tc>
          <w:tcPr>
            <w:tcW w:w="960" w:type="dxa"/>
            <w:vAlign w:val="bottom"/>
          </w:tcPr>
          <w:p>
            <w:pPr>
              <w:spacing w:after="0"/>
              <w:rPr>
                <w:sz w:val="15"/>
                <w:szCs w:val="15"/>
                <w:color w:val="auto"/>
              </w:rPr>
            </w:pPr>
          </w:p>
        </w:tc>
        <w:tc>
          <w:tcPr>
            <w:tcW w:w="5180" w:type="dxa"/>
            <w:vAlign w:val="bottom"/>
          </w:tcPr>
          <w:p>
            <w:pPr>
              <w:ind w:left="320"/>
              <w:spacing w:after="0" w:line="176" w:lineRule="exact"/>
              <w:rPr>
                <w:sz w:val="20"/>
                <w:szCs w:val="20"/>
                <w:color w:val="auto"/>
              </w:rPr>
            </w:pPr>
            <w:r>
              <w:rPr>
                <w:rFonts w:ascii="Arial" w:cs="Arial" w:eastAsia="Arial" w:hAnsi="Arial"/>
                <w:sz w:val="18"/>
                <w:szCs w:val="18"/>
                <w:color w:val="auto"/>
                <w:w w:val="99"/>
              </w:rPr>
              <w:t>Long-Term Incentive Compensation Plan, the Starwood 2002</w:t>
            </w:r>
          </w:p>
        </w:tc>
      </w:tr>
      <w:tr>
        <w:trPr>
          <w:trHeight w:val="176"/>
        </w:trPr>
        <w:tc>
          <w:tcPr>
            <w:tcW w:w="960" w:type="dxa"/>
            <w:vAlign w:val="bottom"/>
          </w:tcPr>
          <w:p>
            <w:pPr>
              <w:spacing w:after="0"/>
              <w:rPr>
                <w:sz w:val="15"/>
                <w:szCs w:val="15"/>
                <w:color w:val="auto"/>
              </w:rPr>
            </w:pPr>
          </w:p>
        </w:tc>
        <w:tc>
          <w:tcPr>
            <w:tcW w:w="5180" w:type="dxa"/>
            <w:vAlign w:val="bottom"/>
          </w:tcPr>
          <w:p>
            <w:pPr>
              <w:ind w:left="320"/>
              <w:spacing w:after="0" w:line="176" w:lineRule="exact"/>
              <w:rPr>
                <w:sz w:val="20"/>
                <w:szCs w:val="20"/>
                <w:color w:val="auto"/>
              </w:rPr>
            </w:pPr>
            <w:r>
              <w:rPr>
                <w:rFonts w:ascii="Arial" w:cs="Arial" w:eastAsia="Arial" w:hAnsi="Arial"/>
                <w:sz w:val="18"/>
                <w:szCs w:val="18"/>
                <w:color w:val="auto"/>
                <w:w w:val="92"/>
              </w:rPr>
              <w:t>Long-Term Incentive Compensation Plan, and the Starwood 1999</w:t>
            </w:r>
          </w:p>
        </w:tc>
      </w:tr>
      <w:tr>
        <w:trPr>
          <w:trHeight w:val="230"/>
        </w:trPr>
        <w:tc>
          <w:tcPr>
            <w:tcW w:w="96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Long-Term Incentive Compensation Plan.</w:t>
            </w: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*10.19</w:t>
            </w:r>
          </w:p>
        </w:tc>
        <w:tc>
          <w:tcPr>
            <w:tcW w:w="5180" w:type="dxa"/>
            <w:vAlign w:val="bottom"/>
          </w:tcPr>
          <w:p>
            <w:pPr>
              <w:ind w:left="320"/>
              <w:spacing w:after="0"/>
              <w:rPr>
                <w:sz w:val="20"/>
                <w:szCs w:val="20"/>
                <w:color w:val="auto"/>
              </w:rPr>
            </w:pPr>
            <w:r>
              <w:rPr>
                <w:rFonts w:ascii="Arial" w:cs="Arial" w:eastAsia="Arial" w:hAnsi="Arial"/>
                <w:sz w:val="18"/>
                <w:szCs w:val="18"/>
                <w:color w:val="auto"/>
              </w:rPr>
              <w:t>Amendment dated November 10, 2016 to the Marriott</w:t>
            </w:r>
          </w:p>
        </w:tc>
      </w:tr>
      <w:tr>
        <w:trPr>
          <w:trHeight w:val="176"/>
        </w:trPr>
        <w:tc>
          <w:tcPr>
            <w:tcW w:w="960" w:type="dxa"/>
            <w:vAlign w:val="bottom"/>
          </w:tcPr>
          <w:p>
            <w:pPr>
              <w:spacing w:after="0"/>
              <w:rPr>
                <w:sz w:val="15"/>
                <w:szCs w:val="15"/>
                <w:color w:val="auto"/>
              </w:rPr>
            </w:pPr>
          </w:p>
        </w:tc>
        <w:tc>
          <w:tcPr>
            <w:tcW w:w="5180" w:type="dxa"/>
            <w:vAlign w:val="bottom"/>
          </w:tcPr>
          <w:p>
            <w:pPr>
              <w:ind w:left="320"/>
              <w:spacing w:after="0" w:line="176" w:lineRule="exact"/>
              <w:rPr>
                <w:sz w:val="20"/>
                <w:szCs w:val="20"/>
                <w:color w:val="auto"/>
              </w:rPr>
            </w:pPr>
            <w:r>
              <w:rPr>
                <w:rFonts w:ascii="Arial" w:cs="Arial" w:eastAsia="Arial" w:hAnsi="Arial"/>
                <w:sz w:val="18"/>
                <w:szCs w:val="18"/>
                <w:color w:val="auto"/>
                <w:w w:val="95"/>
              </w:rPr>
              <w:t>International, Inc. Stock and Cash Incentive Plan, the Starwood</w:t>
            </w:r>
          </w:p>
        </w:tc>
      </w:tr>
      <w:tr>
        <w:trPr>
          <w:trHeight w:val="176"/>
        </w:trPr>
        <w:tc>
          <w:tcPr>
            <w:tcW w:w="960" w:type="dxa"/>
            <w:vAlign w:val="bottom"/>
          </w:tcPr>
          <w:p>
            <w:pPr>
              <w:spacing w:after="0"/>
              <w:rPr>
                <w:sz w:val="15"/>
                <w:szCs w:val="15"/>
                <w:color w:val="auto"/>
              </w:rPr>
            </w:pPr>
          </w:p>
        </w:tc>
        <w:tc>
          <w:tcPr>
            <w:tcW w:w="5180" w:type="dxa"/>
            <w:vAlign w:val="bottom"/>
          </w:tcPr>
          <w:p>
            <w:pPr>
              <w:ind w:left="320"/>
              <w:spacing w:after="0" w:line="176" w:lineRule="exact"/>
              <w:rPr>
                <w:sz w:val="20"/>
                <w:szCs w:val="20"/>
                <w:color w:val="auto"/>
              </w:rPr>
            </w:pPr>
            <w:r>
              <w:rPr>
                <w:rFonts w:ascii="Arial" w:cs="Arial" w:eastAsia="Arial" w:hAnsi="Arial"/>
                <w:sz w:val="18"/>
                <w:szCs w:val="18"/>
                <w:color w:val="auto"/>
                <w:w w:val="90"/>
              </w:rPr>
              <w:t>2013 Long-Term Incentive Compensation Plan, the Starwood 2004</w:t>
            </w:r>
          </w:p>
        </w:tc>
      </w:tr>
      <w:tr>
        <w:trPr>
          <w:trHeight w:val="175"/>
        </w:trPr>
        <w:tc>
          <w:tcPr>
            <w:tcW w:w="960" w:type="dxa"/>
            <w:vAlign w:val="bottom"/>
          </w:tcPr>
          <w:p>
            <w:pPr>
              <w:spacing w:after="0"/>
              <w:rPr>
                <w:sz w:val="15"/>
                <w:szCs w:val="15"/>
                <w:color w:val="auto"/>
              </w:rPr>
            </w:pPr>
          </w:p>
        </w:tc>
        <w:tc>
          <w:tcPr>
            <w:tcW w:w="5180" w:type="dxa"/>
            <w:vAlign w:val="bottom"/>
          </w:tcPr>
          <w:p>
            <w:pPr>
              <w:ind w:left="320"/>
              <w:spacing w:after="0" w:line="176" w:lineRule="exact"/>
              <w:rPr>
                <w:sz w:val="20"/>
                <w:szCs w:val="20"/>
                <w:color w:val="auto"/>
              </w:rPr>
            </w:pPr>
            <w:r>
              <w:rPr>
                <w:rFonts w:ascii="Arial" w:cs="Arial" w:eastAsia="Arial" w:hAnsi="Arial"/>
                <w:sz w:val="18"/>
                <w:szCs w:val="18"/>
                <w:color w:val="auto"/>
                <w:w w:val="99"/>
              </w:rPr>
              <w:t>Long-Term Incentive Compensation Plan, the Starwood 2002</w:t>
            </w:r>
          </w:p>
        </w:tc>
      </w:tr>
      <w:tr>
        <w:trPr>
          <w:trHeight w:val="176"/>
        </w:trPr>
        <w:tc>
          <w:tcPr>
            <w:tcW w:w="960" w:type="dxa"/>
            <w:vAlign w:val="bottom"/>
          </w:tcPr>
          <w:p>
            <w:pPr>
              <w:spacing w:after="0"/>
              <w:rPr>
                <w:sz w:val="15"/>
                <w:szCs w:val="15"/>
                <w:color w:val="auto"/>
              </w:rPr>
            </w:pPr>
          </w:p>
        </w:tc>
        <w:tc>
          <w:tcPr>
            <w:tcW w:w="5180" w:type="dxa"/>
            <w:vAlign w:val="bottom"/>
          </w:tcPr>
          <w:p>
            <w:pPr>
              <w:ind w:left="320"/>
              <w:spacing w:after="0" w:line="176" w:lineRule="exact"/>
              <w:rPr>
                <w:sz w:val="20"/>
                <w:szCs w:val="20"/>
                <w:color w:val="auto"/>
              </w:rPr>
            </w:pPr>
            <w:r>
              <w:rPr>
                <w:rFonts w:ascii="Arial" w:cs="Arial" w:eastAsia="Arial" w:hAnsi="Arial"/>
                <w:sz w:val="18"/>
                <w:szCs w:val="18"/>
                <w:color w:val="auto"/>
                <w:w w:val="92"/>
              </w:rPr>
              <w:t>Long-Term Incentive Compensation Plan, and the Starwood 1999</w:t>
            </w:r>
          </w:p>
        </w:tc>
      </w:tr>
      <w:tr>
        <w:trPr>
          <w:trHeight w:val="230"/>
        </w:trPr>
        <w:tc>
          <w:tcPr>
            <w:tcW w:w="96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Long-Term Incentive Compensation Plan.</w:t>
            </w: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†10.20</w:t>
            </w:r>
          </w:p>
        </w:tc>
        <w:tc>
          <w:tcPr>
            <w:tcW w:w="5180" w:type="dxa"/>
            <w:vAlign w:val="bottom"/>
          </w:tcPr>
          <w:p>
            <w:pPr>
              <w:ind w:left="320"/>
              <w:spacing w:after="0"/>
              <w:rPr>
                <w:sz w:val="20"/>
                <w:szCs w:val="20"/>
                <w:color w:val="auto"/>
              </w:rPr>
            </w:pPr>
            <w:r>
              <w:rPr>
                <w:rFonts w:ascii="Arial" w:cs="Arial" w:eastAsia="Arial" w:hAnsi="Arial"/>
                <w:sz w:val="18"/>
                <w:szCs w:val="18"/>
                <w:color w:val="auto"/>
              </w:rPr>
              <w:t>Amended and Restated Side Letter Agreement - Program</w:t>
            </w:r>
          </w:p>
        </w:tc>
      </w:tr>
      <w:tr>
        <w:trPr>
          <w:trHeight w:val="175"/>
        </w:trPr>
        <w:tc>
          <w:tcPr>
            <w:tcW w:w="960" w:type="dxa"/>
            <w:vAlign w:val="bottom"/>
          </w:tcPr>
          <w:p>
            <w:pPr>
              <w:spacing w:after="0"/>
              <w:rPr>
                <w:sz w:val="15"/>
                <w:szCs w:val="15"/>
                <w:color w:val="auto"/>
              </w:rPr>
            </w:pPr>
          </w:p>
        </w:tc>
        <w:tc>
          <w:tcPr>
            <w:tcW w:w="5180" w:type="dxa"/>
            <w:vAlign w:val="bottom"/>
          </w:tcPr>
          <w:p>
            <w:pPr>
              <w:ind w:left="320"/>
              <w:spacing w:after="0" w:line="176" w:lineRule="exact"/>
              <w:rPr>
                <w:sz w:val="20"/>
                <w:szCs w:val="20"/>
                <w:color w:val="auto"/>
              </w:rPr>
            </w:pPr>
            <w:r>
              <w:rPr>
                <w:rFonts w:ascii="Arial" w:cs="Arial" w:eastAsia="Arial" w:hAnsi="Arial"/>
                <w:sz w:val="18"/>
                <w:szCs w:val="18"/>
                <w:color w:val="auto"/>
              </w:rPr>
              <w:t>Affiliation, dated February 26, 2018, among the Company,</w:t>
            </w:r>
          </w:p>
        </w:tc>
      </w:tr>
      <w:tr>
        <w:trPr>
          <w:trHeight w:val="230"/>
        </w:trPr>
        <w:tc>
          <w:tcPr>
            <w:tcW w:w="96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w w:val="97"/>
              </w:rPr>
              <w:t>Marriott Vacations Worldwide, and certain of their subsidiaries.</w:t>
            </w: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10.21</w:t>
            </w:r>
          </w:p>
        </w:tc>
        <w:tc>
          <w:tcPr>
            <w:tcW w:w="5180" w:type="dxa"/>
            <w:vAlign w:val="bottom"/>
          </w:tcPr>
          <w:p>
            <w:pPr>
              <w:ind w:left="320"/>
              <w:spacing w:after="0"/>
              <w:rPr>
                <w:sz w:val="20"/>
                <w:szCs w:val="20"/>
                <w:color w:val="auto"/>
              </w:rPr>
            </w:pPr>
            <w:r>
              <w:rPr>
                <w:rFonts w:ascii="Arial" w:cs="Arial" w:eastAsia="Arial" w:hAnsi="Arial"/>
                <w:sz w:val="18"/>
                <w:szCs w:val="18"/>
                <w:color w:val="auto"/>
                <w:w w:val="95"/>
              </w:rPr>
              <w:t>Aircraft Time Sharing Agreement, effective as of September 20,</w:t>
            </w:r>
          </w:p>
        </w:tc>
      </w:tr>
      <w:tr>
        <w:trPr>
          <w:trHeight w:val="175"/>
        </w:trPr>
        <w:tc>
          <w:tcPr>
            <w:tcW w:w="960" w:type="dxa"/>
            <w:vAlign w:val="bottom"/>
          </w:tcPr>
          <w:p>
            <w:pPr>
              <w:spacing w:after="0"/>
              <w:rPr>
                <w:sz w:val="15"/>
                <w:szCs w:val="15"/>
                <w:color w:val="auto"/>
              </w:rPr>
            </w:pPr>
          </w:p>
        </w:tc>
        <w:tc>
          <w:tcPr>
            <w:tcW w:w="5180" w:type="dxa"/>
            <w:vAlign w:val="bottom"/>
          </w:tcPr>
          <w:p>
            <w:pPr>
              <w:ind w:left="320"/>
              <w:spacing w:after="0" w:line="176" w:lineRule="exact"/>
              <w:rPr>
                <w:sz w:val="20"/>
                <w:szCs w:val="20"/>
                <w:color w:val="auto"/>
              </w:rPr>
            </w:pPr>
            <w:r>
              <w:rPr>
                <w:rFonts w:ascii="Arial" w:cs="Arial" w:eastAsia="Arial" w:hAnsi="Arial"/>
                <w:sz w:val="18"/>
                <w:szCs w:val="18"/>
                <w:color w:val="auto"/>
                <w:w w:val="93"/>
              </w:rPr>
              <w:t>2018, between Marriott International Administrative Services, Inc.</w:t>
            </w:r>
          </w:p>
        </w:tc>
      </w:tr>
      <w:tr>
        <w:trPr>
          <w:trHeight w:val="230"/>
        </w:trPr>
        <w:tc>
          <w:tcPr>
            <w:tcW w:w="96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and J. Willard Marriott Jr.</w:t>
            </w:r>
          </w:p>
        </w:tc>
      </w:tr>
      <w:tr>
        <w:trPr>
          <w:trHeight w:val="283"/>
        </w:trPr>
        <w:tc>
          <w:tcPr>
            <w:tcW w:w="960" w:type="dxa"/>
            <w:vAlign w:val="bottom"/>
          </w:tcPr>
          <w:p>
            <w:pPr>
              <w:spacing w:after="0"/>
              <w:rPr>
                <w:sz w:val="20"/>
                <w:szCs w:val="20"/>
                <w:color w:val="auto"/>
              </w:rPr>
            </w:pPr>
            <w:r>
              <w:rPr>
                <w:rFonts w:ascii="Arial" w:cs="Arial" w:eastAsia="Arial" w:hAnsi="Arial"/>
                <w:sz w:val="18"/>
                <w:szCs w:val="18"/>
                <w:color w:val="auto"/>
              </w:rPr>
              <w:t>21</w:t>
            </w:r>
          </w:p>
        </w:tc>
        <w:tc>
          <w:tcPr>
            <w:tcW w:w="5180" w:type="dxa"/>
            <w:vAlign w:val="bottom"/>
          </w:tcPr>
          <w:p>
            <w:pPr>
              <w:ind w:left="320"/>
              <w:spacing w:after="0"/>
              <w:rPr>
                <w:sz w:val="20"/>
                <w:szCs w:val="20"/>
                <w:color w:val="auto"/>
              </w:rPr>
            </w:pPr>
            <w:r>
              <w:rPr>
                <w:rFonts w:ascii="Arial" w:cs="Arial" w:eastAsia="Arial" w:hAnsi="Arial"/>
                <w:sz w:val="18"/>
                <w:szCs w:val="18"/>
                <w:color w:val="auto"/>
              </w:rPr>
              <w:t>Subsidiaries of Marriott International, Inc.</w:t>
            </w:r>
          </w:p>
        </w:tc>
      </w:tr>
      <w:tr>
        <w:trPr>
          <w:trHeight w:val="284"/>
        </w:trPr>
        <w:tc>
          <w:tcPr>
            <w:tcW w:w="960" w:type="dxa"/>
            <w:vAlign w:val="bottom"/>
          </w:tcPr>
          <w:p>
            <w:pPr>
              <w:spacing w:after="0"/>
              <w:rPr>
                <w:sz w:val="20"/>
                <w:szCs w:val="20"/>
                <w:color w:val="auto"/>
              </w:rPr>
            </w:pPr>
            <w:r>
              <w:rPr>
                <w:rFonts w:ascii="Arial" w:cs="Arial" w:eastAsia="Arial" w:hAnsi="Arial"/>
                <w:sz w:val="18"/>
                <w:szCs w:val="18"/>
                <w:color w:val="auto"/>
              </w:rPr>
              <w:t>23</w:t>
            </w:r>
          </w:p>
        </w:tc>
        <w:tc>
          <w:tcPr>
            <w:tcW w:w="5180" w:type="dxa"/>
            <w:vAlign w:val="bottom"/>
          </w:tcPr>
          <w:p>
            <w:pPr>
              <w:ind w:left="320"/>
              <w:spacing w:after="0"/>
              <w:rPr>
                <w:sz w:val="20"/>
                <w:szCs w:val="20"/>
                <w:color w:val="auto"/>
              </w:rPr>
            </w:pPr>
            <w:r>
              <w:rPr>
                <w:rFonts w:ascii="Arial" w:cs="Arial" w:eastAsia="Arial" w:hAnsi="Arial"/>
                <w:sz w:val="18"/>
                <w:szCs w:val="18"/>
                <w:color w:val="auto"/>
              </w:rPr>
              <w:t>Consent of Ernst &amp; Young LLP.</w:t>
            </w: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5180" w:type="dxa"/>
            <w:vAlign w:val="bottom"/>
          </w:tcPr>
          <w:p>
            <w:pPr>
              <w:ind w:left="320"/>
              <w:spacing w:after="0"/>
              <w:rPr>
                <w:sz w:val="20"/>
                <w:szCs w:val="20"/>
                <w:color w:val="auto"/>
              </w:rPr>
            </w:pPr>
            <w:r>
              <w:rPr>
                <w:rFonts w:ascii="Arial" w:cs="Arial" w:eastAsia="Arial" w:hAnsi="Arial"/>
                <w:sz w:val="18"/>
                <w:szCs w:val="18"/>
                <w:color w:val="auto"/>
                <w:w w:val="94"/>
              </w:rPr>
              <w:t>Certification of Acting Co-Principal Executive Officer Pursuant to</w:t>
            </w:r>
          </w:p>
        </w:tc>
      </w:tr>
      <w:tr>
        <w:trPr>
          <w:trHeight w:val="230"/>
        </w:trPr>
        <w:tc>
          <w:tcPr>
            <w:tcW w:w="96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Rule 13a-14(a).</w:t>
            </w: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5180" w:type="dxa"/>
            <w:vAlign w:val="bottom"/>
          </w:tcPr>
          <w:p>
            <w:pPr>
              <w:ind w:left="320"/>
              <w:spacing w:after="0"/>
              <w:rPr>
                <w:sz w:val="20"/>
                <w:szCs w:val="20"/>
                <w:color w:val="auto"/>
              </w:rPr>
            </w:pPr>
            <w:r>
              <w:rPr>
                <w:rFonts w:ascii="Arial" w:cs="Arial" w:eastAsia="Arial" w:hAnsi="Arial"/>
                <w:sz w:val="18"/>
                <w:szCs w:val="18"/>
                <w:color w:val="auto"/>
                <w:w w:val="94"/>
              </w:rPr>
              <w:t>Certification of Acting Co-Principal Executive Officer Pursuant to</w:t>
            </w:r>
          </w:p>
        </w:tc>
      </w:tr>
      <w:tr>
        <w:trPr>
          <w:trHeight w:val="230"/>
        </w:trPr>
        <w:tc>
          <w:tcPr>
            <w:tcW w:w="96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Rule 13a-14(a).</w:t>
            </w:r>
          </w:p>
        </w:tc>
      </w:tr>
      <w:tr>
        <w:trPr>
          <w:trHeight w:val="850"/>
        </w:trPr>
        <w:tc>
          <w:tcPr>
            <w:tcW w:w="960" w:type="dxa"/>
            <w:vAlign w:val="bottom"/>
          </w:tcPr>
          <w:p>
            <w:pPr>
              <w:spacing w:after="0"/>
              <w:rPr>
                <w:sz w:val="24"/>
                <w:szCs w:val="24"/>
                <w:color w:val="auto"/>
              </w:rPr>
            </w:pPr>
          </w:p>
        </w:tc>
        <w:tc>
          <w:tcPr>
            <w:tcW w:w="5180" w:type="dxa"/>
            <w:vAlign w:val="bottom"/>
          </w:tcPr>
          <w:p>
            <w:pPr>
              <w:ind w:left="4540"/>
              <w:spacing w:after="0"/>
              <w:rPr>
                <w:sz w:val="20"/>
                <w:szCs w:val="20"/>
                <w:color w:val="auto"/>
              </w:rPr>
            </w:pPr>
            <w:r>
              <w:rPr>
                <w:rFonts w:ascii="Arial" w:cs="Arial" w:eastAsia="Arial" w:hAnsi="Arial"/>
                <w:sz w:val="18"/>
                <w:szCs w:val="18"/>
                <w:color w:val="auto"/>
              </w:rPr>
              <w:t>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240"/>
        <w:spacing w:after="0" w:line="235" w:lineRule="auto"/>
        <w:rPr>
          <w:rFonts w:ascii="Arial" w:cs="Arial" w:eastAsia="Arial" w:hAnsi="Arial"/>
          <w:sz w:val="18"/>
          <w:szCs w:val="18"/>
          <w:u w:val="single" w:color="auto"/>
          <w:color w:val="0000FF"/>
        </w:rPr>
      </w:pPr>
      <w:hyperlink r:id="rId164">
        <w:r>
          <w:rPr>
            <w:rFonts w:ascii="Arial" w:cs="Arial" w:eastAsia="Arial" w:hAnsi="Arial"/>
            <w:sz w:val="18"/>
            <w:szCs w:val="18"/>
            <w:u w:val="single" w:color="auto"/>
            <w:color w:val="0000FF"/>
          </w:rPr>
          <w:t>Exhibit 10.3 to Starwood’s Form 8-K filed January 6, 2009 (File</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No. 001-07959).</w:t>
        </w:r>
      </w:hyperlink>
    </w:p>
    <w:p>
      <w:pPr>
        <w:spacing w:after="0" w:line="54" w:lineRule="exact"/>
        <w:rPr>
          <w:sz w:val="20"/>
          <w:szCs w:val="20"/>
          <w:color w:val="auto"/>
        </w:rPr>
      </w:pPr>
    </w:p>
    <w:p>
      <w:pPr>
        <w:ind w:right="380"/>
        <w:spacing w:after="0" w:line="235" w:lineRule="auto"/>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Exhibit 10.1 to Starwood’s Form 10-Q for the quarterly period</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ended June 30, 2013 (File No. 001-07959).</w:t>
        </w:r>
      </w:hyperlink>
    </w:p>
    <w:p>
      <w:pPr>
        <w:spacing w:after="0" w:line="54" w:lineRule="exact"/>
        <w:rPr>
          <w:sz w:val="20"/>
          <w:szCs w:val="20"/>
          <w:color w:val="auto"/>
        </w:rPr>
      </w:pPr>
    </w:p>
    <w:p>
      <w:pPr>
        <w:spacing w:after="0"/>
        <w:rPr>
          <w:rFonts w:ascii="Arial" w:cs="Arial" w:eastAsia="Arial" w:hAnsi="Arial"/>
          <w:sz w:val="16"/>
          <w:szCs w:val="16"/>
          <w:u w:val="single" w:color="auto"/>
          <w:color w:val="0000FF"/>
        </w:rPr>
      </w:pPr>
      <w:hyperlink r:id="rId166">
        <w:r>
          <w:rPr>
            <w:rFonts w:ascii="Arial" w:cs="Arial" w:eastAsia="Arial" w:hAnsi="Arial"/>
            <w:sz w:val="16"/>
            <w:szCs w:val="16"/>
            <w:u w:val="single" w:color="auto"/>
            <w:color w:val="0000FF"/>
          </w:rPr>
          <w:t>Exhibit 4.4 to Starwood’s Form S-8 filed June 28, 2013 (File No.</w:t>
        </w:r>
      </w:hyperlink>
    </w:p>
    <w:p>
      <w:pPr>
        <w:spacing w:after="0" w:line="8" w:lineRule="exact"/>
        <w:rPr>
          <w:sz w:val="20"/>
          <w:szCs w:val="20"/>
          <w:color w:val="auto"/>
        </w:rPr>
      </w:pPr>
    </w:p>
    <w:p>
      <w:pPr>
        <w:spacing w:after="0"/>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333-189674).</w:t>
        </w:r>
      </w:hyperlink>
    </w:p>
    <w:p>
      <w:pPr>
        <w:spacing w:after="0" w:line="61" w:lineRule="exact"/>
        <w:rPr>
          <w:sz w:val="20"/>
          <w:szCs w:val="20"/>
          <w:color w:val="auto"/>
        </w:rPr>
      </w:pPr>
    </w:p>
    <w:p>
      <w:pPr>
        <w:ind w:right="320"/>
        <w:spacing w:after="0" w:line="235" w:lineRule="auto"/>
        <w:rPr>
          <w:rFonts w:ascii="Arial" w:cs="Arial" w:eastAsia="Arial" w:hAnsi="Arial"/>
          <w:sz w:val="18"/>
          <w:szCs w:val="18"/>
          <w:u w:val="single" w:color="auto"/>
          <w:color w:val="0000FF"/>
        </w:rPr>
      </w:pPr>
      <w:hyperlink r:id="rId167">
        <w:r>
          <w:rPr>
            <w:rFonts w:ascii="Arial" w:cs="Arial" w:eastAsia="Arial" w:hAnsi="Arial"/>
            <w:sz w:val="18"/>
            <w:szCs w:val="18"/>
            <w:u w:val="single" w:color="auto"/>
            <w:color w:val="0000FF"/>
          </w:rPr>
          <w:t>Exhibit 10.19.1 to our Form 10-K filed February 15, 2018 (File</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No. 001-13881).</w:t>
        </w:r>
      </w:hyperlink>
    </w:p>
    <w:p>
      <w:pPr>
        <w:spacing w:after="0" w:line="54" w:lineRule="exact"/>
        <w:rPr>
          <w:sz w:val="20"/>
          <w:szCs w:val="20"/>
          <w:color w:val="auto"/>
        </w:rPr>
      </w:pPr>
    </w:p>
    <w:p>
      <w:pPr>
        <w:spacing w:after="0"/>
        <w:rPr>
          <w:rFonts w:ascii="Arial" w:cs="Arial" w:eastAsia="Arial" w:hAnsi="Arial"/>
          <w:sz w:val="16"/>
          <w:szCs w:val="16"/>
          <w:u w:val="single" w:color="auto"/>
          <w:color w:val="0000FF"/>
        </w:rPr>
      </w:pPr>
      <w:hyperlink r:id="rId168">
        <w:r>
          <w:rPr>
            <w:rFonts w:ascii="Arial" w:cs="Arial" w:eastAsia="Arial" w:hAnsi="Arial"/>
            <w:sz w:val="16"/>
            <w:szCs w:val="16"/>
            <w:u w:val="single" w:color="auto"/>
            <w:color w:val="0000FF"/>
          </w:rPr>
          <w:t>Exhibit 10.20 to our Form 10-K filed February 15, 2018 (File No.</w:t>
        </w:r>
      </w:hyperlink>
    </w:p>
    <w:p>
      <w:pPr>
        <w:spacing w:after="0" w:line="8" w:lineRule="exact"/>
        <w:rPr>
          <w:sz w:val="20"/>
          <w:szCs w:val="20"/>
          <w:color w:val="auto"/>
        </w:rPr>
      </w:pPr>
    </w:p>
    <w:p>
      <w:pPr>
        <w:spacing w:after="0"/>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001-13881).</w:t>
        </w:r>
      </w:hyperlink>
    </w:p>
    <w:p>
      <w:pPr>
        <w:spacing w:after="0" w:line="200" w:lineRule="exact"/>
        <w:rPr>
          <w:sz w:val="20"/>
          <w:szCs w:val="20"/>
          <w:color w:val="auto"/>
        </w:rPr>
      </w:pPr>
    </w:p>
    <w:p>
      <w:pPr>
        <w:spacing w:after="0" w:line="387" w:lineRule="exact"/>
        <w:rPr>
          <w:sz w:val="20"/>
          <w:szCs w:val="20"/>
          <w:color w:val="auto"/>
        </w:rPr>
      </w:pPr>
    </w:p>
    <w:p>
      <w:pPr>
        <w:spacing w:after="0"/>
        <w:rPr>
          <w:rFonts w:ascii="Arial" w:cs="Arial" w:eastAsia="Arial" w:hAnsi="Arial"/>
          <w:sz w:val="16"/>
          <w:szCs w:val="16"/>
          <w:u w:val="single" w:color="auto"/>
          <w:color w:val="0000FF"/>
        </w:rPr>
      </w:pPr>
      <w:hyperlink r:id="rId169">
        <w:r>
          <w:rPr>
            <w:rFonts w:ascii="Arial" w:cs="Arial" w:eastAsia="Arial" w:hAnsi="Arial"/>
            <w:sz w:val="16"/>
            <w:szCs w:val="16"/>
            <w:u w:val="single" w:color="auto"/>
            <w:color w:val="0000FF"/>
          </w:rPr>
          <w:t>Exhibit 10.21 to our Form 10-K filed February 15, 2018 (File No.</w:t>
        </w:r>
      </w:hyperlink>
    </w:p>
    <w:p>
      <w:pPr>
        <w:spacing w:after="0" w:line="8" w:lineRule="exact"/>
        <w:rPr>
          <w:sz w:val="20"/>
          <w:szCs w:val="20"/>
          <w:color w:val="auto"/>
        </w:rPr>
      </w:pPr>
    </w:p>
    <w:p>
      <w:pPr>
        <w:spacing w:after="0"/>
        <w:rPr>
          <w:rFonts w:ascii="Arial" w:cs="Arial" w:eastAsia="Arial" w:hAnsi="Arial"/>
          <w:sz w:val="18"/>
          <w:szCs w:val="18"/>
          <w:u w:val="single" w:color="auto"/>
          <w:color w:val="0000FF"/>
        </w:rPr>
      </w:pPr>
      <w:hyperlink r:id="rId169">
        <w:r>
          <w:rPr>
            <w:rFonts w:ascii="Arial" w:cs="Arial" w:eastAsia="Arial" w:hAnsi="Arial"/>
            <w:sz w:val="18"/>
            <w:szCs w:val="18"/>
            <w:u w:val="single" w:color="auto"/>
            <w:color w:val="0000FF"/>
          </w:rPr>
          <w:t>001-13881).</w:t>
        </w:r>
      </w:hyperlink>
    </w:p>
    <w:p>
      <w:pPr>
        <w:spacing w:after="0" w:line="200" w:lineRule="exact"/>
        <w:rPr>
          <w:sz w:val="20"/>
          <w:szCs w:val="20"/>
          <w:color w:val="auto"/>
        </w:rPr>
      </w:pPr>
    </w:p>
    <w:p>
      <w:pPr>
        <w:spacing w:after="0" w:line="387" w:lineRule="exact"/>
        <w:rPr>
          <w:sz w:val="20"/>
          <w:szCs w:val="20"/>
          <w:color w:val="auto"/>
        </w:rPr>
      </w:pPr>
    </w:p>
    <w:p>
      <w:pPr>
        <w:spacing w:after="0"/>
        <w:rPr>
          <w:rFonts w:ascii="Arial" w:cs="Arial" w:eastAsia="Arial" w:hAnsi="Arial"/>
          <w:sz w:val="16"/>
          <w:szCs w:val="16"/>
          <w:u w:val="single" w:color="auto"/>
          <w:color w:val="0000FF"/>
        </w:rPr>
      </w:pPr>
      <w:hyperlink r:id="rId170">
        <w:r>
          <w:rPr>
            <w:rFonts w:ascii="Arial" w:cs="Arial" w:eastAsia="Arial" w:hAnsi="Arial"/>
            <w:sz w:val="16"/>
            <w:szCs w:val="16"/>
            <w:u w:val="single" w:color="auto"/>
            <w:color w:val="0000FF"/>
          </w:rPr>
          <w:t>Exhibit 10.22 to our Form 10-K filed February 15, 2018 (File No.</w:t>
        </w:r>
      </w:hyperlink>
    </w:p>
    <w:p>
      <w:pPr>
        <w:spacing w:after="0" w:line="8" w:lineRule="exact"/>
        <w:rPr>
          <w:sz w:val="20"/>
          <w:szCs w:val="20"/>
          <w:color w:val="auto"/>
        </w:rPr>
      </w:pPr>
    </w:p>
    <w:p>
      <w:pPr>
        <w:spacing w:after="0"/>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001-13881).</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320"/>
        <w:spacing w:after="0" w:line="235" w:lineRule="auto"/>
        <w:rPr>
          <w:rFonts w:ascii="Arial" w:cs="Arial" w:eastAsia="Arial" w:hAnsi="Arial"/>
          <w:sz w:val="18"/>
          <w:szCs w:val="18"/>
          <w:u w:val="single" w:color="auto"/>
          <w:color w:val="0000FF"/>
        </w:rPr>
      </w:pPr>
      <w:hyperlink r:id="rId171">
        <w:r>
          <w:rPr>
            <w:rFonts w:ascii="Arial" w:cs="Arial" w:eastAsia="Arial" w:hAnsi="Arial"/>
            <w:sz w:val="18"/>
            <w:szCs w:val="18"/>
            <w:u w:val="single" w:color="auto"/>
            <w:color w:val="0000FF"/>
          </w:rPr>
          <w:t>Exhibit No. 10.5 to our Form 8-K filed February 27, 2018 (File</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No. 001-13881).</w:t>
        </w:r>
      </w:hyperlink>
    </w:p>
    <w:p>
      <w:pPr>
        <w:spacing w:after="0" w:line="229" w:lineRule="exact"/>
        <w:rPr>
          <w:sz w:val="20"/>
          <w:szCs w:val="20"/>
          <w:color w:val="auto"/>
        </w:rPr>
      </w:pPr>
    </w:p>
    <w:p>
      <w:pPr>
        <w:ind w:right="220"/>
        <w:spacing w:after="0" w:line="235" w:lineRule="auto"/>
        <w:rPr>
          <w:rFonts w:ascii="Arial" w:cs="Arial" w:eastAsia="Arial" w:hAnsi="Arial"/>
          <w:sz w:val="18"/>
          <w:szCs w:val="18"/>
          <w:u w:val="single" w:color="auto"/>
          <w:color w:val="0000FF"/>
        </w:rPr>
      </w:pPr>
      <w:hyperlink r:id="rId172">
        <w:r>
          <w:rPr>
            <w:rFonts w:ascii="Arial" w:cs="Arial" w:eastAsia="Arial" w:hAnsi="Arial"/>
            <w:sz w:val="18"/>
            <w:szCs w:val="18"/>
            <w:u w:val="single" w:color="auto"/>
            <w:color w:val="0000FF"/>
          </w:rPr>
          <w:t>Exhibit No. 10.3 to our Form 10-Q filed November 6, 2018 (File</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No. 001-13881).</w:t>
        </w:r>
      </w:hyperlink>
    </w:p>
    <w:p>
      <w:pPr>
        <w:spacing w:after="0" w:line="229" w:lineRule="exact"/>
        <w:rPr>
          <w:sz w:val="20"/>
          <w:szCs w:val="20"/>
          <w:color w:val="auto"/>
        </w:rPr>
      </w:pPr>
    </w:p>
    <w:p>
      <w:pPr>
        <w:spacing w:after="0"/>
        <w:rPr>
          <w:rFonts w:ascii="Arial" w:cs="Arial" w:eastAsia="Arial" w:hAnsi="Arial"/>
          <w:sz w:val="18"/>
          <w:szCs w:val="18"/>
          <w:i w:val="1"/>
          <w:iCs w:val="1"/>
          <w:u w:val="single" w:color="auto"/>
          <w:color w:val="0000FF"/>
        </w:rPr>
      </w:pPr>
      <w:hyperlink w:anchor="page89">
        <w:r>
          <w:rPr>
            <w:rFonts w:ascii="Arial" w:cs="Arial" w:eastAsia="Arial" w:hAnsi="Arial"/>
            <w:sz w:val="18"/>
            <w:szCs w:val="18"/>
            <w:i w:val="1"/>
            <w:iCs w:val="1"/>
            <w:u w:val="single" w:color="auto"/>
            <w:color w:val="0000FF"/>
          </w:rPr>
          <w:t>Filed with this report.</w:t>
        </w:r>
      </w:hyperlink>
    </w:p>
    <w:p>
      <w:pPr>
        <w:spacing w:after="0" w:line="77" w:lineRule="exact"/>
        <w:rPr>
          <w:sz w:val="20"/>
          <w:szCs w:val="20"/>
          <w:color w:val="auto"/>
        </w:rPr>
      </w:pPr>
    </w:p>
    <w:p>
      <w:pPr>
        <w:spacing w:after="0"/>
        <w:rPr>
          <w:rFonts w:ascii="Arial" w:cs="Arial" w:eastAsia="Arial" w:hAnsi="Arial"/>
          <w:sz w:val="18"/>
          <w:szCs w:val="18"/>
          <w:i w:val="1"/>
          <w:iCs w:val="1"/>
          <w:u w:val="single" w:color="auto"/>
          <w:color w:val="0000FF"/>
        </w:rPr>
      </w:pPr>
      <w:hyperlink w:anchor="page109">
        <w:r>
          <w:rPr>
            <w:rFonts w:ascii="Arial" w:cs="Arial" w:eastAsia="Arial" w:hAnsi="Arial"/>
            <w:sz w:val="18"/>
            <w:szCs w:val="18"/>
            <w:i w:val="1"/>
            <w:iCs w:val="1"/>
            <w:u w:val="single" w:color="auto"/>
            <w:color w:val="0000FF"/>
          </w:rPr>
          <w:t>Filed with this report.</w:t>
        </w:r>
      </w:hyperlink>
    </w:p>
    <w:p>
      <w:pPr>
        <w:spacing w:after="0" w:line="77" w:lineRule="exact"/>
        <w:rPr>
          <w:sz w:val="20"/>
          <w:szCs w:val="20"/>
          <w:color w:val="auto"/>
        </w:rPr>
      </w:pPr>
    </w:p>
    <w:p>
      <w:pPr>
        <w:spacing w:after="0"/>
        <w:rPr>
          <w:rFonts w:ascii="Arial" w:cs="Arial" w:eastAsia="Arial" w:hAnsi="Arial"/>
          <w:sz w:val="18"/>
          <w:szCs w:val="18"/>
          <w:i w:val="1"/>
          <w:iCs w:val="1"/>
          <w:u w:val="single" w:color="auto"/>
          <w:color w:val="0000FF"/>
        </w:rPr>
      </w:pPr>
      <w:hyperlink w:anchor="page110">
        <w:r>
          <w:rPr>
            <w:rFonts w:ascii="Arial" w:cs="Arial" w:eastAsia="Arial" w:hAnsi="Arial"/>
            <w:sz w:val="18"/>
            <w:szCs w:val="18"/>
            <w:i w:val="1"/>
            <w:iCs w:val="1"/>
            <w:u w:val="single" w:color="auto"/>
            <w:color w:val="0000FF"/>
          </w:rPr>
          <w:t>Filed with this report.</w:t>
        </w:r>
      </w:hyperlink>
    </w:p>
    <w:p>
      <w:pPr>
        <w:spacing w:after="0" w:line="252" w:lineRule="exact"/>
        <w:rPr>
          <w:sz w:val="20"/>
          <w:szCs w:val="20"/>
          <w:color w:val="auto"/>
        </w:rPr>
      </w:pPr>
    </w:p>
    <w:p>
      <w:pPr>
        <w:spacing w:after="0"/>
        <w:rPr>
          <w:rFonts w:ascii="Arial" w:cs="Arial" w:eastAsia="Arial" w:hAnsi="Arial"/>
          <w:sz w:val="18"/>
          <w:szCs w:val="18"/>
          <w:i w:val="1"/>
          <w:iCs w:val="1"/>
          <w:u w:val="single" w:color="auto"/>
          <w:color w:val="0000FF"/>
        </w:rPr>
      </w:pPr>
      <w:hyperlink w:anchor="page111">
        <w:r>
          <w:rPr>
            <w:rFonts w:ascii="Arial" w:cs="Arial" w:eastAsia="Arial" w:hAnsi="Arial"/>
            <w:sz w:val="18"/>
            <w:szCs w:val="18"/>
            <w:i w:val="1"/>
            <w:iCs w:val="1"/>
            <w:u w:val="single" w:color="auto"/>
            <w:color w:val="0000FF"/>
          </w:rPr>
          <w:t>Filed with this report.</w:t>
        </w:r>
      </w:hyperlink>
    </w:p>
    <w:p>
      <w:pPr>
        <w:sectPr>
          <w:pgSz w:w="11900" w:h="16838" w:orient="portrait"/>
          <w:cols w:equalWidth="0" w:num="2">
            <w:col w:w="6180" w:space="160"/>
            <w:col w:w="4880"/>
          </w:cols>
          <w:pgMar w:left="320" w:top="125" w:right="35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900" w:type="dxa"/>
            <w:vAlign w:val="bottom"/>
          </w:tcPr>
          <w:p>
            <w:pPr>
              <w:ind w:left="20"/>
              <w:spacing w:after="0"/>
              <w:rPr>
                <w:sz w:val="20"/>
                <w:szCs w:val="20"/>
                <w:color w:val="auto"/>
              </w:rPr>
            </w:pPr>
            <w:r>
              <w:rPr>
                <w:rFonts w:ascii="Arial" w:cs="Arial" w:eastAsia="Arial" w:hAnsi="Arial"/>
                <w:sz w:val="14"/>
                <w:szCs w:val="14"/>
                <w:b w:val="1"/>
                <w:bCs w:val="1"/>
                <w:color w:val="auto"/>
                <w:w w:val="94"/>
              </w:rPr>
              <w:t>Incorporation by Reference (where a report is indicated below, that document</w:t>
            </w:r>
          </w:p>
        </w:tc>
        <w:tc>
          <w:tcPr>
            <w:tcW w:w="0" w:type="dxa"/>
            <w:vAlign w:val="bottom"/>
          </w:tcPr>
          <w:p>
            <w:pPr>
              <w:spacing w:after="0"/>
              <w:rPr>
                <w:sz w:val="1"/>
                <w:szCs w:val="1"/>
                <w:color w:val="auto"/>
              </w:rPr>
            </w:pPr>
          </w:p>
        </w:tc>
      </w:tr>
      <w:tr>
        <w:trPr>
          <w:trHeight w:val="135"/>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Exhibit No.</w:t>
            </w:r>
          </w:p>
        </w:tc>
        <w:tc>
          <w:tcPr>
            <w:tcW w:w="280" w:type="dxa"/>
            <w:vAlign w:val="bottom"/>
            <w:vMerge w:val="restart"/>
          </w:tcPr>
          <w:p>
            <w:pPr>
              <w:spacing w:after="0"/>
              <w:rPr>
                <w:sz w:val="11"/>
                <w:szCs w:val="11"/>
                <w:color w:val="auto"/>
              </w:rPr>
            </w:pPr>
          </w:p>
        </w:tc>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1"/>
                <w:szCs w:val="11"/>
                <w:color w:val="auto"/>
              </w:rPr>
            </w:pPr>
          </w:p>
        </w:tc>
        <w:tc>
          <w:tcPr>
            <w:tcW w:w="490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has been previously filed with the SEC and the applicable exhibit is</w:t>
            </w:r>
          </w:p>
        </w:tc>
        <w:tc>
          <w:tcPr>
            <w:tcW w:w="0" w:type="dxa"/>
            <w:vAlign w:val="bottom"/>
          </w:tcPr>
          <w:p>
            <w:pPr>
              <w:spacing w:after="0"/>
              <w:rPr>
                <w:sz w:val="1"/>
                <w:szCs w:val="1"/>
                <w:color w:val="auto"/>
              </w:rPr>
            </w:pPr>
          </w:p>
        </w:tc>
      </w:tr>
      <w:tr>
        <w:trPr>
          <w:trHeight w:val="188"/>
        </w:trPr>
        <w:tc>
          <w:tcPr>
            <w:tcW w:w="1000" w:type="dxa"/>
            <w:vAlign w:val="bottom"/>
            <w:tcBorders>
              <w:bottom w:val="single" w:sz="8" w:color="auto"/>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4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incorporated by reference thereto)</w:t>
            </w:r>
          </w:p>
        </w:tc>
        <w:tc>
          <w:tcPr>
            <w:tcW w:w="0" w:type="dxa"/>
            <w:vAlign w:val="bottom"/>
          </w:tcPr>
          <w:p>
            <w:pPr>
              <w:spacing w:after="0"/>
              <w:rPr>
                <w:sz w:val="1"/>
                <w:szCs w:val="1"/>
                <w:color w:val="auto"/>
              </w:rPr>
            </w:pPr>
          </w:p>
        </w:tc>
      </w:tr>
      <w:tr>
        <w:trPr>
          <w:trHeight w:val="265"/>
        </w:trPr>
        <w:tc>
          <w:tcPr>
            <w:tcW w:w="1000" w:type="dxa"/>
            <w:vAlign w:val="bottom"/>
          </w:tcPr>
          <w:p>
            <w:pPr>
              <w:spacing w:after="0"/>
              <w:rPr>
                <w:sz w:val="20"/>
                <w:szCs w:val="20"/>
                <w:color w:val="auto"/>
              </w:rPr>
            </w:pPr>
            <w:r>
              <w:rPr>
                <w:rFonts w:ascii="Arial" w:cs="Arial" w:eastAsia="Arial" w:hAnsi="Arial"/>
                <w:sz w:val="18"/>
                <w:szCs w:val="18"/>
                <w:color w:val="auto"/>
              </w:rPr>
              <w:t>31.3</w:t>
            </w:r>
          </w:p>
        </w:tc>
        <w:tc>
          <w:tcPr>
            <w:tcW w:w="280" w:type="dxa"/>
            <w:vAlign w:val="bottom"/>
          </w:tcPr>
          <w:p>
            <w:pPr>
              <w:spacing w:after="0"/>
              <w:rPr>
                <w:sz w:val="23"/>
                <w:szCs w:val="23"/>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w w:val="94"/>
              </w:rPr>
              <w:t>Certification of Chief Financial Officer Pursuant to Rule 13a-14(a).</w:t>
            </w:r>
          </w:p>
        </w:tc>
        <w:tc>
          <w:tcPr>
            <w:tcW w:w="4900" w:type="dxa"/>
            <w:vAlign w:val="bottom"/>
          </w:tcPr>
          <w:p>
            <w:pPr>
              <w:ind w:left="20"/>
              <w:spacing w:after="0"/>
              <w:rPr>
                <w:rFonts w:ascii="Arial" w:cs="Arial" w:eastAsia="Arial" w:hAnsi="Arial"/>
                <w:sz w:val="18"/>
                <w:szCs w:val="18"/>
                <w:i w:val="1"/>
                <w:iCs w:val="1"/>
                <w:u w:val="single" w:color="auto"/>
                <w:color w:val="0000FF"/>
              </w:rPr>
            </w:pPr>
            <w:hyperlink w:anchor="page112">
              <w:r>
                <w:rPr>
                  <w:rFonts w:ascii="Arial" w:cs="Arial" w:eastAsia="Arial" w:hAnsi="Arial"/>
                  <w:sz w:val="18"/>
                  <w:szCs w:val="18"/>
                  <w:i w:val="1"/>
                  <w:iCs w:val="1"/>
                  <w:u w:val="single" w:color="auto"/>
                  <w:color w:val="0000FF"/>
                </w:rPr>
                <w:t>Filed with this report.</w:t>
              </w:r>
            </w:hyperlink>
          </w:p>
        </w:tc>
        <w:tc>
          <w:tcPr>
            <w:tcW w:w="0" w:type="dxa"/>
            <w:vAlign w:val="bottom"/>
          </w:tcPr>
          <w:p>
            <w:pPr>
              <w:spacing w:after="0"/>
              <w:rPr>
                <w:sz w:val="1"/>
                <w:szCs w:val="1"/>
                <w:color w:val="auto"/>
              </w:rPr>
            </w:pPr>
          </w:p>
        </w:tc>
      </w:tr>
      <w:tr>
        <w:trPr>
          <w:trHeight w:val="284"/>
        </w:trPr>
        <w:tc>
          <w:tcPr>
            <w:tcW w:w="1000" w:type="dxa"/>
            <w:vAlign w:val="bottom"/>
          </w:tcPr>
          <w:p>
            <w:pPr>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Section 1350 Certifications.</w:t>
            </w:r>
          </w:p>
        </w:tc>
        <w:tc>
          <w:tcPr>
            <w:tcW w:w="4900" w:type="dxa"/>
            <w:vAlign w:val="bottom"/>
          </w:tcPr>
          <w:p>
            <w:pPr>
              <w:ind w:left="20"/>
              <w:spacing w:after="0"/>
              <w:rPr>
                <w:rFonts w:ascii="Arial" w:cs="Arial" w:eastAsia="Arial" w:hAnsi="Arial"/>
                <w:sz w:val="18"/>
                <w:szCs w:val="18"/>
                <w:i w:val="1"/>
                <w:iCs w:val="1"/>
                <w:u w:val="single" w:color="auto"/>
                <w:color w:val="0000FF"/>
              </w:rPr>
            </w:pPr>
            <w:hyperlink w:anchor="page113">
              <w:r>
                <w:rPr>
                  <w:rFonts w:ascii="Arial" w:cs="Arial" w:eastAsia="Arial" w:hAnsi="Arial"/>
                  <w:sz w:val="18"/>
                  <w:szCs w:val="18"/>
                  <w:i w:val="1"/>
                  <w:iCs w:val="1"/>
                  <w:u w:val="single" w:color="auto"/>
                  <w:color w:val="0000FF"/>
                </w:rPr>
                <w:t>Furnished with this report.</w:t>
              </w:r>
            </w:hyperlink>
          </w:p>
        </w:tc>
        <w:tc>
          <w:tcPr>
            <w:tcW w:w="0" w:type="dxa"/>
            <w:vAlign w:val="bottom"/>
          </w:tcPr>
          <w:p>
            <w:pPr>
              <w:spacing w:after="0"/>
              <w:rPr>
                <w:sz w:val="1"/>
                <w:szCs w:val="1"/>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The following financial statements from Marriott International,</w:t>
            </w:r>
          </w:p>
        </w:tc>
        <w:tc>
          <w:tcPr>
            <w:tcW w:w="4900" w:type="dxa"/>
            <w:vAlign w:val="bottom"/>
          </w:tcPr>
          <w:p>
            <w:pPr>
              <w:ind w:left="20"/>
              <w:spacing w:after="0"/>
              <w:rPr>
                <w:sz w:val="20"/>
                <w:szCs w:val="20"/>
                <w:color w:val="auto"/>
              </w:rPr>
            </w:pPr>
            <w:r>
              <w:rPr>
                <w:rFonts w:ascii="Arial" w:cs="Arial" w:eastAsia="Arial" w:hAnsi="Arial"/>
                <w:sz w:val="18"/>
                <w:szCs w:val="18"/>
                <w:i w:val="1"/>
                <w:iCs w:val="1"/>
                <w:color w:val="auto"/>
              </w:rPr>
              <w:t>Submitted electronically with this report.</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0" w:type="dxa"/>
            <w:vAlign w:val="bottom"/>
            <w:gridSpan w:val="2"/>
          </w:tcPr>
          <w:p>
            <w:pPr>
              <w:spacing w:after="0" w:line="176" w:lineRule="exact"/>
              <w:rPr>
                <w:sz w:val="20"/>
                <w:szCs w:val="20"/>
                <w:color w:val="auto"/>
              </w:rPr>
            </w:pPr>
            <w:r>
              <w:rPr>
                <w:rFonts w:ascii="Arial" w:cs="Arial" w:eastAsia="Arial" w:hAnsi="Arial"/>
                <w:sz w:val="18"/>
                <w:szCs w:val="18"/>
                <w:color w:val="auto"/>
              </w:rPr>
              <w:t>Inc.’s Annual Report on Form 10-K for the year ended</w:t>
            </w:r>
          </w:p>
        </w:tc>
        <w:tc>
          <w:tcPr>
            <w:tcW w:w="4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0" w:type="dxa"/>
            <w:vAlign w:val="bottom"/>
            <w:gridSpan w:val="2"/>
          </w:tcPr>
          <w:p>
            <w:pPr>
              <w:spacing w:after="0" w:line="176" w:lineRule="exact"/>
              <w:rPr>
                <w:sz w:val="20"/>
                <w:szCs w:val="20"/>
                <w:color w:val="auto"/>
              </w:rPr>
            </w:pPr>
            <w:r>
              <w:rPr>
                <w:rFonts w:ascii="Arial" w:cs="Arial" w:eastAsia="Arial" w:hAnsi="Arial"/>
                <w:sz w:val="18"/>
                <w:szCs w:val="18"/>
                <w:color w:val="auto"/>
              </w:rPr>
              <w:t>December 31, 2020, formatted in Inline XBRL (Extensible</w:t>
            </w:r>
          </w:p>
        </w:tc>
        <w:tc>
          <w:tcPr>
            <w:tcW w:w="4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0" w:type="dxa"/>
            <w:vAlign w:val="bottom"/>
            <w:gridSpan w:val="2"/>
          </w:tcPr>
          <w:p>
            <w:pPr>
              <w:spacing w:after="0" w:line="176" w:lineRule="exact"/>
              <w:rPr>
                <w:sz w:val="20"/>
                <w:szCs w:val="20"/>
                <w:color w:val="auto"/>
              </w:rPr>
            </w:pPr>
            <w:r>
              <w:rPr>
                <w:rFonts w:ascii="Arial" w:cs="Arial" w:eastAsia="Arial" w:hAnsi="Arial"/>
                <w:sz w:val="18"/>
                <w:szCs w:val="18"/>
                <w:color w:val="auto"/>
                <w:w w:val="94"/>
              </w:rPr>
              <w:t>Business Reporting Language): (i) the Consolidated Statements of</w:t>
            </w:r>
          </w:p>
        </w:tc>
        <w:tc>
          <w:tcPr>
            <w:tcW w:w="4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0" w:type="dxa"/>
            <w:vAlign w:val="bottom"/>
            <w:gridSpan w:val="2"/>
          </w:tcPr>
          <w:p>
            <w:pPr>
              <w:spacing w:after="0" w:line="176" w:lineRule="exact"/>
              <w:rPr>
                <w:sz w:val="20"/>
                <w:szCs w:val="20"/>
                <w:color w:val="auto"/>
              </w:rPr>
            </w:pPr>
            <w:r>
              <w:rPr>
                <w:rFonts w:ascii="Arial" w:cs="Arial" w:eastAsia="Arial" w:hAnsi="Arial"/>
                <w:sz w:val="18"/>
                <w:szCs w:val="18"/>
                <w:color w:val="auto"/>
              </w:rPr>
              <w:t>(Loss) Income for the year ended December 31, 2020,</w:t>
            </w:r>
          </w:p>
        </w:tc>
        <w:tc>
          <w:tcPr>
            <w:tcW w:w="4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0" w:type="dxa"/>
            <w:vAlign w:val="bottom"/>
            <w:gridSpan w:val="2"/>
          </w:tcPr>
          <w:p>
            <w:pPr>
              <w:spacing w:after="0" w:line="176" w:lineRule="exact"/>
              <w:rPr>
                <w:sz w:val="20"/>
                <w:szCs w:val="20"/>
                <w:color w:val="auto"/>
              </w:rPr>
            </w:pPr>
            <w:r>
              <w:rPr>
                <w:rFonts w:ascii="Arial" w:cs="Arial" w:eastAsia="Arial" w:hAnsi="Arial"/>
                <w:sz w:val="18"/>
                <w:szCs w:val="18"/>
                <w:color w:val="auto"/>
                <w:w w:val="93"/>
              </w:rPr>
              <w:t>December 31, 2019, and December 31, 2018; (ii) the Consolidated</w:t>
            </w:r>
          </w:p>
        </w:tc>
        <w:tc>
          <w:tcPr>
            <w:tcW w:w="4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0" w:type="dxa"/>
            <w:vAlign w:val="bottom"/>
            <w:gridSpan w:val="2"/>
          </w:tcPr>
          <w:p>
            <w:pPr>
              <w:spacing w:after="0" w:line="176" w:lineRule="exact"/>
              <w:rPr>
                <w:sz w:val="20"/>
                <w:szCs w:val="20"/>
                <w:color w:val="auto"/>
              </w:rPr>
            </w:pPr>
            <w:r>
              <w:rPr>
                <w:rFonts w:ascii="Arial" w:cs="Arial" w:eastAsia="Arial" w:hAnsi="Arial"/>
                <w:sz w:val="18"/>
                <w:szCs w:val="18"/>
                <w:color w:val="auto"/>
                <w:w w:val="96"/>
              </w:rPr>
              <w:t>Balance Sheets at December 31, 2020, and December 31, 2019;</w:t>
            </w:r>
          </w:p>
        </w:tc>
        <w:tc>
          <w:tcPr>
            <w:tcW w:w="4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0" w:type="dxa"/>
            <w:vAlign w:val="bottom"/>
            <w:gridSpan w:val="2"/>
          </w:tcPr>
          <w:p>
            <w:pPr>
              <w:spacing w:after="0" w:line="176" w:lineRule="exact"/>
              <w:rPr>
                <w:sz w:val="20"/>
                <w:szCs w:val="20"/>
                <w:color w:val="auto"/>
              </w:rPr>
            </w:pPr>
            <w:r>
              <w:rPr>
                <w:rFonts w:ascii="Arial" w:cs="Arial" w:eastAsia="Arial" w:hAnsi="Arial"/>
                <w:sz w:val="18"/>
                <w:szCs w:val="18"/>
                <w:color w:val="auto"/>
                <w:w w:val="93"/>
              </w:rPr>
              <w:t>(iii) the Consolidated Statements of Cash Flows for the year ended</w:t>
            </w:r>
          </w:p>
        </w:tc>
        <w:tc>
          <w:tcPr>
            <w:tcW w:w="4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0" w:type="dxa"/>
            <w:vAlign w:val="bottom"/>
            <w:gridSpan w:val="2"/>
          </w:tcPr>
          <w:p>
            <w:pPr>
              <w:spacing w:after="0" w:line="176" w:lineRule="exact"/>
              <w:rPr>
                <w:sz w:val="20"/>
                <w:szCs w:val="20"/>
                <w:color w:val="auto"/>
              </w:rPr>
            </w:pPr>
            <w:r>
              <w:rPr>
                <w:rFonts w:ascii="Arial" w:cs="Arial" w:eastAsia="Arial" w:hAnsi="Arial"/>
                <w:sz w:val="18"/>
                <w:szCs w:val="18"/>
                <w:color w:val="auto"/>
                <w:w w:val="93"/>
              </w:rPr>
              <w:t>December 31, 2020, December 31, 2019, and December 31, 2018;</w:t>
            </w:r>
          </w:p>
        </w:tc>
        <w:tc>
          <w:tcPr>
            <w:tcW w:w="4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0" w:type="dxa"/>
            <w:vAlign w:val="bottom"/>
            <w:gridSpan w:val="2"/>
          </w:tcPr>
          <w:p>
            <w:pPr>
              <w:spacing w:after="0" w:line="176" w:lineRule="exact"/>
              <w:rPr>
                <w:sz w:val="20"/>
                <w:szCs w:val="20"/>
                <w:color w:val="auto"/>
              </w:rPr>
            </w:pPr>
            <w:r>
              <w:rPr>
                <w:rFonts w:ascii="Arial" w:cs="Arial" w:eastAsia="Arial" w:hAnsi="Arial"/>
                <w:sz w:val="18"/>
                <w:szCs w:val="18"/>
                <w:color w:val="auto"/>
                <w:w w:val="93"/>
              </w:rPr>
              <w:t>(iv) the Consolidated Statements of Comprehensive (Loss) Income</w:t>
            </w:r>
          </w:p>
        </w:tc>
        <w:tc>
          <w:tcPr>
            <w:tcW w:w="4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0" w:type="dxa"/>
            <w:vAlign w:val="bottom"/>
            <w:gridSpan w:val="2"/>
          </w:tcPr>
          <w:p>
            <w:pPr>
              <w:spacing w:after="0" w:line="176" w:lineRule="exact"/>
              <w:rPr>
                <w:sz w:val="20"/>
                <w:szCs w:val="20"/>
                <w:color w:val="auto"/>
              </w:rPr>
            </w:pPr>
            <w:r>
              <w:rPr>
                <w:rFonts w:ascii="Arial" w:cs="Arial" w:eastAsia="Arial" w:hAnsi="Arial"/>
                <w:sz w:val="18"/>
                <w:szCs w:val="18"/>
                <w:color w:val="auto"/>
                <w:w w:val="96"/>
              </w:rPr>
              <w:t>for the year ended December 31, 2020, December 31, 2019, and</w:t>
            </w:r>
          </w:p>
        </w:tc>
        <w:tc>
          <w:tcPr>
            <w:tcW w:w="4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0" w:type="dxa"/>
            <w:vAlign w:val="bottom"/>
            <w:gridSpan w:val="2"/>
          </w:tcPr>
          <w:p>
            <w:pPr>
              <w:spacing w:after="0" w:line="176" w:lineRule="exact"/>
              <w:rPr>
                <w:sz w:val="20"/>
                <w:szCs w:val="20"/>
                <w:color w:val="auto"/>
              </w:rPr>
            </w:pPr>
            <w:r>
              <w:rPr>
                <w:rFonts w:ascii="Arial" w:cs="Arial" w:eastAsia="Arial" w:hAnsi="Arial"/>
                <w:sz w:val="18"/>
                <w:szCs w:val="18"/>
                <w:color w:val="auto"/>
              </w:rPr>
              <w:t>December 31, 2018; (v) the Consolidated Statements of</w:t>
            </w:r>
          </w:p>
        </w:tc>
        <w:tc>
          <w:tcPr>
            <w:tcW w:w="4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0" w:type="dxa"/>
            <w:vAlign w:val="bottom"/>
            <w:gridSpan w:val="2"/>
          </w:tcPr>
          <w:p>
            <w:pPr>
              <w:spacing w:after="0" w:line="176" w:lineRule="exact"/>
              <w:rPr>
                <w:sz w:val="20"/>
                <w:szCs w:val="20"/>
                <w:color w:val="auto"/>
              </w:rPr>
            </w:pPr>
            <w:r>
              <w:rPr>
                <w:rFonts w:ascii="Arial" w:cs="Arial" w:eastAsia="Arial" w:hAnsi="Arial"/>
                <w:sz w:val="18"/>
                <w:szCs w:val="18"/>
                <w:color w:val="auto"/>
              </w:rPr>
              <w:t>Stockholders’ Equity for the year ended December 31, 2020,</w:t>
            </w:r>
          </w:p>
        </w:tc>
        <w:tc>
          <w:tcPr>
            <w:tcW w:w="4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0" w:type="dxa"/>
            <w:vAlign w:val="bottom"/>
            <w:gridSpan w:val="2"/>
          </w:tcPr>
          <w:p>
            <w:pPr>
              <w:spacing w:after="0" w:line="176" w:lineRule="exact"/>
              <w:rPr>
                <w:sz w:val="20"/>
                <w:szCs w:val="20"/>
                <w:color w:val="auto"/>
              </w:rPr>
            </w:pPr>
            <w:r>
              <w:rPr>
                <w:rFonts w:ascii="Arial" w:cs="Arial" w:eastAsia="Arial" w:hAnsi="Arial"/>
                <w:sz w:val="18"/>
                <w:szCs w:val="18"/>
                <w:color w:val="auto"/>
                <w:w w:val="98"/>
              </w:rPr>
              <w:t>December 31, 2019, and December 31, 2018; and (vi) Notes to</w:t>
            </w:r>
          </w:p>
        </w:tc>
        <w:tc>
          <w:tcPr>
            <w:tcW w:w="4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Consolidated Financial Statements.</w:t>
            </w:r>
          </w:p>
        </w:tc>
        <w:tc>
          <w:tcPr>
            <w:tcW w:w="4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00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4900" w:type="dxa"/>
            <w:vAlign w:val="bottom"/>
          </w:tcPr>
          <w:p>
            <w:pPr>
              <w:ind w:left="20"/>
              <w:spacing w:after="0"/>
              <w:rPr>
                <w:sz w:val="20"/>
                <w:szCs w:val="20"/>
                <w:color w:val="auto"/>
              </w:rPr>
            </w:pPr>
            <w:r>
              <w:rPr>
                <w:rFonts w:ascii="Arial" w:cs="Arial" w:eastAsia="Arial" w:hAnsi="Arial"/>
                <w:sz w:val="18"/>
                <w:szCs w:val="18"/>
                <w:i w:val="1"/>
                <w:iCs w:val="1"/>
                <w:color w:val="auto"/>
              </w:rPr>
              <w:t>Submitted electronically with this report.</w:t>
            </w:r>
          </w:p>
        </w:tc>
        <w:tc>
          <w:tcPr>
            <w:tcW w:w="0" w:type="dxa"/>
            <w:vAlign w:val="bottom"/>
          </w:tcPr>
          <w:p>
            <w:pPr>
              <w:spacing w:after="0"/>
              <w:rPr>
                <w:sz w:val="1"/>
                <w:szCs w:val="1"/>
                <w:color w:val="auto"/>
              </w:rPr>
            </w:pPr>
          </w:p>
        </w:tc>
      </w:tr>
      <w:tr>
        <w:trPr>
          <w:trHeight w:val="283"/>
        </w:trPr>
        <w:tc>
          <w:tcPr>
            <w:tcW w:w="12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00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c>
          <w:tcPr>
            <w:tcW w:w="4900" w:type="dxa"/>
            <w:vAlign w:val="bottom"/>
          </w:tcPr>
          <w:p>
            <w:pPr>
              <w:ind w:left="20"/>
              <w:spacing w:after="0"/>
              <w:rPr>
                <w:sz w:val="20"/>
                <w:szCs w:val="20"/>
                <w:color w:val="auto"/>
              </w:rPr>
            </w:pPr>
            <w:r>
              <w:rPr>
                <w:rFonts w:ascii="Arial" w:cs="Arial" w:eastAsia="Arial" w:hAnsi="Arial"/>
                <w:sz w:val="18"/>
                <w:szCs w:val="18"/>
                <w:i w:val="1"/>
                <w:iCs w:val="1"/>
                <w:color w:val="auto"/>
              </w:rPr>
              <w:t>Submitted electronically with this report.</w:t>
            </w:r>
          </w:p>
        </w:tc>
        <w:tc>
          <w:tcPr>
            <w:tcW w:w="0" w:type="dxa"/>
            <w:vAlign w:val="bottom"/>
          </w:tcPr>
          <w:p>
            <w:pPr>
              <w:spacing w:after="0"/>
              <w:rPr>
                <w:sz w:val="1"/>
                <w:szCs w:val="1"/>
                <w:color w:val="auto"/>
              </w:rPr>
            </w:pPr>
          </w:p>
        </w:tc>
      </w:tr>
      <w:tr>
        <w:trPr>
          <w:trHeight w:val="283"/>
        </w:trPr>
        <w:tc>
          <w:tcPr>
            <w:tcW w:w="12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000" w:type="dxa"/>
            <w:vAlign w:val="bottom"/>
            <w:gridSpan w:val="2"/>
          </w:tcPr>
          <w:p>
            <w:pPr>
              <w:spacing w:after="0"/>
              <w:rPr>
                <w:sz w:val="20"/>
                <w:szCs w:val="20"/>
                <w:color w:val="auto"/>
              </w:rPr>
            </w:pPr>
            <w:r>
              <w:rPr>
                <w:rFonts w:ascii="Arial" w:cs="Arial" w:eastAsia="Arial" w:hAnsi="Arial"/>
                <w:sz w:val="18"/>
                <w:szCs w:val="18"/>
                <w:color w:val="auto"/>
              </w:rPr>
              <w:t>XBRL Taxonomy Calculation Linkbase Document.</w:t>
            </w:r>
          </w:p>
        </w:tc>
        <w:tc>
          <w:tcPr>
            <w:tcW w:w="4900" w:type="dxa"/>
            <w:vAlign w:val="bottom"/>
          </w:tcPr>
          <w:p>
            <w:pPr>
              <w:ind w:left="20"/>
              <w:spacing w:after="0"/>
              <w:rPr>
                <w:sz w:val="20"/>
                <w:szCs w:val="20"/>
                <w:color w:val="auto"/>
              </w:rPr>
            </w:pPr>
            <w:r>
              <w:rPr>
                <w:rFonts w:ascii="Arial" w:cs="Arial" w:eastAsia="Arial" w:hAnsi="Arial"/>
                <w:sz w:val="18"/>
                <w:szCs w:val="18"/>
                <w:i w:val="1"/>
                <w:iCs w:val="1"/>
                <w:color w:val="auto"/>
              </w:rPr>
              <w:t>Submitted electronically with this report.</w:t>
            </w:r>
          </w:p>
        </w:tc>
        <w:tc>
          <w:tcPr>
            <w:tcW w:w="0" w:type="dxa"/>
            <w:vAlign w:val="bottom"/>
          </w:tcPr>
          <w:p>
            <w:pPr>
              <w:spacing w:after="0"/>
              <w:rPr>
                <w:sz w:val="1"/>
                <w:szCs w:val="1"/>
                <w:color w:val="auto"/>
              </w:rPr>
            </w:pPr>
          </w:p>
        </w:tc>
      </w:tr>
      <w:tr>
        <w:trPr>
          <w:trHeight w:val="284"/>
        </w:trPr>
        <w:tc>
          <w:tcPr>
            <w:tcW w:w="12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00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w:t>
            </w:r>
          </w:p>
        </w:tc>
        <w:tc>
          <w:tcPr>
            <w:tcW w:w="4900" w:type="dxa"/>
            <w:vAlign w:val="bottom"/>
          </w:tcPr>
          <w:p>
            <w:pPr>
              <w:ind w:left="20"/>
              <w:spacing w:after="0"/>
              <w:rPr>
                <w:sz w:val="20"/>
                <w:szCs w:val="20"/>
                <w:color w:val="auto"/>
              </w:rPr>
            </w:pPr>
            <w:r>
              <w:rPr>
                <w:rFonts w:ascii="Arial" w:cs="Arial" w:eastAsia="Arial" w:hAnsi="Arial"/>
                <w:sz w:val="18"/>
                <w:szCs w:val="18"/>
                <w:i w:val="1"/>
                <w:iCs w:val="1"/>
                <w:color w:val="auto"/>
              </w:rPr>
              <w:t>Submitted electronically with this report.</w:t>
            </w:r>
          </w:p>
        </w:tc>
        <w:tc>
          <w:tcPr>
            <w:tcW w:w="0" w:type="dxa"/>
            <w:vAlign w:val="bottom"/>
          </w:tcPr>
          <w:p>
            <w:pPr>
              <w:spacing w:after="0"/>
              <w:rPr>
                <w:sz w:val="1"/>
                <w:szCs w:val="1"/>
                <w:color w:val="auto"/>
              </w:rPr>
            </w:pPr>
          </w:p>
        </w:tc>
      </w:tr>
      <w:tr>
        <w:trPr>
          <w:trHeight w:val="283"/>
        </w:trPr>
        <w:tc>
          <w:tcPr>
            <w:tcW w:w="12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000" w:type="dxa"/>
            <w:vAlign w:val="bottom"/>
            <w:gridSpan w:val="2"/>
          </w:tcPr>
          <w:p>
            <w:pPr>
              <w:spacing w:after="0"/>
              <w:rPr>
                <w:sz w:val="20"/>
                <w:szCs w:val="20"/>
                <w:color w:val="auto"/>
              </w:rPr>
            </w:pPr>
            <w:r>
              <w:rPr>
                <w:rFonts w:ascii="Arial" w:cs="Arial" w:eastAsia="Arial" w:hAnsi="Arial"/>
                <w:sz w:val="18"/>
                <w:szCs w:val="18"/>
                <w:color w:val="auto"/>
              </w:rPr>
              <w:t>XBRL Taxonomy Label Linkbase Document.</w:t>
            </w:r>
          </w:p>
        </w:tc>
        <w:tc>
          <w:tcPr>
            <w:tcW w:w="4900" w:type="dxa"/>
            <w:vAlign w:val="bottom"/>
          </w:tcPr>
          <w:p>
            <w:pPr>
              <w:ind w:left="20"/>
              <w:spacing w:after="0"/>
              <w:rPr>
                <w:sz w:val="20"/>
                <w:szCs w:val="20"/>
                <w:color w:val="auto"/>
              </w:rPr>
            </w:pPr>
            <w:r>
              <w:rPr>
                <w:rFonts w:ascii="Arial" w:cs="Arial" w:eastAsia="Arial" w:hAnsi="Arial"/>
                <w:sz w:val="18"/>
                <w:szCs w:val="18"/>
                <w:i w:val="1"/>
                <w:iCs w:val="1"/>
                <w:color w:val="auto"/>
              </w:rPr>
              <w:t>Submitted electronically with this report.</w:t>
            </w:r>
          </w:p>
        </w:tc>
        <w:tc>
          <w:tcPr>
            <w:tcW w:w="0" w:type="dxa"/>
            <w:vAlign w:val="bottom"/>
          </w:tcPr>
          <w:p>
            <w:pPr>
              <w:spacing w:after="0"/>
              <w:rPr>
                <w:sz w:val="1"/>
                <w:szCs w:val="1"/>
                <w:color w:val="auto"/>
              </w:rPr>
            </w:pPr>
          </w:p>
        </w:tc>
      </w:tr>
      <w:tr>
        <w:trPr>
          <w:trHeight w:val="283"/>
        </w:trPr>
        <w:tc>
          <w:tcPr>
            <w:tcW w:w="12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000" w:type="dxa"/>
            <w:vAlign w:val="bottom"/>
            <w:gridSpan w:val="2"/>
          </w:tcPr>
          <w:p>
            <w:pPr>
              <w:spacing w:after="0"/>
              <w:rPr>
                <w:sz w:val="20"/>
                <w:szCs w:val="20"/>
                <w:color w:val="auto"/>
              </w:rPr>
            </w:pPr>
            <w:r>
              <w:rPr>
                <w:rFonts w:ascii="Arial" w:cs="Arial" w:eastAsia="Arial" w:hAnsi="Arial"/>
                <w:sz w:val="18"/>
                <w:szCs w:val="18"/>
                <w:color w:val="auto"/>
              </w:rPr>
              <w:t>XBRL Taxonomy Presentation Linkbase Document.</w:t>
            </w:r>
          </w:p>
        </w:tc>
        <w:tc>
          <w:tcPr>
            <w:tcW w:w="4900" w:type="dxa"/>
            <w:vAlign w:val="bottom"/>
          </w:tcPr>
          <w:p>
            <w:pPr>
              <w:ind w:left="20"/>
              <w:spacing w:after="0"/>
              <w:rPr>
                <w:sz w:val="20"/>
                <w:szCs w:val="20"/>
                <w:color w:val="auto"/>
              </w:rPr>
            </w:pPr>
            <w:r>
              <w:rPr>
                <w:rFonts w:ascii="Arial" w:cs="Arial" w:eastAsia="Arial" w:hAnsi="Arial"/>
                <w:sz w:val="18"/>
                <w:szCs w:val="18"/>
                <w:i w:val="1"/>
                <w:iCs w:val="1"/>
                <w:color w:val="auto"/>
              </w:rPr>
              <w:t>Submitted electronically with this report.</w:t>
            </w:r>
          </w:p>
        </w:tc>
        <w:tc>
          <w:tcPr>
            <w:tcW w:w="0" w:type="dxa"/>
            <w:vAlign w:val="bottom"/>
          </w:tcPr>
          <w:p>
            <w:pPr>
              <w:spacing w:after="0"/>
              <w:rPr>
                <w:sz w:val="1"/>
                <w:szCs w:val="1"/>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w w:val="97"/>
              </w:rPr>
              <w:t>The cover page from Marriott International, Inc.’s Annual Report</w:t>
            </w:r>
          </w:p>
        </w:tc>
        <w:tc>
          <w:tcPr>
            <w:tcW w:w="4900" w:type="dxa"/>
            <w:vAlign w:val="bottom"/>
          </w:tcPr>
          <w:p>
            <w:pPr>
              <w:ind w:left="20"/>
              <w:spacing w:after="0"/>
              <w:rPr>
                <w:sz w:val="20"/>
                <w:szCs w:val="20"/>
                <w:color w:val="auto"/>
              </w:rPr>
            </w:pPr>
            <w:r>
              <w:rPr>
                <w:rFonts w:ascii="Arial" w:cs="Arial" w:eastAsia="Arial" w:hAnsi="Arial"/>
                <w:sz w:val="18"/>
                <w:szCs w:val="18"/>
                <w:i w:val="1"/>
                <w:iCs w:val="1"/>
                <w:color w:val="auto"/>
              </w:rPr>
              <w:t>Submitted electronically with this report.</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0" w:type="dxa"/>
            <w:vAlign w:val="bottom"/>
            <w:gridSpan w:val="2"/>
          </w:tcPr>
          <w:p>
            <w:pPr>
              <w:spacing w:after="0" w:line="176" w:lineRule="exact"/>
              <w:rPr>
                <w:sz w:val="20"/>
                <w:szCs w:val="20"/>
                <w:color w:val="auto"/>
              </w:rPr>
            </w:pPr>
            <w:r>
              <w:rPr>
                <w:rFonts w:ascii="Arial" w:cs="Arial" w:eastAsia="Arial" w:hAnsi="Arial"/>
                <w:sz w:val="18"/>
                <w:szCs w:val="18"/>
                <w:color w:val="auto"/>
                <w:w w:val="94"/>
              </w:rPr>
              <w:t>on Form 10-K for the year ended December 31, 2020, formatted in</w:t>
            </w:r>
          </w:p>
        </w:tc>
        <w:tc>
          <w:tcPr>
            <w:tcW w:w="4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Inline XBRL (included as Exhibit 101).</w:t>
            </w:r>
          </w:p>
        </w:tc>
        <w:tc>
          <w:tcPr>
            <w:tcW w:w="4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Denotes management contract or compensatory plan.</w:t>
      </w:r>
    </w:p>
    <w:p>
      <w:pPr>
        <w:spacing w:after="0" w:line="63" w:lineRule="exact"/>
        <w:rPr>
          <w:sz w:val="20"/>
          <w:szCs w:val="20"/>
          <w:color w:val="auto"/>
        </w:rPr>
      </w:pPr>
    </w:p>
    <w:p>
      <w:pPr>
        <w:ind w:left="420" w:right="80" w:hanging="412"/>
        <w:spacing w:after="0" w:line="308" w:lineRule="auto"/>
        <w:tabs>
          <w:tab w:leader="none" w:pos="285" w:val="left"/>
        </w:tabs>
        <w:numPr>
          <w:ilvl w:val="0"/>
          <w:numId w:val="33"/>
        </w:numPr>
        <w:rPr>
          <w:rFonts w:ascii="Arial" w:cs="Arial" w:eastAsia="Arial" w:hAnsi="Arial"/>
          <w:sz w:val="17"/>
          <w:szCs w:val="17"/>
          <w:color w:val="auto"/>
        </w:rPr>
      </w:pPr>
      <w:r>
        <w:rPr>
          <w:rFonts w:ascii="Arial" w:cs="Arial" w:eastAsia="Arial" w:hAnsi="Arial"/>
          <w:sz w:val="17"/>
          <w:szCs w:val="17"/>
          <w:color w:val="auto"/>
        </w:rPr>
        <w:t>Portions of this exhibit were redacted pursuant to a confidential treatment request filed with the Securities and Exchange Commission pursuant to Rule 24b-2 under the Exchange Act. The redacted portions of this exhibit have been filed with the Securities and Exchange Commission.</w:t>
      </w:r>
    </w:p>
    <w:p>
      <w:pPr>
        <w:spacing w:after="0" w:line="14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340" w:firstLine="445"/>
        <w:spacing w:after="0" w:line="277" w:lineRule="auto"/>
        <w:rPr>
          <w:sz w:val="20"/>
          <w:szCs w:val="20"/>
          <w:color w:val="auto"/>
        </w:rPr>
      </w:pPr>
      <w:r>
        <w:rPr>
          <w:rFonts w:ascii="Arial" w:cs="Arial" w:eastAsia="Arial" w:hAnsi="Arial"/>
          <w:sz w:val="18"/>
          <w:szCs w:val="18"/>
          <w:color w:val="auto"/>
        </w:rPr>
        <w:t>Pursuant to the requirements of Section 13 or 15(d) of the Exchange Act, we have duly caused this Form 10-K to be signed on our behalf by the undersigned, thereunto duly authorized, on this 18th day of February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INC.</w:t>
      </w:r>
    </w:p>
    <w:p>
      <w:pPr>
        <w:spacing w:after="0" w:line="144"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/s/Kathleen K. 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14605</wp:posOffset>
            </wp:positionV>
            <wp:extent cx="25717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Kathleen K. Oberg</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Executive Vice President and Chief Financial Officer</w:t>
      </w:r>
    </w:p>
    <w:p>
      <w:pPr>
        <w:spacing w:after="0" w:line="170"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Exchange Act, this Form 10-K has been signed by the following persons on our behalf in the capacities indicated and on the date indicated above.</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ACTING CO-PRINCIPAL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tcPr>
          <w:p>
            <w:pPr>
              <w:jc w:val="center"/>
              <w:spacing w:after="0"/>
              <w:rPr>
                <w:sz w:val="20"/>
                <w:szCs w:val="20"/>
                <w:color w:val="auto"/>
              </w:rPr>
            </w:pPr>
            <w:r>
              <w:rPr>
                <w:rFonts w:ascii="Arial" w:cs="Arial" w:eastAsia="Arial" w:hAnsi="Arial"/>
                <w:sz w:val="18"/>
                <w:szCs w:val="18"/>
                <w:color w:val="auto"/>
                <w:w w:val="90"/>
              </w:rPr>
              <w:t>/s/Anthony G. Capuano</w:t>
            </w:r>
          </w:p>
        </w:tc>
        <w:tc>
          <w:tcPr>
            <w:tcW w:w="5540" w:type="dxa"/>
            <w:vAlign w:val="bottom"/>
          </w:tcPr>
          <w:p>
            <w:pPr>
              <w:ind w:left="380"/>
              <w:spacing w:after="0"/>
              <w:rPr>
                <w:sz w:val="20"/>
                <w:szCs w:val="20"/>
                <w:color w:val="auto"/>
              </w:rPr>
            </w:pPr>
            <w:r>
              <w:rPr>
                <w:rFonts w:ascii="Arial" w:cs="Arial" w:eastAsia="Arial" w:hAnsi="Arial"/>
                <w:sz w:val="18"/>
                <w:szCs w:val="18"/>
                <w:color w:val="auto"/>
                <w:w w:val="89"/>
              </w:rPr>
              <w:t>Group President, Global Development, Design and Operations Services</w:t>
            </w:r>
          </w:p>
        </w:tc>
        <w:tc>
          <w:tcPr>
            <w:tcW w:w="0" w:type="dxa"/>
            <w:vAlign w:val="bottom"/>
          </w:tcPr>
          <w:p>
            <w:pPr>
              <w:spacing w:after="0"/>
              <w:rPr>
                <w:sz w:val="1"/>
                <w:szCs w:val="1"/>
                <w:color w:val="auto"/>
              </w:rPr>
            </w:pPr>
          </w:p>
        </w:tc>
      </w:tr>
      <w:tr>
        <w:trPr>
          <w:trHeight w:val="54"/>
        </w:trPr>
        <w:tc>
          <w:tcPr>
            <w:tcW w:w="5420" w:type="dxa"/>
            <w:vAlign w:val="bottom"/>
            <w:tcBorders>
              <w:bottom w:val="single" w:sz="8" w:color="auto"/>
            </w:tcBorders>
          </w:tcPr>
          <w:p>
            <w:pPr>
              <w:spacing w:after="0"/>
              <w:rPr>
                <w:sz w:val="4"/>
                <w:szCs w:val="4"/>
                <w:color w:val="auto"/>
              </w:rPr>
            </w:pPr>
          </w:p>
        </w:tc>
        <w:tc>
          <w:tcPr>
            <w:tcW w:w="5540" w:type="dxa"/>
            <w:vAlign w:val="bottom"/>
            <w:vMerge w:val="restart"/>
          </w:tcPr>
          <w:p>
            <w:pPr>
              <w:ind w:left="380"/>
              <w:spacing w:after="0"/>
              <w:rPr>
                <w:sz w:val="20"/>
                <w:szCs w:val="20"/>
                <w:color w:val="auto"/>
              </w:rPr>
            </w:pPr>
            <w:r>
              <w:rPr>
                <w:rFonts w:ascii="Arial" w:cs="Arial" w:eastAsia="Arial" w:hAnsi="Arial"/>
                <w:sz w:val="18"/>
                <w:szCs w:val="18"/>
                <w:color w:val="auto"/>
              </w:rPr>
              <w:t>(Acting Co-Principal Executive Officer)</w:t>
            </w:r>
          </w:p>
        </w:tc>
        <w:tc>
          <w:tcPr>
            <w:tcW w:w="0" w:type="dxa"/>
            <w:vAlign w:val="bottom"/>
          </w:tcPr>
          <w:p>
            <w:pPr>
              <w:spacing w:after="0"/>
              <w:rPr>
                <w:sz w:val="1"/>
                <w:szCs w:val="1"/>
                <w:color w:val="auto"/>
              </w:rPr>
            </w:pPr>
          </w:p>
        </w:tc>
      </w:tr>
      <w:tr>
        <w:trPr>
          <w:trHeight w:val="156"/>
        </w:trPr>
        <w:tc>
          <w:tcPr>
            <w:tcW w:w="5420" w:type="dxa"/>
            <w:vAlign w:val="bottom"/>
            <w:vMerge w:val="restart"/>
          </w:tcPr>
          <w:p>
            <w:pPr>
              <w:jc w:val="center"/>
              <w:spacing w:after="0"/>
              <w:rPr>
                <w:sz w:val="20"/>
                <w:szCs w:val="20"/>
                <w:color w:val="auto"/>
              </w:rPr>
            </w:pPr>
            <w:r>
              <w:rPr>
                <w:rFonts w:ascii="Arial" w:cs="Arial" w:eastAsia="Arial" w:hAnsi="Arial"/>
                <w:sz w:val="18"/>
                <w:szCs w:val="18"/>
                <w:color w:val="auto"/>
                <w:w w:val="91"/>
              </w:rPr>
              <w:t>Anthony G. Capuano</w:t>
            </w:r>
          </w:p>
        </w:tc>
        <w:tc>
          <w:tcPr>
            <w:tcW w:w="5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5420" w:type="dxa"/>
            <w:vAlign w:val="bottom"/>
            <w:vMerge w:val="continue"/>
          </w:tcPr>
          <w:p>
            <w:pPr>
              <w:spacing w:after="0"/>
              <w:rPr>
                <w:sz w:val="6"/>
                <w:szCs w:val="6"/>
                <w:color w:val="auto"/>
              </w:rPr>
            </w:pPr>
          </w:p>
        </w:tc>
        <w:tc>
          <w:tcPr>
            <w:tcW w:w="5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6"/>
        </w:trPr>
        <w:tc>
          <w:tcPr>
            <w:tcW w:w="5420" w:type="dxa"/>
            <w:vAlign w:val="bottom"/>
            <w:vMerge w:val="restart"/>
          </w:tcPr>
          <w:p>
            <w:pPr>
              <w:jc w:val="center"/>
              <w:spacing w:after="0"/>
              <w:rPr>
                <w:sz w:val="20"/>
                <w:szCs w:val="20"/>
                <w:color w:val="auto"/>
              </w:rPr>
            </w:pPr>
            <w:r>
              <w:rPr>
                <w:rFonts w:ascii="Arial" w:cs="Arial" w:eastAsia="Arial" w:hAnsi="Arial"/>
                <w:sz w:val="18"/>
                <w:szCs w:val="18"/>
                <w:color w:val="auto"/>
                <w:w w:val="91"/>
              </w:rPr>
              <w:t>/s/Stephanie Linnartz</w:t>
            </w:r>
          </w:p>
        </w:tc>
        <w:tc>
          <w:tcPr>
            <w:tcW w:w="5540" w:type="dxa"/>
            <w:vAlign w:val="bottom"/>
          </w:tcPr>
          <w:p>
            <w:pPr>
              <w:ind w:left="380"/>
              <w:spacing w:after="0"/>
              <w:rPr>
                <w:sz w:val="20"/>
                <w:szCs w:val="20"/>
                <w:color w:val="auto"/>
              </w:rPr>
            </w:pPr>
            <w:r>
              <w:rPr>
                <w:rFonts w:ascii="Arial" w:cs="Arial" w:eastAsia="Arial" w:hAnsi="Arial"/>
                <w:sz w:val="18"/>
                <w:szCs w:val="18"/>
                <w:color w:val="auto"/>
                <w:w w:val="95"/>
              </w:rPr>
              <w:t>Group President, Consumer Operations, Technology and Emerging</w:t>
            </w:r>
          </w:p>
        </w:tc>
        <w:tc>
          <w:tcPr>
            <w:tcW w:w="0" w:type="dxa"/>
            <w:vAlign w:val="bottom"/>
          </w:tcPr>
          <w:p>
            <w:pPr>
              <w:spacing w:after="0"/>
              <w:rPr>
                <w:sz w:val="1"/>
                <w:szCs w:val="1"/>
                <w:color w:val="auto"/>
              </w:rPr>
            </w:pPr>
          </w:p>
        </w:tc>
      </w:tr>
      <w:tr>
        <w:trPr>
          <w:trHeight w:val="194"/>
        </w:trPr>
        <w:tc>
          <w:tcPr>
            <w:tcW w:w="5420" w:type="dxa"/>
            <w:vAlign w:val="bottom"/>
            <w:tcBorders>
              <w:bottom w:val="single" w:sz="8" w:color="auto"/>
            </w:tcBorders>
            <w:vMerge w:val="continue"/>
          </w:tcPr>
          <w:p>
            <w:pPr>
              <w:spacing w:after="0"/>
              <w:rPr>
                <w:sz w:val="16"/>
                <w:szCs w:val="16"/>
                <w:color w:val="auto"/>
              </w:rPr>
            </w:pPr>
          </w:p>
        </w:tc>
        <w:tc>
          <w:tcPr>
            <w:tcW w:w="5540" w:type="dxa"/>
            <w:vAlign w:val="bottom"/>
          </w:tcPr>
          <w:p>
            <w:pPr>
              <w:ind w:left="380"/>
              <w:spacing w:after="0" w:line="189" w:lineRule="exact"/>
              <w:rPr>
                <w:sz w:val="20"/>
                <w:szCs w:val="20"/>
                <w:color w:val="auto"/>
              </w:rPr>
            </w:pPr>
            <w:r>
              <w:rPr>
                <w:rFonts w:ascii="Arial" w:cs="Arial" w:eastAsia="Arial" w:hAnsi="Arial"/>
                <w:sz w:val="18"/>
                <w:szCs w:val="18"/>
                <w:color w:val="auto"/>
              </w:rPr>
              <w:t>Businesses (Acting Co-Principal Executive Officer)</w:t>
            </w:r>
          </w:p>
        </w:tc>
        <w:tc>
          <w:tcPr>
            <w:tcW w:w="0" w:type="dxa"/>
            <w:vAlign w:val="bottom"/>
          </w:tcPr>
          <w:p>
            <w:pPr>
              <w:spacing w:after="0"/>
              <w:rPr>
                <w:sz w:val="1"/>
                <w:szCs w:val="1"/>
                <w:color w:val="auto"/>
              </w:rPr>
            </w:pPr>
          </w:p>
        </w:tc>
      </w:tr>
      <w:tr>
        <w:trPr>
          <w:trHeight w:val="237"/>
        </w:trPr>
        <w:tc>
          <w:tcPr>
            <w:tcW w:w="5420" w:type="dxa"/>
            <w:vAlign w:val="bottom"/>
          </w:tcPr>
          <w:p>
            <w:pPr>
              <w:jc w:val="center"/>
              <w:spacing w:after="0"/>
              <w:rPr>
                <w:sz w:val="20"/>
                <w:szCs w:val="20"/>
                <w:color w:val="auto"/>
              </w:rPr>
            </w:pPr>
            <w:r>
              <w:rPr>
                <w:rFonts w:ascii="Arial" w:cs="Arial" w:eastAsia="Arial" w:hAnsi="Arial"/>
                <w:sz w:val="18"/>
                <w:szCs w:val="18"/>
                <w:color w:val="auto"/>
                <w:w w:val="90"/>
              </w:rPr>
              <w:t>Stephanie Linnartz</w:t>
            </w:r>
          </w:p>
        </w:tc>
        <w:tc>
          <w:tcPr>
            <w:tcW w:w="5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5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5420" w:type="dxa"/>
            <w:vAlign w:val="bottom"/>
          </w:tcPr>
          <w:p>
            <w:pPr>
              <w:jc w:val="center"/>
              <w:spacing w:after="0"/>
              <w:rPr>
                <w:sz w:val="20"/>
                <w:szCs w:val="20"/>
                <w:color w:val="auto"/>
              </w:rPr>
            </w:pPr>
            <w:r>
              <w:rPr>
                <w:rFonts w:ascii="Arial" w:cs="Arial" w:eastAsia="Arial" w:hAnsi="Arial"/>
                <w:sz w:val="18"/>
                <w:szCs w:val="18"/>
                <w:color w:val="auto"/>
                <w:w w:val="92"/>
              </w:rPr>
              <w:t>/s/Kathleen K. Oberg</w:t>
            </w:r>
          </w:p>
        </w:tc>
        <w:tc>
          <w:tcPr>
            <w:tcW w:w="5540" w:type="dxa"/>
            <w:vAlign w:val="bottom"/>
          </w:tcPr>
          <w:p>
            <w:pPr>
              <w:ind w:left="380"/>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7"/>
        </w:trPr>
        <w:tc>
          <w:tcPr>
            <w:tcW w:w="5420" w:type="dxa"/>
            <w:vAlign w:val="bottom"/>
            <w:tcBorders>
              <w:bottom w:val="single" w:sz="8" w:color="auto"/>
            </w:tcBorders>
          </w:tcPr>
          <w:p>
            <w:pPr>
              <w:spacing w:after="0"/>
              <w:rPr>
                <w:sz w:val="2"/>
                <w:szCs w:val="2"/>
                <w:color w:val="auto"/>
              </w:rPr>
            </w:pPr>
          </w:p>
        </w:tc>
        <w:tc>
          <w:tcPr>
            <w:tcW w:w="5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420" w:type="dxa"/>
            <w:vAlign w:val="bottom"/>
          </w:tcPr>
          <w:p>
            <w:pPr>
              <w:jc w:val="center"/>
              <w:spacing w:after="0"/>
              <w:rPr>
                <w:sz w:val="20"/>
                <w:szCs w:val="20"/>
                <w:color w:val="auto"/>
              </w:rPr>
            </w:pPr>
            <w:r>
              <w:rPr>
                <w:rFonts w:ascii="Arial" w:cs="Arial" w:eastAsia="Arial" w:hAnsi="Arial"/>
                <w:sz w:val="18"/>
                <w:szCs w:val="18"/>
                <w:color w:val="auto"/>
                <w:w w:val="91"/>
              </w:rPr>
              <w:t>Kathleen K. Oberg</w:t>
            </w:r>
          </w:p>
        </w:tc>
        <w:tc>
          <w:tcPr>
            <w:tcW w:w="5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542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c>
          <w:tcPr>
            <w:tcW w:w="5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420" w:type="dxa"/>
            <w:vAlign w:val="bottom"/>
          </w:tcPr>
          <w:p>
            <w:pPr>
              <w:jc w:val="center"/>
              <w:spacing w:after="0"/>
              <w:rPr>
                <w:sz w:val="20"/>
                <w:szCs w:val="20"/>
                <w:color w:val="auto"/>
              </w:rPr>
            </w:pPr>
            <w:r>
              <w:rPr>
                <w:rFonts w:ascii="Arial" w:cs="Arial" w:eastAsia="Arial" w:hAnsi="Arial"/>
                <w:sz w:val="18"/>
                <w:szCs w:val="18"/>
                <w:color w:val="auto"/>
                <w:w w:val="92"/>
              </w:rPr>
              <w:t>/s/Felitia Lee</w:t>
            </w:r>
          </w:p>
        </w:tc>
        <w:tc>
          <w:tcPr>
            <w:tcW w:w="5540" w:type="dxa"/>
            <w:vAlign w:val="bottom"/>
          </w:tcPr>
          <w:p>
            <w:pPr>
              <w:ind w:left="380"/>
              <w:spacing w:after="0"/>
              <w:rPr>
                <w:sz w:val="20"/>
                <w:szCs w:val="20"/>
                <w:color w:val="auto"/>
              </w:rPr>
            </w:pPr>
            <w:r>
              <w:rPr>
                <w:rFonts w:ascii="Arial" w:cs="Arial" w:eastAsia="Arial" w:hAnsi="Arial"/>
                <w:sz w:val="18"/>
                <w:szCs w:val="18"/>
                <w:color w:val="auto"/>
              </w:rPr>
              <w:t>Controller and Chief Accounting Officer</w:t>
            </w:r>
          </w:p>
        </w:tc>
        <w:tc>
          <w:tcPr>
            <w:tcW w:w="0" w:type="dxa"/>
            <w:vAlign w:val="bottom"/>
          </w:tcPr>
          <w:p>
            <w:pPr>
              <w:spacing w:after="0"/>
              <w:rPr>
                <w:sz w:val="1"/>
                <w:szCs w:val="1"/>
                <w:color w:val="auto"/>
              </w:rPr>
            </w:pPr>
          </w:p>
        </w:tc>
      </w:tr>
      <w:tr>
        <w:trPr>
          <w:trHeight w:val="27"/>
        </w:trPr>
        <w:tc>
          <w:tcPr>
            <w:tcW w:w="5420" w:type="dxa"/>
            <w:vAlign w:val="bottom"/>
            <w:tcBorders>
              <w:bottom w:val="single" w:sz="8" w:color="auto"/>
            </w:tcBorders>
          </w:tcPr>
          <w:p>
            <w:pPr>
              <w:spacing w:after="0"/>
              <w:rPr>
                <w:sz w:val="2"/>
                <w:szCs w:val="2"/>
                <w:color w:val="auto"/>
              </w:rPr>
            </w:pPr>
          </w:p>
        </w:tc>
        <w:tc>
          <w:tcPr>
            <w:tcW w:w="5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420" w:type="dxa"/>
            <w:vAlign w:val="bottom"/>
          </w:tcPr>
          <w:p>
            <w:pPr>
              <w:jc w:val="center"/>
              <w:spacing w:after="0"/>
              <w:rPr>
                <w:sz w:val="20"/>
                <w:szCs w:val="20"/>
                <w:color w:val="auto"/>
              </w:rPr>
            </w:pPr>
            <w:r>
              <w:rPr>
                <w:rFonts w:ascii="Arial" w:cs="Arial" w:eastAsia="Arial" w:hAnsi="Arial"/>
                <w:sz w:val="18"/>
                <w:szCs w:val="18"/>
                <w:color w:val="auto"/>
                <w:w w:val="93"/>
              </w:rPr>
              <w:t>Felitia Lee</w:t>
            </w:r>
          </w:p>
        </w:tc>
        <w:tc>
          <w:tcPr>
            <w:tcW w:w="5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5420" w:type="dxa"/>
            <w:vAlign w:val="bottom"/>
          </w:tcPr>
          <w:p>
            <w:pPr>
              <w:ind w:left="20"/>
              <w:spacing w:after="0"/>
              <w:rPr>
                <w:sz w:val="20"/>
                <w:szCs w:val="20"/>
                <w:color w:val="auto"/>
              </w:rPr>
            </w:pPr>
            <w:r>
              <w:rPr>
                <w:rFonts w:ascii="Arial" w:cs="Arial" w:eastAsia="Arial" w:hAnsi="Arial"/>
                <w:sz w:val="18"/>
                <w:szCs w:val="18"/>
                <w:color w:val="auto"/>
              </w:rPr>
              <w:t>DIRECTORS:</w:t>
            </w:r>
          </w:p>
        </w:tc>
        <w:tc>
          <w:tcPr>
            <w:tcW w:w="5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20" w:top="125" w:right="419" w:bottom="1440" w:gutter="0" w:footer="0" w:header="0"/>
        </w:sectPr>
      </w:pPr>
    </w:p>
    <w:p>
      <w:pPr>
        <w:spacing w:after="0" w:line="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/s/J.W. Marriott,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37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5">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30"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J.W. Marriott, Jr., Executive Chairman and Chairman of the Board</w:t>
      </w:r>
    </w:p>
    <w:p>
      <w:pPr>
        <w:spacing w:after="0" w:line="26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/s/Deborah Marriott Harrison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372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6">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30"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Deborah Marriott Harrison, Director</w:t>
      </w:r>
    </w:p>
    <w:p>
      <w:pPr>
        <w:spacing w:after="0" w:line="23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/s/Frederick A.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37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7">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30"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Frederick A. Henderson, Director</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/s/Eric Hippeau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37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8">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30"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Eric Hippeau, Director</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/s/Lawrence W. Kellner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372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9">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30"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Lawrence W. Kellner, Director</w:t>
      </w:r>
    </w:p>
    <w:p>
      <w:pPr>
        <w:spacing w:after="0" w:line="20" w:lineRule="exact"/>
        <w:rPr>
          <w:sz w:val="20"/>
          <w:szCs w:val="20"/>
          <w:color w:val="auto"/>
        </w:rPr>
      </w:pPr>
      <w:r>
        <w:rPr>
          <w:sz w:val="20"/>
          <w:szCs w:val="20"/>
          <w:color w:val="auto"/>
        </w:rPr>
        <w:br w:type="column"/>
      </w:r>
    </w:p>
    <w:p>
      <w:pPr>
        <w:jc w:val="center"/>
        <w:ind w:right="1480"/>
        <w:spacing w:after="0"/>
        <w:rPr>
          <w:sz w:val="20"/>
          <w:szCs w:val="20"/>
          <w:color w:val="auto"/>
        </w:rPr>
      </w:pPr>
      <w:r>
        <w:rPr>
          <w:rFonts w:ascii="Arial" w:cs="Arial" w:eastAsia="Arial" w:hAnsi="Arial"/>
          <w:sz w:val="18"/>
          <w:szCs w:val="18"/>
          <w:color w:val="auto"/>
        </w:rPr>
        <w:t>/s/Debra L.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23495</wp:posOffset>
            </wp:positionV>
            <wp:extent cx="34715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30" w:lineRule="exact"/>
        <w:rPr>
          <w:sz w:val="20"/>
          <w:szCs w:val="20"/>
          <w:color w:val="auto"/>
        </w:rPr>
      </w:pPr>
    </w:p>
    <w:p>
      <w:pPr>
        <w:jc w:val="center"/>
        <w:ind w:right="1480"/>
        <w:spacing w:after="0"/>
        <w:rPr>
          <w:sz w:val="20"/>
          <w:szCs w:val="20"/>
          <w:color w:val="auto"/>
        </w:rPr>
      </w:pPr>
      <w:r>
        <w:rPr>
          <w:rFonts w:ascii="Arial" w:cs="Arial" w:eastAsia="Arial" w:hAnsi="Arial"/>
          <w:sz w:val="18"/>
          <w:szCs w:val="18"/>
          <w:color w:val="auto"/>
        </w:rPr>
        <w:t>Debra L. Lee, Director</w:t>
      </w:r>
    </w:p>
    <w:p>
      <w:pPr>
        <w:spacing w:after="0" w:line="239" w:lineRule="exact"/>
        <w:rPr>
          <w:sz w:val="20"/>
          <w:szCs w:val="20"/>
          <w:color w:val="auto"/>
        </w:rPr>
      </w:pPr>
    </w:p>
    <w:p>
      <w:pPr>
        <w:jc w:val="center"/>
        <w:ind w:right="1480"/>
        <w:spacing w:after="0"/>
        <w:rPr>
          <w:sz w:val="20"/>
          <w:szCs w:val="20"/>
          <w:color w:val="auto"/>
        </w:rPr>
      </w:pPr>
      <w:r>
        <w:rPr>
          <w:rFonts w:ascii="Arial" w:cs="Arial" w:eastAsia="Arial" w:hAnsi="Arial"/>
          <w:sz w:val="18"/>
          <w:szCs w:val="18"/>
          <w:color w:val="auto"/>
        </w:rPr>
        <w:t>/s/Aylwin B.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23495</wp:posOffset>
            </wp:positionV>
            <wp:extent cx="347154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1">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30" w:lineRule="exact"/>
        <w:rPr>
          <w:sz w:val="20"/>
          <w:szCs w:val="20"/>
          <w:color w:val="auto"/>
        </w:rPr>
      </w:pPr>
    </w:p>
    <w:p>
      <w:pPr>
        <w:jc w:val="center"/>
        <w:ind w:right="1480"/>
        <w:spacing w:after="0"/>
        <w:rPr>
          <w:sz w:val="20"/>
          <w:szCs w:val="20"/>
          <w:color w:val="auto"/>
        </w:rPr>
      </w:pPr>
      <w:r>
        <w:rPr>
          <w:rFonts w:ascii="Arial" w:cs="Arial" w:eastAsia="Arial" w:hAnsi="Arial"/>
          <w:sz w:val="18"/>
          <w:szCs w:val="18"/>
          <w:color w:val="auto"/>
        </w:rPr>
        <w:t>Aylwin B. Lewis, Director</w:t>
      </w:r>
    </w:p>
    <w:p>
      <w:pPr>
        <w:spacing w:after="0" w:line="239" w:lineRule="exact"/>
        <w:rPr>
          <w:sz w:val="20"/>
          <w:szCs w:val="20"/>
          <w:color w:val="auto"/>
        </w:rPr>
      </w:pPr>
    </w:p>
    <w:p>
      <w:pPr>
        <w:jc w:val="center"/>
        <w:ind w:right="1480"/>
        <w:spacing w:after="0"/>
        <w:rPr>
          <w:sz w:val="20"/>
          <w:szCs w:val="20"/>
          <w:color w:val="auto"/>
        </w:rPr>
      </w:pPr>
      <w:r>
        <w:rPr>
          <w:rFonts w:ascii="Arial" w:cs="Arial" w:eastAsia="Arial" w:hAnsi="Arial"/>
          <w:sz w:val="18"/>
          <w:szCs w:val="18"/>
          <w:color w:val="auto"/>
        </w:rPr>
        <w:t>/s/Margaret M.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23495</wp:posOffset>
            </wp:positionV>
            <wp:extent cx="34715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30" w:lineRule="exact"/>
        <w:rPr>
          <w:sz w:val="20"/>
          <w:szCs w:val="20"/>
          <w:color w:val="auto"/>
        </w:rPr>
      </w:pPr>
    </w:p>
    <w:p>
      <w:pPr>
        <w:jc w:val="center"/>
        <w:ind w:right="1480"/>
        <w:spacing w:after="0"/>
        <w:rPr>
          <w:sz w:val="20"/>
          <w:szCs w:val="20"/>
          <w:color w:val="auto"/>
        </w:rPr>
      </w:pPr>
      <w:r>
        <w:rPr>
          <w:rFonts w:ascii="Arial" w:cs="Arial" w:eastAsia="Arial" w:hAnsi="Arial"/>
          <w:sz w:val="16"/>
          <w:szCs w:val="16"/>
          <w:color w:val="auto"/>
        </w:rPr>
        <w:t>Margaret M. McCarthy, Director</w:t>
      </w:r>
    </w:p>
    <w:p>
      <w:pPr>
        <w:spacing w:after="0" w:line="262" w:lineRule="exact"/>
        <w:rPr>
          <w:sz w:val="20"/>
          <w:szCs w:val="20"/>
          <w:color w:val="auto"/>
        </w:rPr>
      </w:pPr>
    </w:p>
    <w:p>
      <w:pPr>
        <w:jc w:val="center"/>
        <w:ind w:right="1480"/>
        <w:spacing w:after="0"/>
        <w:rPr>
          <w:sz w:val="20"/>
          <w:szCs w:val="20"/>
          <w:color w:val="auto"/>
        </w:rPr>
      </w:pPr>
      <w:r>
        <w:rPr>
          <w:rFonts w:ascii="Arial" w:cs="Arial" w:eastAsia="Arial" w:hAnsi="Arial"/>
          <w:sz w:val="18"/>
          <w:szCs w:val="18"/>
          <w:color w:val="auto"/>
        </w:rPr>
        <w:t>/s/George Muñoz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23495</wp:posOffset>
            </wp:positionV>
            <wp:extent cx="34715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30" w:lineRule="exact"/>
        <w:rPr>
          <w:sz w:val="20"/>
          <w:szCs w:val="20"/>
          <w:color w:val="auto"/>
        </w:rPr>
      </w:pPr>
    </w:p>
    <w:p>
      <w:pPr>
        <w:jc w:val="center"/>
        <w:ind w:right="1480"/>
        <w:spacing w:after="0"/>
        <w:rPr>
          <w:sz w:val="20"/>
          <w:szCs w:val="20"/>
          <w:color w:val="auto"/>
        </w:rPr>
      </w:pPr>
      <w:r>
        <w:rPr>
          <w:rFonts w:ascii="Arial" w:cs="Arial" w:eastAsia="Arial" w:hAnsi="Arial"/>
          <w:sz w:val="18"/>
          <w:szCs w:val="18"/>
          <w:color w:val="auto"/>
        </w:rPr>
        <w:t>George Muñoz, Director</w:t>
      </w:r>
    </w:p>
    <w:p>
      <w:pPr>
        <w:spacing w:after="0" w:line="252" w:lineRule="exact"/>
        <w:rPr>
          <w:sz w:val="20"/>
          <w:szCs w:val="20"/>
          <w:color w:val="auto"/>
        </w:rPr>
      </w:pPr>
    </w:p>
    <w:p>
      <w:pPr>
        <w:jc w:val="center"/>
        <w:ind w:right="1480"/>
        <w:spacing w:after="0"/>
        <w:rPr>
          <w:sz w:val="20"/>
          <w:szCs w:val="20"/>
          <w:color w:val="auto"/>
        </w:rPr>
      </w:pPr>
      <w:r>
        <w:rPr>
          <w:rFonts w:ascii="Arial" w:cs="Arial" w:eastAsia="Arial" w:hAnsi="Arial"/>
          <w:sz w:val="18"/>
          <w:szCs w:val="18"/>
          <w:color w:val="auto"/>
        </w:rPr>
        <w:t>/s/Susan C. Schwab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14605</wp:posOffset>
            </wp:positionV>
            <wp:extent cx="347154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4">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30" w:lineRule="exact"/>
        <w:rPr>
          <w:sz w:val="20"/>
          <w:szCs w:val="20"/>
          <w:color w:val="auto"/>
        </w:rPr>
      </w:pPr>
    </w:p>
    <w:p>
      <w:pPr>
        <w:jc w:val="center"/>
        <w:ind w:right="1480"/>
        <w:spacing w:after="0"/>
        <w:rPr>
          <w:sz w:val="20"/>
          <w:szCs w:val="20"/>
          <w:color w:val="auto"/>
        </w:rPr>
      </w:pPr>
      <w:r>
        <w:rPr>
          <w:rFonts w:ascii="Arial" w:cs="Arial" w:eastAsia="Arial" w:hAnsi="Arial"/>
          <w:sz w:val="18"/>
          <w:szCs w:val="18"/>
          <w:color w:val="auto"/>
        </w:rPr>
        <w:t>Susan C. Schwab, Director</w:t>
      </w:r>
    </w:p>
    <w:p>
      <w:pPr>
        <w:spacing w:after="0" w:line="200" w:lineRule="exact"/>
        <w:rPr>
          <w:sz w:val="20"/>
          <w:szCs w:val="20"/>
          <w:color w:val="auto"/>
        </w:rPr>
      </w:pPr>
    </w:p>
    <w:p>
      <w:pPr>
        <w:sectPr>
          <w:pgSz w:w="11900" w:h="16838" w:orient="portrait"/>
          <w:cols w:equalWidth="0" w:num="2">
            <w:col w:w="6600" w:space="720"/>
            <w:col w:w="3840"/>
          </w:cols>
          <w:pgMar w:left="320" w:top="125" w:right="41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160"/>
          </w:cols>
          <w:pgMar w:left="320" w:top="125" w:right="419" w:bottom="144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500" w:type="dxa"/>
            <w:vAlign w:val="bottom"/>
            <w:gridSpan w:val="3"/>
          </w:tcPr>
          <w:p>
            <w:pPr>
              <w:ind w:left="1700"/>
              <w:spacing w:after="0"/>
              <w:rPr>
                <w:sz w:val="20"/>
                <w:szCs w:val="20"/>
                <w:color w:val="auto"/>
              </w:rPr>
            </w:pPr>
            <w:r>
              <w:rPr>
                <w:rFonts w:ascii="Arial" w:cs="Arial" w:eastAsia="Arial" w:hAnsi="Arial"/>
                <w:sz w:val="18"/>
                <w:szCs w:val="18"/>
                <w:b w:val="1"/>
                <w:bCs w:val="1"/>
                <w:color w:val="auto"/>
                <w:w w:val="91"/>
              </w:rPr>
              <w:t>Exhibit 21</w:t>
            </w:r>
          </w:p>
        </w:tc>
      </w:tr>
      <w:tr>
        <w:trPr>
          <w:trHeight w:val="787"/>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360" w:type="dxa"/>
            <w:vAlign w:val="bottom"/>
            <w:gridSpan w:val="2"/>
          </w:tcPr>
          <w:p>
            <w:pPr>
              <w:jc w:val="center"/>
              <w:ind w:right="1860"/>
              <w:spacing w:after="0"/>
              <w:rPr>
                <w:sz w:val="20"/>
                <w:szCs w:val="20"/>
                <w:color w:val="auto"/>
              </w:rPr>
            </w:pPr>
            <w:r>
              <w:rPr>
                <w:rFonts w:ascii="Arial" w:cs="Arial" w:eastAsia="Arial" w:hAnsi="Arial"/>
                <w:sz w:val="20"/>
                <w:szCs w:val="20"/>
                <w:b w:val="1"/>
                <w:bCs w:val="1"/>
                <w:color w:val="auto"/>
                <w:w w:val="95"/>
              </w:rPr>
              <w:t>Marriott International, Inc.</w:t>
            </w:r>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Subsidiaries of the Registrant</w:t>
            </w:r>
          </w:p>
        </w:tc>
        <w:tc>
          <w:tcPr>
            <w:tcW w:w="18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8720" w:type="dxa"/>
            <w:vAlign w:val="bottom"/>
            <w:gridSpan w:val="5"/>
          </w:tcPr>
          <w:p>
            <w:pPr>
              <w:ind w:left="20"/>
              <w:spacing w:after="0"/>
              <w:rPr>
                <w:sz w:val="20"/>
                <w:szCs w:val="20"/>
                <w:color w:val="auto"/>
              </w:rPr>
            </w:pPr>
            <w:r>
              <w:rPr>
                <w:rFonts w:ascii="Arial" w:cs="Arial" w:eastAsia="Arial" w:hAnsi="Arial"/>
                <w:sz w:val="18"/>
                <w:szCs w:val="18"/>
                <w:b w:val="1"/>
                <w:bCs w:val="1"/>
                <w:color w:val="auto"/>
              </w:rPr>
              <w:t>Entity Name</w:t>
            </w:r>
          </w:p>
        </w:tc>
        <w:tc>
          <w:tcPr>
            <w:tcW w:w="2500" w:type="dxa"/>
            <w:vAlign w:val="bottom"/>
            <w:gridSpan w:val="3"/>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1"/>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3360" w:type="dxa"/>
            <w:vAlign w:val="bottom"/>
            <w:tcBorders>
              <w:bottom w:val="single" w:sz="8" w:color="C0C0C0"/>
            </w:tcBorders>
          </w:tcPr>
          <w:p>
            <w:pPr>
              <w:spacing w:after="0" w:line="20" w:lineRule="exact"/>
              <w:rPr>
                <w:sz w:val="1"/>
                <w:szCs w:val="1"/>
                <w:color w:val="auto"/>
              </w:rPr>
            </w:pPr>
          </w:p>
        </w:tc>
        <w:tc>
          <w:tcPr>
            <w:tcW w:w="2500" w:type="dxa"/>
            <w:vAlign w:val="bottom"/>
            <w:tcBorders>
              <w:bottom w:val="single" w:sz="8" w:color="C0C0C0"/>
            </w:tcBorders>
          </w:tcPr>
          <w:p>
            <w:pPr>
              <w:spacing w:after="0" w:line="20" w:lineRule="exact"/>
              <w:rPr>
                <w:sz w:val="1"/>
                <w:szCs w:val="1"/>
                <w:color w:val="auto"/>
              </w:rPr>
            </w:pPr>
          </w:p>
        </w:tc>
        <w:tc>
          <w:tcPr>
            <w:tcW w:w="186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24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1367357 Alberta ULC</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14 East Fifty-Fifth Air Parcel, LLC</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14 East Fifty-Fifth Street New York LLC</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1567 Broadway Condominium</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New York</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1640054 Alberta ULC</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225 Liquor Licensee LLC</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New Jersey</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315 East Dean Street Aspen LLC</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333 International, Inc.</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3387 Lenox Road LLC</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520 Canal Street Limited Partnership</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6106 East Camelback LLC</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697 Fifth Avenue New York LLC</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909 North Michigan Avenue Corporation</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9701 Collins Avenue, LLC</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Aberdeen Hotel Limited</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Jersey</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ACHM Gerenciamento Internacional de Hoteis do Brasil Ltda.</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ACHM Global Hospitality Licensing S.à r.l.</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ACHM International Management Company (French Branch)</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ACHM International Management Company S.ar.l, Bertrange, Zurich Branch</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ACHM International Management Company S.àr.l.</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ACHM Spain Management S.L. (Joint Venture)</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Spain</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Adamar International Lodging, Ltd.</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Bermuda</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Administracion de Empresas Starwood S de RL de SV</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Adquisiciones Cancun-Vallarta S. de R.L. de C.V. - (Joint Venture)</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Aeropuerto Shareholder, Inc.</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Alitrip Holding Company Limited</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Cayman Islands</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Aloft Hotel Management, Inc.</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Aloft International Hotel Management, Inc.</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Alpha Steam Acquisition, LLC</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Alphaventure Music Publishing Corp.</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New York</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Alstar Operating LLC</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New York</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Alstar Realty LLC</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New York</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Amazonas H.O.T. S.A. (Joint Venture)</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Ecuador</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AP Arabella (Pty) Ltd</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South Africa</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Atlanta Acquisition LLC</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Bal Harbour Hotel LLC</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Baltic Investment Company, L.L.C.</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New Jersey</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Baltimore Marriott Inner Harbor, L.L.C.</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BCN Hotel Management Company, S.L.</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Spain</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Beijing International Club Co. Ltd</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Berlin Marriott Hotelmanagement GmbH</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Betaventure Music Publishing Corp.</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New York</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Blue Marble Co., Inc.</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rPr>
              <w:t>Boston Convention Associates, LLC</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11200" w:type="dxa"/>
            <w:vAlign w:val="bottom"/>
            <w:tcBorders>
              <w:bottom w:val="single" w:sz="8" w:color="C0C0C0"/>
            </w:tcBorders>
            <w:gridSpan w:val="7"/>
          </w:tcPr>
          <w:p>
            <w:pPr>
              <w:ind w:left="20"/>
              <w:spacing w:after="0"/>
              <w:rPr>
                <w:sz w:val="20"/>
                <w:szCs w:val="20"/>
                <w:color w:val="auto"/>
              </w:rPr>
            </w:pPr>
            <w:r>
              <w:rPr>
                <w:rFonts w:ascii="Arial" w:cs="Arial" w:eastAsia="Arial" w:hAnsi="Arial"/>
                <w:sz w:val="18"/>
                <w:szCs w:val="18"/>
                <w:color w:val="auto"/>
              </w:rPr>
              <w:t>Branch of the private limited liability company "Luxury Hotels International Management Company" (Moscow Branch) Russian Federation</w:t>
            </w:r>
          </w:p>
        </w:tc>
        <w:tc>
          <w:tcPr>
            <w:tcW w:w="20" w:type="dxa"/>
            <w:vAlign w:val="bottom"/>
          </w:tcPr>
          <w:p>
            <w:pPr>
              <w:spacing w:after="0"/>
              <w:rPr>
                <w:sz w:val="19"/>
                <w:szCs w:val="19"/>
                <w:color w:val="auto"/>
              </w:rPr>
            </w:pPr>
          </w:p>
        </w:tc>
      </w:tr>
      <w:tr>
        <w:trPr>
          <w:trHeight w:val="223"/>
        </w:trPr>
        <w:tc>
          <w:tcPr>
            <w:tcW w:w="8720" w:type="dxa"/>
            <w:vAlign w:val="bottom"/>
            <w:tcBorders>
              <w:bottom w:val="single" w:sz="8" w:color="C0C0C0"/>
            </w:tcBorders>
            <w:gridSpan w:val="5"/>
          </w:tcPr>
          <w:p>
            <w:pPr>
              <w:ind w:left="20"/>
              <w:spacing w:after="0"/>
              <w:rPr>
                <w:sz w:val="20"/>
                <w:szCs w:val="20"/>
                <w:color w:val="auto"/>
              </w:rPr>
            </w:pPr>
            <w:r>
              <w:rPr>
                <w:rFonts w:ascii="Arial" w:cs="Arial" w:eastAsia="Arial" w:hAnsi="Arial"/>
                <w:sz w:val="18"/>
                <w:szCs w:val="18"/>
                <w:color w:val="auto"/>
                <w:w w:val="99"/>
              </w:rPr>
              <w:t>Branch Office of the Private limited liability company "The Ritz-Carlton Hotel Company B.V." (Russian Branch)</w:t>
            </w:r>
          </w:p>
        </w:tc>
        <w:tc>
          <w:tcPr>
            <w:tcW w:w="24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20"/>
          </w:cols>
          <w:pgMar w:left="340" w:top="121" w:right="339" w:bottom="144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880" w:type="dxa"/>
            <w:vAlign w:val="bottom"/>
            <w:gridSpan w:val="3"/>
          </w:tcPr>
          <w:p>
            <w:pPr>
              <w:ind w:left="2080"/>
              <w:spacing w:after="0"/>
              <w:rPr>
                <w:sz w:val="20"/>
                <w:szCs w:val="20"/>
                <w:color w:val="auto"/>
              </w:rPr>
            </w:pPr>
            <w:r>
              <w:rPr>
                <w:rFonts w:ascii="Arial" w:cs="Arial" w:eastAsia="Arial" w:hAnsi="Arial"/>
                <w:sz w:val="18"/>
                <w:szCs w:val="18"/>
                <w:b w:val="1"/>
                <w:bCs w:val="1"/>
                <w:color w:val="auto"/>
                <w:w w:val="91"/>
              </w:rPr>
              <w:t>Exhibit 21</w:t>
            </w:r>
          </w:p>
        </w:tc>
      </w:tr>
      <w:tr>
        <w:trPr>
          <w:trHeight w:val="864"/>
        </w:trPr>
        <w:tc>
          <w:tcPr>
            <w:tcW w:w="6360" w:type="dxa"/>
            <w:vAlign w:val="bottom"/>
            <w:gridSpan w:val="3"/>
          </w:tcPr>
          <w:p>
            <w:pPr>
              <w:ind w:left="20"/>
              <w:spacing w:after="0"/>
              <w:rPr>
                <w:sz w:val="20"/>
                <w:szCs w:val="20"/>
                <w:color w:val="auto"/>
              </w:rPr>
            </w:pPr>
            <w:r>
              <w:rPr>
                <w:rFonts w:ascii="Arial" w:cs="Arial" w:eastAsia="Arial" w:hAnsi="Arial"/>
                <w:sz w:val="18"/>
                <w:szCs w:val="18"/>
                <w:b w:val="1"/>
                <w:bCs w:val="1"/>
                <w:color w:val="auto"/>
              </w:rPr>
              <w:t>Entity Name</w:t>
            </w:r>
          </w:p>
        </w:tc>
        <w:tc>
          <w:tcPr>
            <w:tcW w:w="4860" w:type="dxa"/>
            <w:vAlign w:val="bottom"/>
            <w:gridSpan w:val="4"/>
          </w:tcPr>
          <w:p>
            <w:pPr>
              <w:ind w:left="1980"/>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5360" w:type="dxa"/>
            <w:vAlign w:val="bottom"/>
            <w:tcBorders>
              <w:bottom w:val="single" w:sz="8" w:color="C0C0C0"/>
            </w:tcBorders>
          </w:tcPr>
          <w:p>
            <w:pPr>
              <w:spacing w:after="0" w:line="20" w:lineRule="exact"/>
              <w:rPr>
                <w:sz w:val="1"/>
                <w:szCs w:val="1"/>
                <w:color w:val="auto"/>
              </w:rPr>
            </w:pPr>
          </w:p>
        </w:tc>
        <w:tc>
          <w:tcPr>
            <w:tcW w:w="198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62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Bulgari Hotels and Resorts Milano, S.r.l. (Joint Venture)</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Italy</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Business Tourism Company LLC - (Joint Venture)</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Jordan</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BW SL 1 Limited</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Saint Lucia</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Camelback Country Club, Inc. (d/b/a Camelback Golf Club)</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Arizona</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Camelback Properties Inn, Inc.</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Canal Street Holdings, Inc.</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Capitol Employment Services, LLC</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Carpstar/Jordan Development LLC</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CBM Annex, Inc.</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Centerline Georgia Investor LLC</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Charleston Marriott, LLC</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Cheshunt Hotel Operating Company Limited (Joint Venture)</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Chicago Hotel Services, LLC</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Cia Palmares Hoteis e Turismo</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Ciga Gestioni S.r.l</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Italy</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CIGA Hotels GmbH</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Austria</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CIGA Immobiliare B.V.</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CIGA International Management B.V.</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Cigahotels Espana S.L.U</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Spain</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Classic Select Hospitality Service Company</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Cologne MH Operating Company GmbH</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Colony Club (Barbados) Limited</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Barbados</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Colony SL 1 Limited</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Saint Lucia</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Columbia Courtyard, Inc.</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Maryland</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Consolidated Hotels Limited</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Corporacion Habitacional Mexicana S. de R.L. de C.V.</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Corporate General, Inc.</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Courtyard Management Corporation</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Crystal Cove Hotel Limited</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Barbados</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Crystal SL 1 Limited</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Saint Lucia</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CS&amp;M Associates</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CTYD III Corporation</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Culinary Concepts (Abu Dhabi) LLC</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Culinary Concepts (Atlanta Buckhead) LLC</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Culinary Concepts (Atlanta Midtown) LLC</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Culinary Concepts (Bal Harbour) LLC</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Culinary Concepts (BB Puerto Rico) LLC</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Culinary Concepts (Boston) LLC</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Culinary Concepts (Cairo) LLC</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Culinary Concepts (Doha) LLC</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Culinary Concepts (Dubai) LLC</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Culinary Concepts (Mexico City) LLC</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Culinary Concepts (Park City) LLC</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Culinary Concepts (Phoenician) LLC</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Culinary Concepts (Princeville) LLC</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Culinary Concepts (Vancouver) LLC</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Culinary Concepts (Washington) LLC</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Culinary Concepts Hospitality Group, LLC</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New York</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Culinary Concepts Torre Libertad, S. de R.L. de C.V.</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CWT Savannah Club, LLC</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CWT Savannah Holdings, LLC</w:t>
            </w:r>
          </w:p>
        </w:tc>
        <w:tc>
          <w:tcPr>
            <w:tcW w:w="4840" w:type="dxa"/>
            <w:vAlign w:val="bottom"/>
            <w:tcBorders>
              <w:bottom w:val="single" w:sz="8" w:color="C0C0C0"/>
            </w:tcBorders>
            <w:gridSpan w:val="3"/>
          </w:tcPr>
          <w:p>
            <w:pPr>
              <w:ind w:left="1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20"/>
          </w:cols>
          <w:pgMar w:left="340" w:top="121" w:right="33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80" w:type="dxa"/>
            <w:vAlign w:val="bottom"/>
            <w:gridSpan w:val="3"/>
          </w:tcPr>
          <w:p>
            <w:pPr>
              <w:ind w:left="2080"/>
              <w:spacing w:after="0"/>
              <w:rPr>
                <w:sz w:val="20"/>
                <w:szCs w:val="20"/>
                <w:color w:val="auto"/>
              </w:rPr>
            </w:pPr>
            <w:r>
              <w:rPr>
                <w:rFonts w:ascii="Arial" w:cs="Arial" w:eastAsia="Arial" w:hAnsi="Arial"/>
                <w:sz w:val="18"/>
                <w:szCs w:val="18"/>
                <w:b w:val="1"/>
                <w:bCs w:val="1"/>
                <w:color w:val="auto"/>
                <w:w w:val="91"/>
              </w:rPr>
              <w:t>Exhibit 21</w:t>
            </w:r>
          </w:p>
        </w:tc>
      </w:tr>
      <w:tr>
        <w:trPr>
          <w:trHeight w:val="864"/>
        </w:trPr>
        <w:tc>
          <w:tcPr>
            <w:tcW w:w="5360" w:type="dxa"/>
            <w:vAlign w:val="bottom"/>
            <w:gridSpan w:val="3"/>
          </w:tcPr>
          <w:p>
            <w:pPr>
              <w:ind w:left="20"/>
              <w:spacing w:after="0"/>
              <w:rPr>
                <w:sz w:val="20"/>
                <w:szCs w:val="20"/>
                <w:color w:val="auto"/>
              </w:rPr>
            </w:pPr>
            <w:r>
              <w:rPr>
                <w:rFonts w:ascii="Arial" w:cs="Arial" w:eastAsia="Arial" w:hAnsi="Arial"/>
                <w:sz w:val="18"/>
                <w:szCs w:val="18"/>
                <w:b w:val="1"/>
                <w:bCs w:val="1"/>
                <w:color w:val="auto"/>
              </w:rPr>
              <w:t>Entity Name</w:t>
            </w:r>
          </w:p>
        </w:tc>
        <w:tc>
          <w:tcPr>
            <w:tcW w:w="5860" w:type="dxa"/>
            <w:vAlign w:val="bottom"/>
            <w:gridSpan w:val="4"/>
          </w:tcPr>
          <w:p>
            <w:pPr>
              <w:ind w:left="2980"/>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4360" w:type="dxa"/>
            <w:vAlign w:val="bottom"/>
            <w:tcBorders>
              <w:bottom w:val="single" w:sz="8" w:color="C0C0C0"/>
            </w:tcBorders>
          </w:tcPr>
          <w:p>
            <w:pPr>
              <w:spacing w:after="0" w:line="20" w:lineRule="exact"/>
              <w:rPr>
                <w:sz w:val="1"/>
                <w:szCs w:val="1"/>
                <w:color w:val="auto"/>
              </w:rPr>
            </w:pPr>
          </w:p>
        </w:tc>
        <w:tc>
          <w:tcPr>
            <w:tcW w:w="298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62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CWT Savannah Hotel, LLC</w:t>
            </w:r>
          </w:p>
        </w:tc>
        <w:tc>
          <w:tcPr>
            <w:tcW w:w="5840" w:type="dxa"/>
            <w:vAlign w:val="bottom"/>
            <w:tcBorders>
              <w:bottom w:val="single" w:sz="8" w:color="C0C0C0"/>
            </w:tcBorders>
            <w:gridSpan w:val="3"/>
          </w:tcPr>
          <w:p>
            <w:pPr>
              <w:ind w:left="2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CY Paris Gare de Lyon Bercy SAS</w:t>
            </w:r>
          </w:p>
        </w:tc>
        <w:tc>
          <w:tcPr>
            <w:tcW w:w="5840" w:type="dxa"/>
            <w:vAlign w:val="bottom"/>
            <w:tcBorders>
              <w:bottom w:val="single" w:sz="8" w:color="C0C0C0"/>
            </w:tcBorders>
            <w:gridSpan w:val="3"/>
          </w:tcPr>
          <w:p>
            <w:pPr>
              <w:ind w:left="2980"/>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Daphne’s Restaurant (St. Lucia) Limited</w:t>
            </w:r>
          </w:p>
        </w:tc>
        <w:tc>
          <w:tcPr>
            <w:tcW w:w="5840" w:type="dxa"/>
            <w:vAlign w:val="bottom"/>
            <w:tcBorders>
              <w:bottom w:val="single" w:sz="8" w:color="C0C0C0"/>
            </w:tcBorders>
            <w:gridSpan w:val="3"/>
          </w:tcPr>
          <w:p>
            <w:pPr>
              <w:ind w:left="2980"/>
              <w:spacing w:after="0"/>
              <w:rPr>
                <w:sz w:val="20"/>
                <w:szCs w:val="20"/>
                <w:color w:val="auto"/>
              </w:rPr>
            </w:pPr>
            <w:r>
              <w:rPr>
                <w:rFonts w:ascii="Arial" w:cs="Arial" w:eastAsia="Arial" w:hAnsi="Arial"/>
                <w:sz w:val="18"/>
                <w:szCs w:val="18"/>
                <w:color w:val="auto"/>
              </w:rPr>
              <w:t>Saint Lucia</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Daphne’s Restaurant Ltd.</w:t>
            </w:r>
          </w:p>
        </w:tc>
        <w:tc>
          <w:tcPr>
            <w:tcW w:w="5840" w:type="dxa"/>
            <w:vAlign w:val="bottom"/>
            <w:tcBorders>
              <w:bottom w:val="single" w:sz="8" w:color="C0C0C0"/>
            </w:tcBorders>
            <w:gridSpan w:val="3"/>
          </w:tcPr>
          <w:p>
            <w:pPr>
              <w:ind w:left="2980"/>
              <w:spacing w:after="0"/>
              <w:rPr>
                <w:sz w:val="20"/>
                <w:szCs w:val="20"/>
                <w:color w:val="auto"/>
              </w:rPr>
            </w:pPr>
            <w:r>
              <w:rPr>
                <w:rFonts w:ascii="Arial" w:cs="Arial" w:eastAsia="Arial" w:hAnsi="Arial"/>
                <w:sz w:val="18"/>
                <w:szCs w:val="18"/>
                <w:color w:val="auto"/>
              </w:rPr>
              <w:t>Barbados</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Delta Hotels Services Limited</w:t>
            </w:r>
          </w:p>
        </w:tc>
        <w:tc>
          <w:tcPr>
            <w:tcW w:w="5840" w:type="dxa"/>
            <w:vAlign w:val="bottom"/>
            <w:tcBorders>
              <w:bottom w:val="single" w:sz="8" w:color="C0C0C0"/>
            </w:tcBorders>
            <w:gridSpan w:val="3"/>
          </w:tcPr>
          <w:p>
            <w:pPr>
              <w:ind w:left="298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Design Hotels AG</w:t>
            </w:r>
          </w:p>
        </w:tc>
        <w:tc>
          <w:tcPr>
            <w:tcW w:w="5840" w:type="dxa"/>
            <w:vAlign w:val="bottom"/>
            <w:tcBorders>
              <w:bottom w:val="single" w:sz="8" w:color="C0C0C0"/>
            </w:tcBorders>
            <w:gridSpan w:val="3"/>
          </w:tcPr>
          <w:p>
            <w:pPr>
              <w:ind w:left="298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Destination Services of Scottsdale LLC</w:t>
            </w:r>
          </w:p>
        </w:tc>
        <w:tc>
          <w:tcPr>
            <w:tcW w:w="5840" w:type="dxa"/>
            <w:vAlign w:val="bottom"/>
            <w:tcBorders>
              <w:bottom w:val="single" w:sz="8" w:color="C0C0C0"/>
            </w:tcBorders>
            <w:gridSpan w:val="3"/>
          </w:tcPr>
          <w:p>
            <w:pPr>
              <w:ind w:left="2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Detroit CY, LLC.</w:t>
            </w:r>
          </w:p>
        </w:tc>
        <w:tc>
          <w:tcPr>
            <w:tcW w:w="5840" w:type="dxa"/>
            <w:vAlign w:val="bottom"/>
            <w:tcBorders>
              <w:bottom w:val="single" w:sz="8" w:color="C0C0C0"/>
            </w:tcBorders>
            <w:gridSpan w:val="3"/>
          </w:tcPr>
          <w:p>
            <w:pPr>
              <w:ind w:left="2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Detroit Hotel Services, LLC</w:t>
            </w:r>
          </w:p>
        </w:tc>
        <w:tc>
          <w:tcPr>
            <w:tcW w:w="5840" w:type="dxa"/>
            <w:vAlign w:val="bottom"/>
            <w:tcBorders>
              <w:bottom w:val="single" w:sz="8" w:color="C0C0C0"/>
            </w:tcBorders>
            <w:gridSpan w:val="3"/>
          </w:tcPr>
          <w:p>
            <w:pPr>
              <w:ind w:left="2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Detroit MHS, LLC</w:t>
            </w:r>
          </w:p>
        </w:tc>
        <w:tc>
          <w:tcPr>
            <w:tcW w:w="5840" w:type="dxa"/>
            <w:vAlign w:val="bottom"/>
            <w:tcBorders>
              <w:bottom w:val="single" w:sz="8" w:color="C0C0C0"/>
            </w:tcBorders>
            <w:gridSpan w:val="3"/>
          </w:tcPr>
          <w:p>
            <w:pPr>
              <w:ind w:left="2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Detroit Starwood, LLC</w:t>
            </w:r>
          </w:p>
        </w:tc>
        <w:tc>
          <w:tcPr>
            <w:tcW w:w="5840" w:type="dxa"/>
            <w:vAlign w:val="bottom"/>
            <w:tcBorders>
              <w:bottom w:val="single" w:sz="8" w:color="C0C0C0"/>
            </w:tcBorders>
            <w:gridSpan w:val="3"/>
          </w:tcPr>
          <w:p>
            <w:pPr>
              <w:ind w:left="2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Dominican Hotels (B.V.I.) Ltd.</w:t>
            </w:r>
          </w:p>
        </w:tc>
        <w:tc>
          <w:tcPr>
            <w:tcW w:w="5840" w:type="dxa"/>
            <w:vAlign w:val="bottom"/>
            <w:tcBorders>
              <w:bottom w:val="single" w:sz="8" w:color="C0C0C0"/>
            </w:tcBorders>
            <w:gridSpan w:val="3"/>
          </w:tcPr>
          <w:p>
            <w:pPr>
              <w:ind w:left="2980"/>
              <w:spacing w:after="0"/>
              <w:rPr>
                <w:sz w:val="20"/>
                <w:szCs w:val="20"/>
                <w:color w:val="auto"/>
              </w:rPr>
            </w:pPr>
            <w:r>
              <w:rPr>
                <w:rFonts w:ascii="Arial" w:cs="Arial" w:eastAsia="Arial" w:hAnsi="Arial"/>
                <w:sz w:val="18"/>
                <w:szCs w:val="18"/>
                <w:color w:val="auto"/>
              </w:rPr>
              <w:t>Virgin Islands, British</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EDITION Management LLC</w:t>
            </w:r>
          </w:p>
        </w:tc>
        <w:tc>
          <w:tcPr>
            <w:tcW w:w="5840" w:type="dxa"/>
            <w:vAlign w:val="bottom"/>
            <w:tcBorders>
              <w:bottom w:val="single" w:sz="8" w:color="C0C0C0"/>
            </w:tcBorders>
            <w:gridSpan w:val="3"/>
          </w:tcPr>
          <w:p>
            <w:pPr>
              <w:ind w:left="2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Elan Hotel Beverage Corporation</w:t>
            </w:r>
          </w:p>
        </w:tc>
        <w:tc>
          <w:tcPr>
            <w:tcW w:w="5840" w:type="dxa"/>
            <w:vAlign w:val="bottom"/>
            <w:tcBorders>
              <w:bottom w:val="single" w:sz="8" w:color="C0C0C0"/>
            </w:tcBorders>
            <w:gridSpan w:val="3"/>
          </w:tcPr>
          <w:p>
            <w:pPr>
              <w:ind w:left="2980"/>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Elcrisa, S.A. de C.V. - (Joint Venture)</w:t>
            </w:r>
          </w:p>
        </w:tc>
        <w:tc>
          <w:tcPr>
            <w:tcW w:w="5840" w:type="dxa"/>
            <w:vAlign w:val="bottom"/>
            <w:tcBorders>
              <w:bottom w:val="single" w:sz="8" w:color="C0C0C0"/>
            </w:tcBorders>
            <w:gridSpan w:val="3"/>
          </w:tcPr>
          <w:p>
            <w:pPr>
              <w:ind w:left="298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Elegant Finance (St. Lucia) Limited</w:t>
            </w:r>
          </w:p>
        </w:tc>
        <w:tc>
          <w:tcPr>
            <w:tcW w:w="5840" w:type="dxa"/>
            <w:vAlign w:val="bottom"/>
            <w:tcBorders>
              <w:bottom w:val="single" w:sz="8" w:color="C0C0C0"/>
            </w:tcBorders>
            <w:gridSpan w:val="3"/>
          </w:tcPr>
          <w:p>
            <w:pPr>
              <w:ind w:left="2980"/>
              <w:spacing w:after="0"/>
              <w:rPr>
                <w:sz w:val="20"/>
                <w:szCs w:val="20"/>
                <w:color w:val="auto"/>
              </w:rPr>
            </w:pPr>
            <w:r>
              <w:rPr>
                <w:rFonts w:ascii="Arial" w:cs="Arial" w:eastAsia="Arial" w:hAnsi="Arial"/>
                <w:sz w:val="18"/>
                <w:szCs w:val="18"/>
                <w:color w:val="auto"/>
              </w:rPr>
              <w:t>Saint Lucia</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Elegant Hotels (Barbados) Management Limited</w:t>
            </w:r>
          </w:p>
        </w:tc>
        <w:tc>
          <w:tcPr>
            <w:tcW w:w="5840" w:type="dxa"/>
            <w:vAlign w:val="bottom"/>
            <w:tcBorders>
              <w:bottom w:val="single" w:sz="8" w:color="C0C0C0"/>
            </w:tcBorders>
            <w:gridSpan w:val="3"/>
          </w:tcPr>
          <w:p>
            <w:pPr>
              <w:ind w:left="2980"/>
              <w:spacing w:after="0"/>
              <w:rPr>
                <w:sz w:val="20"/>
                <w:szCs w:val="20"/>
                <w:color w:val="auto"/>
              </w:rPr>
            </w:pPr>
            <w:r>
              <w:rPr>
                <w:rFonts w:ascii="Arial" w:cs="Arial" w:eastAsia="Arial" w:hAnsi="Arial"/>
                <w:sz w:val="18"/>
                <w:szCs w:val="18"/>
                <w:color w:val="auto"/>
              </w:rPr>
              <w:t>Barbados</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Elegant Hotels BGI Limited</w:t>
            </w:r>
          </w:p>
        </w:tc>
        <w:tc>
          <w:tcPr>
            <w:tcW w:w="5840" w:type="dxa"/>
            <w:vAlign w:val="bottom"/>
            <w:tcBorders>
              <w:bottom w:val="single" w:sz="8" w:color="C0C0C0"/>
            </w:tcBorders>
            <w:gridSpan w:val="3"/>
          </w:tcPr>
          <w:p>
            <w:pPr>
              <w:ind w:left="2980"/>
              <w:spacing w:after="0"/>
              <w:rPr>
                <w:sz w:val="20"/>
                <w:szCs w:val="20"/>
                <w:color w:val="auto"/>
              </w:rPr>
            </w:pPr>
            <w:r>
              <w:rPr>
                <w:rFonts w:ascii="Arial" w:cs="Arial" w:eastAsia="Arial" w:hAnsi="Arial"/>
                <w:sz w:val="18"/>
                <w:szCs w:val="18"/>
                <w:color w:val="auto"/>
              </w:rPr>
              <w:t>Barbados</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Elegant Hotels Group Limited</w:t>
            </w:r>
          </w:p>
        </w:tc>
        <w:tc>
          <w:tcPr>
            <w:tcW w:w="5840" w:type="dxa"/>
            <w:vAlign w:val="bottom"/>
            <w:tcBorders>
              <w:bottom w:val="single" w:sz="8" w:color="C0C0C0"/>
            </w:tcBorders>
            <w:gridSpan w:val="3"/>
          </w:tcPr>
          <w:p>
            <w:pPr>
              <w:ind w:left="2980"/>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Elegant Services (St. Lucia) Limited</w:t>
            </w:r>
          </w:p>
        </w:tc>
        <w:tc>
          <w:tcPr>
            <w:tcW w:w="5840" w:type="dxa"/>
            <w:vAlign w:val="bottom"/>
            <w:tcBorders>
              <w:bottom w:val="single" w:sz="8" w:color="C0C0C0"/>
            </w:tcBorders>
            <w:gridSpan w:val="3"/>
          </w:tcPr>
          <w:p>
            <w:pPr>
              <w:ind w:left="2980"/>
              <w:spacing w:after="0"/>
              <w:rPr>
                <w:sz w:val="20"/>
                <w:szCs w:val="20"/>
                <w:color w:val="auto"/>
              </w:rPr>
            </w:pPr>
            <w:r>
              <w:rPr>
                <w:rFonts w:ascii="Arial" w:cs="Arial" w:eastAsia="Arial" w:hAnsi="Arial"/>
                <w:sz w:val="18"/>
                <w:szCs w:val="18"/>
                <w:color w:val="auto"/>
              </w:rPr>
              <w:t>Saint Lucia</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w w:val="93"/>
              </w:rPr>
              <w:t>Empresa de Servicios Hoteleros Punta Mita S.A de C.V. (Joint Venture)</w:t>
            </w:r>
          </w:p>
        </w:tc>
        <w:tc>
          <w:tcPr>
            <w:tcW w:w="5840" w:type="dxa"/>
            <w:vAlign w:val="bottom"/>
            <w:tcBorders>
              <w:bottom w:val="single" w:sz="8" w:color="C0C0C0"/>
            </w:tcBorders>
            <w:gridSpan w:val="3"/>
          </w:tcPr>
          <w:p>
            <w:pPr>
              <w:ind w:left="298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Empresa de Servicios Reforma 325, S. de R.L. de C.V.</w:t>
            </w:r>
          </w:p>
        </w:tc>
        <w:tc>
          <w:tcPr>
            <w:tcW w:w="5840" w:type="dxa"/>
            <w:vAlign w:val="bottom"/>
            <w:tcBorders>
              <w:bottom w:val="single" w:sz="8" w:color="C0C0C0"/>
            </w:tcBorders>
            <w:gridSpan w:val="3"/>
          </w:tcPr>
          <w:p>
            <w:pPr>
              <w:ind w:left="298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Emstar Operating LLC</w:t>
            </w:r>
          </w:p>
        </w:tc>
        <w:tc>
          <w:tcPr>
            <w:tcW w:w="5840" w:type="dxa"/>
            <w:vAlign w:val="bottom"/>
            <w:tcBorders>
              <w:bottom w:val="single" w:sz="8" w:color="C0C0C0"/>
            </w:tcBorders>
            <w:gridSpan w:val="3"/>
          </w:tcPr>
          <w:p>
            <w:pPr>
              <w:ind w:left="2980"/>
              <w:spacing w:after="0"/>
              <w:rPr>
                <w:sz w:val="20"/>
                <w:szCs w:val="20"/>
                <w:color w:val="auto"/>
              </w:rPr>
            </w:pPr>
            <w:r>
              <w:rPr>
                <w:rFonts w:ascii="Arial" w:cs="Arial" w:eastAsia="Arial" w:hAnsi="Arial"/>
                <w:sz w:val="18"/>
                <w:szCs w:val="18"/>
                <w:color w:val="auto"/>
              </w:rPr>
              <w:t>New York</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Emstar Realty LLC</w:t>
            </w:r>
          </w:p>
        </w:tc>
        <w:tc>
          <w:tcPr>
            <w:tcW w:w="5840" w:type="dxa"/>
            <w:vAlign w:val="bottom"/>
            <w:tcBorders>
              <w:bottom w:val="single" w:sz="8" w:color="C0C0C0"/>
            </w:tcBorders>
            <w:gridSpan w:val="3"/>
          </w:tcPr>
          <w:p>
            <w:pPr>
              <w:ind w:left="2980"/>
              <w:spacing w:after="0"/>
              <w:rPr>
                <w:sz w:val="20"/>
                <w:szCs w:val="20"/>
                <w:color w:val="auto"/>
              </w:rPr>
            </w:pPr>
            <w:r>
              <w:rPr>
                <w:rFonts w:ascii="Arial" w:cs="Arial" w:eastAsia="Arial" w:hAnsi="Arial"/>
                <w:sz w:val="18"/>
                <w:szCs w:val="18"/>
                <w:color w:val="auto"/>
              </w:rPr>
              <w:t>New York</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ENA Hotel Holding Company Pvt Ltd</w:t>
            </w:r>
          </w:p>
        </w:tc>
        <w:tc>
          <w:tcPr>
            <w:tcW w:w="5840" w:type="dxa"/>
            <w:vAlign w:val="bottom"/>
            <w:tcBorders>
              <w:bottom w:val="single" w:sz="8" w:color="C0C0C0"/>
            </w:tcBorders>
            <w:gridSpan w:val="3"/>
          </w:tcPr>
          <w:p>
            <w:pPr>
              <w:ind w:left="2980"/>
              <w:spacing w:after="0"/>
              <w:rPr>
                <w:sz w:val="20"/>
                <w:szCs w:val="20"/>
                <w:color w:val="auto"/>
              </w:rPr>
            </w:pPr>
            <w:r>
              <w:rPr>
                <w:rFonts w:ascii="Arial" w:cs="Arial" w:eastAsia="Arial" w:hAnsi="Arial"/>
                <w:sz w:val="18"/>
                <w:szCs w:val="18"/>
                <w:color w:val="auto"/>
              </w:rPr>
              <w:t>Maldives</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Essex House Condominium Corporation</w:t>
            </w:r>
          </w:p>
        </w:tc>
        <w:tc>
          <w:tcPr>
            <w:tcW w:w="5840" w:type="dxa"/>
            <w:vAlign w:val="bottom"/>
            <w:tcBorders>
              <w:bottom w:val="single" w:sz="8" w:color="C0C0C0"/>
            </w:tcBorders>
            <w:gridSpan w:val="3"/>
          </w:tcPr>
          <w:p>
            <w:pPr>
              <w:ind w:left="2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F. L. Insurance Corporation</w:t>
            </w:r>
          </w:p>
        </w:tc>
        <w:tc>
          <w:tcPr>
            <w:tcW w:w="5840" w:type="dxa"/>
            <w:vAlign w:val="bottom"/>
            <w:tcBorders>
              <w:bottom w:val="single" w:sz="8" w:color="C0C0C0"/>
            </w:tcBorders>
            <w:gridSpan w:val="3"/>
          </w:tcPr>
          <w:p>
            <w:pPr>
              <w:ind w:left="2980"/>
              <w:spacing w:after="0"/>
              <w:rPr>
                <w:sz w:val="20"/>
                <w:szCs w:val="20"/>
                <w:color w:val="auto"/>
              </w:rPr>
            </w:pPr>
            <w:r>
              <w:rPr>
                <w:rFonts w:ascii="Arial" w:cs="Arial" w:eastAsia="Arial" w:hAnsi="Arial"/>
                <w:sz w:val="18"/>
                <w:szCs w:val="18"/>
                <w:color w:val="auto"/>
              </w:rPr>
              <w:t>Hawaii</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Fairfield FMC, LLC</w:t>
            </w:r>
          </w:p>
        </w:tc>
        <w:tc>
          <w:tcPr>
            <w:tcW w:w="5840" w:type="dxa"/>
            <w:vAlign w:val="bottom"/>
            <w:tcBorders>
              <w:bottom w:val="single" w:sz="8" w:color="C0C0C0"/>
            </w:tcBorders>
            <w:gridSpan w:val="3"/>
          </w:tcPr>
          <w:p>
            <w:pPr>
              <w:ind w:left="2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Fesdhu Holdings Pvt Ltd</w:t>
            </w:r>
          </w:p>
        </w:tc>
        <w:tc>
          <w:tcPr>
            <w:tcW w:w="5840" w:type="dxa"/>
            <w:vAlign w:val="bottom"/>
            <w:tcBorders>
              <w:bottom w:val="single" w:sz="8" w:color="C0C0C0"/>
            </w:tcBorders>
            <w:gridSpan w:val="3"/>
          </w:tcPr>
          <w:p>
            <w:pPr>
              <w:ind w:left="2980"/>
              <w:spacing w:after="0"/>
              <w:rPr>
                <w:sz w:val="20"/>
                <w:szCs w:val="20"/>
                <w:color w:val="auto"/>
              </w:rPr>
            </w:pPr>
            <w:r>
              <w:rPr>
                <w:rFonts w:ascii="Arial" w:cs="Arial" w:eastAsia="Arial" w:hAnsi="Arial"/>
                <w:sz w:val="18"/>
                <w:szCs w:val="18"/>
                <w:color w:val="auto"/>
              </w:rPr>
              <w:t>Maldives</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Fifth Avenue Hotel Suites, LLC</w:t>
            </w:r>
          </w:p>
        </w:tc>
        <w:tc>
          <w:tcPr>
            <w:tcW w:w="5840" w:type="dxa"/>
            <w:vAlign w:val="bottom"/>
            <w:tcBorders>
              <w:bottom w:val="single" w:sz="8" w:color="C0C0C0"/>
            </w:tcBorders>
            <w:gridSpan w:val="3"/>
          </w:tcPr>
          <w:p>
            <w:pPr>
              <w:ind w:left="2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Fiji Cayman Holdings</w:t>
            </w:r>
          </w:p>
        </w:tc>
        <w:tc>
          <w:tcPr>
            <w:tcW w:w="5840" w:type="dxa"/>
            <w:vAlign w:val="bottom"/>
            <w:tcBorders>
              <w:bottom w:val="single" w:sz="8" w:color="C0C0C0"/>
            </w:tcBorders>
            <w:gridSpan w:val="3"/>
          </w:tcPr>
          <w:p>
            <w:pPr>
              <w:ind w:left="2980"/>
              <w:spacing w:after="0"/>
              <w:rPr>
                <w:sz w:val="20"/>
                <w:szCs w:val="20"/>
                <w:color w:val="auto"/>
              </w:rPr>
            </w:pPr>
            <w:r>
              <w:rPr>
                <w:rFonts w:ascii="Arial" w:cs="Arial" w:eastAsia="Arial" w:hAnsi="Arial"/>
                <w:sz w:val="18"/>
                <w:szCs w:val="18"/>
                <w:color w:val="auto"/>
              </w:rPr>
              <w:t>Cayman Islands</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FOH Holdco, LLC</w:t>
            </w:r>
          </w:p>
        </w:tc>
        <w:tc>
          <w:tcPr>
            <w:tcW w:w="5840" w:type="dxa"/>
            <w:vAlign w:val="bottom"/>
            <w:tcBorders>
              <w:bottom w:val="single" w:sz="8" w:color="C0C0C0"/>
            </w:tcBorders>
            <w:gridSpan w:val="3"/>
          </w:tcPr>
          <w:p>
            <w:pPr>
              <w:ind w:left="2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Franchise and License (Canadian) Ops Limited Partnership</w:t>
            </w:r>
          </w:p>
        </w:tc>
        <w:tc>
          <w:tcPr>
            <w:tcW w:w="5840" w:type="dxa"/>
            <w:vAlign w:val="bottom"/>
            <w:tcBorders>
              <w:bottom w:val="single" w:sz="8" w:color="C0C0C0"/>
            </w:tcBorders>
            <w:gridSpan w:val="3"/>
          </w:tcPr>
          <w:p>
            <w:pPr>
              <w:ind w:left="298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Franchise System Holdings, Inc.</w:t>
            </w:r>
          </w:p>
        </w:tc>
        <w:tc>
          <w:tcPr>
            <w:tcW w:w="5840" w:type="dxa"/>
            <w:vAlign w:val="bottom"/>
            <w:tcBorders>
              <w:bottom w:val="single" w:sz="8" w:color="C0C0C0"/>
            </w:tcBorders>
            <w:gridSpan w:val="3"/>
          </w:tcPr>
          <w:p>
            <w:pPr>
              <w:ind w:left="29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Frankfurt Airport Marriott Hotel Management GmbH</w:t>
            </w:r>
          </w:p>
        </w:tc>
        <w:tc>
          <w:tcPr>
            <w:tcW w:w="5840" w:type="dxa"/>
            <w:vAlign w:val="bottom"/>
            <w:tcBorders>
              <w:bottom w:val="single" w:sz="8" w:color="C0C0C0"/>
            </w:tcBorders>
            <w:gridSpan w:val="3"/>
          </w:tcPr>
          <w:p>
            <w:pPr>
              <w:ind w:left="298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84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980" w:type="dxa"/>
            <w:vAlign w:val="bottom"/>
          </w:tcPr>
          <w:p>
            <w:pPr>
              <w:ind w:left="200"/>
              <w:spacing w:after="0"/>
              <w:rPr>
                <w:sz w:val="20"/>
                <w:szCs w:val="20"/>
                <w:color w:val="auto"/>
              </w:rPr>
            </w:pPr>
            <w:r>
              <w:rPr>
                <w:rFonts w:ascii="Arial" w:cs="Arial" w:eastAsia="Arial" w:hAnsi="Arial"/>
                <w:sz w:val="18"/>
                <w:szCs w:val="18"/>
                <w:color w:val="auto"/>
              </w:rPr>
              <w:t>3</w:t>
            </w:r>
          </w:p>
        </w:tc>
        <w:tc>
          <w:tcPr>
            <w:tcW w:w="2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20"/>
          </w:cols>
          <w:pgMar w:left="340" w:top="121" w:right="33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880" w:type="dxa"/>
            <w:vAlign w:val="bottom"/>
            <w:gridSpan w:val="3"/>
          </w:tcPr>
          <w:p>
            <w:pPr>
              <w:ind w:left="2080"/>
              <w:spacing w:after="0"/>
              <w:rPr>
                <w:sz w:val="20"/>
                <w:szCs w:val="20"/>
                <w:color w:val="auto"/>
              </w:rPr>
            </w:pPr>
            <w:r>
              <w:rPr>
                <w:rFonts w:ascii="Arial" w:cs="Arial" w:eastAsia="Arial" w:hAnsi="Arial"/>
                <w:sz w:val="18"/>
                <w:szCs w:val="18"/>
                <w:b w:val="1"/>
                <w:bCs w:val="1"/>
                <w:color w:val="auto"/>
                <w:w w:val="91"/>
              </w:rPr>
              <w:t>Exhibit 21</w:t>
            </w:r>
          </w:p>
        </w:tc>
      </w:tr>
      <w:tr>
        <w:trPr>
          <w:trHeight w:val="864"/>
        </w:trPr>
        <w:tc>
          <w:tcPr>
            <w:tcW w:w="5340" w:type="dxa"/>
            <w:vAlign w:val="bottom"/>
            <w:gridSpan w:val="3"/>
          </w:tcPr>
          <w:p>
            <w:pPr>
              <w:ind w:left="20"/>
              <w:spacing w:after="0"/>
              <w:rPr>
                <w:sz w:val="20"/>
                <w:szCs w:val="20"/>
                <w:color w:val="auto"/>
              </w:rPr>
            </w:pPr>
            <w:r>
              <w:rPr>
                <w:rFonts w:ascii="Arial" w:cs="Arial" w:eastAsia="Arial" w:hAnsi="Arial"/>
                <w:sz w:val="18"/>
                <w:szCs w:val="18"/>
                <w:b w:val="1"/>
                <w:bCs w:val="1"/>
                <w:color w:val="auto"/>
              </w:rPr>
              <w:t>Entity Name</w:t>
            </w:r>
          </w:p>
        </w:tc>
        <w:tc>
          <w:tcPr>
            <w:tcW w:w="5880" w:type="dxa"/>
            <w:vAlign w:val="bottom"/>
            <w:gridSpan w:val="4"/>
          </w:tcPr>
          <w:p>
            <w:pPr>
              <w:ind w:left="3000"/>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4340" w:type="dxa"/>
            <w:vAlign w:val="bottom"/>
            <w:tcBorders>
              <w:bottom w:val="single" w:sz="8" w:color="C0C0C0"/>
            </w:tcBorders>
          </w:tcPr>
          <w:p>
            <w:pPr>
              <w:spacing w:after="0" w:line="20" w:lineRule="exact"/>
              <w:rPr>
                <w:sz w:val="1"/>
                <w:szCs w:val="1"/>
                <w:color w:val="auto"/>
              </w:rPr>
            </w:pPr>
          </w:p>
        </w:tc>
        <w:tc>
          <w:tcPr>
            <w:tcW w:w="300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62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Frankfurt Marriott Hotelmanagement GmbH</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Furana Holdings Pvt Ltd</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Maldives</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Galaxy Hotel Systems LLC</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Gambits, A Nonprofit Corporation (Incorporated Club)</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Utah</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Gateway Beverages, Inc.</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Geyex International N.V.</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Curacao</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GH Hotel Operating Company Limited</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Global Connextions LLC</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Global Hospitality Licensing S.à r.l.</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Global Hospitality Licensing S.À R.L. (Macao Tax Registration)</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Macao</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Global Hospitality Licensing S.A.R.L. (India Tax Registration)</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India</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Global Hospitality Licensing S.A.R.L. (Jordan Tax Registration)</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Jordan</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Global Hospitality Licensing S.A.R.L. (Kuwait Tax Registration)</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Kuwait</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Global Hospitality Licensing S.A.R.L. (Qatar Tax Registration)</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Qatar</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w w:val="96"/>
              </w:rPr>
              <w:t>Global Hospitality Licensing S.A.R.L. (Saudi Arabia Tax Registration)</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Saudi Arabia</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Granton International, Ltd.</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Virgin Islands, British</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Guangzhou Gingerroot Information Technology Co., Ltd.</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Guangzhou Starwood Customer Contact Centre Co., Ltd.</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Hamburg Marriott Hotelmanagement GmbH</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Headquarters Hotel Management, L.L.C.</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New Jersey</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Heidelberg Marriott Hotelmanagement GmbH</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Hospitality International, Inc.</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Host Restaurants, Inc.</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HOT Finance Luxembourg SARL</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HOT Finance Luxembourg, LLC</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HOT Global Holding SCS</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HOT International Finance SARL</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HOT International Holding S.A.R.L., Luxembourg, Zurich Branch</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HOT International Holding SARL</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HOT Luxembourg Holding SARL</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HOT Ventures LLC</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Hotel Gym Ventures, LLC</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Hotel Investors of Michigan, Inc.</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Hotel Investors of Nebraska, Inc.</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Nebraska</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Hotel Macenas Sl (Joint Venture)</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Spain</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Hoteles de Chile S.A. (Joint Venture)</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Chile</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Hoteles Sheraton del Peru S.A.C</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Peru</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Hoteles Sheraton, S. de R.L. de C.V.</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Hudson Sheraton Corporation LLC</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Hunt Valley Courtyard, Inc.</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IDF Enterprises LLC</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Inter Heritage (M) Sdn. Bhd.</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Malaysia</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International Hotel Licensing Company (India Tax Registration)</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India</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International Hotel Licensing Company (Jordan Tax Registration)</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Jordan</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International Hotel Licensing Company (Kuwait Tax Registration)</w:t>
            </w:r>
          </w:p>
        </w:tc>
        <w:tc>
          <w:tcPr>
            <w:tcW w:w="5860" w:type="dxa"/>
            <w:vAlign w:val="bottom"/>
            <w:tcBorders>
              <w:bottom w:val="single" w:sz="8" w:color="C0C0C0"/>
            </w:tcBorders>
            <w:gridSpan w:val="3"/>
          </w:tcPr>
          <w:p>
            <w:pPr>
              <w:ind w:left="3000"/>
              <w:spacing w:after="0"/>
              <w:rPr>
                <w:sz w:val="20"/>
                <w:szCs w:val="20"/>
                <w:color w:val="auto"/>
              </w:rPr>
            </w:pPr>
            <w:r>
              <w:rPr>
                <w:rFonts w:ascii="Arial" w:cs="Arial" w:eastAsia="Arial" w:hAnsi="Arial"/>
                <w:sz w:val="18"/>
                <w:szCs w:val="18"/>
                <w:color w:val="auto"/>
              </w:rPr>
              <w:t>Kuwait</w:t>
            </w:r>
          </w:p>
        </w:tc>
        <w:tc>
          <w:tcPr>
            <w:tcW w:w="20" w:type="dxa"/>
            <w:vAlign w:val="bottom"/>
          </w:tcPr>
          <w:p>
            <w:pPr>
              <w:spacing w:after="0"/>
              <w:rPr>
                <w:sz w:val="19"/>
                <w:szCs w:val="19"/>
                <w:color w:val="auto"/>
              </w:rPr>
            </w:pPr>
          </w:p>
        </w:tc>
      </w:tr>
      <w:tr>
        <w:trPr>
          <w:trHeight w:val="84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000" w:type="dxa"/>
            <w:vAlign w:val="bottom"/>
          </w:tcPr>
          <w:p>
            <w:pPr>
              <w:ind w:left="220"/>
              <w:spacing w:after="0"/>
              <w:rPr>
                <w:sz w:val="20"/>
                <w:szCs w:val="20"/>
                <w:color w:val="auto"/>
              </w:rPr>
            </w:pPr>
            <w:r>
              <w:rPr>
                <w:rFonts w:ascii="Arial" w:cs="Arial" w:eastAsia="Arial" w:hAnsi="Arial"/>
                <w:sz w:val="18"/>
                <w:szCs w:val="18"/>
                <w:color w:val="auto"/>
              </w:rPr>
              <w:t>4</w:t>
            </w:r>
          </w:p>
        </w:tc>
        <w:tc>
          <w:tcPr>
            <w:tcW w:w="2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20"/>
          </w:cols>
          <w:pgMar w:left="340" w:top="121" w:right="3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80" w:type="dxa"/>
            <w:vAlign w:val="bottom"/>
            <w:gridSpan w:val="3"/>
          </w:tcPr>
          <w:p>
            <w:pPr>
              <w:ind w:left="2080"/>
              <w:spacing w:after="0"/>
              <w:rPr>
                <w:sz w:val="20"/>
                <w:szCs w:val="20"/>
                <w:color w:val="auto"/>
              </w:rPr>
            </w:pPr>
            <w:r>
              <w:rPr>
                <w:rFonts w:ascii="Arial" w:cs="Arial" w:eastAsia="Arial" w:hAnsi="Arial"/>
                <w:sz w:val="18"/>
                <w:szCs w:val="18"/>
                <w:b w:val="1"/>
                <w:bCs w:val="1"/>
                <w:color w:val="auto"/>
                <w:w w:val="91"/>
              </w:rPr>
              <w:t>Exhibit 21</w:t>
            </w:r>
          </w:p>
        </w:tc>
      </w:tr>
      <w:tr>
        <w:trPr>
          <w:trHeight w:val="864"/>
        </w:trPr>
        <w:tc>
          <w:tcPr>
            <w:tcW w:w="7700" w:type="dxa"/>
            <w:vAlign w:val="bottom"/>
            <w:gridSpan w:val="3"/>
          </w:tcPr>
          <w:p>
            <w:pPr>
              <w:ind w:left="20"/>
              <w:spacing w:after="0"/>
              <w:rPr>
                <w:sz w:val="20"/>
                <w:szCs w:val="20"/>
                <w:color w:val="auto"/>
              </w:rPr>
            </w:pPr>
            <w:r>
              <w:rPr>
                <w:rFonts w:ascii="Arial" w:cs="Arial" w:eastAsia="Arial" w:hAnsi="Arial"/>
                <w:sz w:val="18"/>
                <w:szCs w:val="18"/>
                <w:b w:val="1"/>
                <w:bCs w:val="1"/>
                <w:color w:val="auto"/>
              </w:rPr>
              <w:t>Entity Name</w:t>
            </w:r>
          </w:p>
        </w:tc>
        <w:tc>
          <w:tcPr>
            <w:tcW w:w="3520" w:type="dxa"/>
            <w:vAlign w:val="bottom"/>
            <w:gridSpan w:val="4"/>
          </w:tcPr>
          <w:p>
            <w:pPr>
              <w:ind w:left="640"/>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6700" w:type="dxa"/>
            <w:vAlign w:val="bottom"/>
            <w:tcBorders>
              <w:bottom w:val="single" w:sz="8" w:color="C0C0C0"/>
            </w:tcBorders>
          </w:tcPr>
          <w:p>
            <w:pPr>
              <w:spacing w:after="0" w:line="20" w:lineRule="exact"/>
              <w:rPr>
                <w:sz w:val="1"/>
                <w:szCs w:val="1"/>
                <w:color w:val="auto"/>
              </w:rPr>
            </w:pPr>
          </w:p>
        </w:tc>
        <w:tc>
          <w:tcPr>
            <w:tcW w:w="64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62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International Hotel Licensing Company (Qatar Tax Registration)</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Qatar</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International Hotel Licensing Company (Saudi Arabia Tax Registration)</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Saudi Arabia</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International Hotel Licensing Company S.à r.l, Luxembourg, Zurich Branch</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International Hotel Licensing Company S.àr.l.</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International Luxury Hotels (Singapore) Pte. Limited</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Singapore</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International Tourism Management Services, LLC</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Inversiones ECA, S.A. de C.V.</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ITT Corporation Split Dollar Life/Death Benefits Trust</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New York</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Jamaica Grande Limited - (Joint Venture)</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Jamaica</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Japan Hospitality Service Company</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Japan Hotel Management Company</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JG's Vancouver Market Inc.</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Kansas Hospitality Services, Inc.</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Kansas</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Koorshevel Ltd.</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Israel</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KW Beach Suites Limited Partnership</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LAX Properties, LLC</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Le Centre Sheraton Limited Partnership</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Leipzig Marriott Hotelmanagement GmbH</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LF, South Beach, LLC</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LHI (MYANMAR) CO., LTD.</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Myanmar</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LHI Rwanda Ltd</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Rwanda</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Limited Liability Company "CYBM Voznesenkiy Hotel Leasing"</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Limited Liability Company "Renaissance Samara Hotel Leasing"</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Limited Liability Company "Renaissance St. Petersburg Hotel Leasing"</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Limited Liability Company "St. Petersburg CY Hotel Leasing"</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Limited Liability Company Marriott Novy Arbat Hotel Leasing</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LLC MHR Nizhny Novgorod Hotel Management</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LM IPCO (Italy) LLC</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Lottco I, LLC</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Lottco II, LLC</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 Hotels Management Peru S.A.C.</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Peru</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 International Hotels N.V.</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Curacao</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Canada, ULC</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China Hotels Limited</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China Hotels Limited (China Registration)</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Finance, LLC</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Holding of Luxembourg S.àr.l.</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 Leasing South Africa (Pty) Ltd (f/k/a PH Hunters Rest (Pty) Ltd)</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South Africa</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 Management of Bolivia S.R.L.</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Bolivia</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 Management of Czech Republic s.r.o.</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Czech Republic</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&amp; Resorts (Thailand) Limited</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Thailand</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(Barbados) Limited</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Barbados</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(China) International Management of Hong Kong Limited</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(China) International Management of Hong Kong Limited (China Tax registration)</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Broad-Based Ownership Trust</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South Africa</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Cape Town (Pty) Ltd</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South Africa</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Design &amp; Construction Hong Kong Limited</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(Gabon) SARL</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Gabon</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Company of Jamaica Limited</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Jamaica</w:t>
            </w:r>
          </w:p>
        </w:tc>
        <w:tc>
          <w:tcPr>
            <w:tcW w:w="20" w:type="dxa"/>
            <w:vAlign w:val="bottom"/>
          </w:tcPr>
          <w:p>
            <w:pPr>
              <w:spacing w:after="0"/>
              <w:rPr>
                <w:sz w:val="19"/>
                <w:szCs w:val="19"/>
                <w:color w:val="auto"/>
              </w:rPr>
            </w:pPr>
          </w:p>
        </w:tc>
      </w:tr>
      <w:tr>
        <w:trPr>
          <w:trHeight w:val="223"/>
        </w:trPr>
        <w:tc>
          <w:tcPr>
            <w:tcW w:w="77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Design &amp; Construction Services, Inc.</w:t>
            </w:r>
          </w:p>
        </w:tc>
        <w:tc>
          <w:tcPr>
            <w:tcW w:w="3500" w:type="dxa"/>
            <w:vAlign w:val="bottom"/>
            <w:tcBorders>
              <w:bottom w:val="single" w:sz="8" w:color="C0C0C0"/>
            </w:tcBorders>
            <w:gridSpan w:val="3"/>
          </w:tcPr>
          <w:p>
            <w:pPr>
              <w:ind w:left="6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20"/>
          </w:cols>
          <w:pgMar w:left="340" w:top="121" w:right="33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80" w:type="dxa"/>
            <w:vAlign w:val="bottom"/>
            <w:gridSpan w:val="3"/>
          </w:tcPr>
          <w:p>
            <w:pPr>
              <w:ind w:left="2080"/>
              <w:spacing w:after="0"/>
              <w:rPr>
                <w:sz w:val="20"/>
                <w:szCs w:val="20"/>
                <w:color w:val="auto"/>
              </w:rPr>
            </w:pPr>
            <w:r>
              <w:rPr>
                <w:rFonts w:ascii="Arial" w:cs="Arial" w:eastAsia="Arial" w:hAnsi="Arial"/>
                <w:sz w:val="18"/>
                <w:szCs w:val="18"/>
                <w:b w:val="1"/>
                <w:bCs w:val="1"/>
                <w:color w:val="auto"/>
                <w:w w:val="91"/>
              </w:rPr>
              <w:t>Exhibit 21</w:t>
            </w:r>
          </w:p>
        </w:tc>
      </w:tr>
      <w:tr>
        <w:trPr>
          <w:trHeight w:val="864"/>
        </w:trPr>
        <w:tc>
          <w:tcPr>
            <w:tcW w:w="7420" w:type="dxa"/>
            <w:vAlign w:val="bottom"/>
            <w:gridSpan w:val="3"/>
          </w:tcPr>
          <w:p>
            <w:pPr>
              <w:ind w:left="20"/>
              <w:spacing w:after="0"/>
              <w:rPr>
                <w:sz w:val="20"/>
                <w:szCs w:val="20"/>
                <w:color w:val="auto"/>
              </w:rPr>
            </w:pPr>
            <w:r>
              <w:rPr>
                <w:rFonts w:ascii="Arial" w:cs="Arial" w:eastAsia="Arial" w:hAnsi="Arial"/>
                <w:sz w:val="18"/>
                <w:szCs w:val="18"/>
                <w:b w:val="1"/>
                <w:bCs w:val="1"/>
                <w:color w:val="auto"/>
              </w:rPr>
              <w:t>Entity Name</w:t>
            </w:r>
          </w:p>
        </w:tc>
        <w:tc>
          <w:tcPr>
            <w:tcW w:w="3800" w:type="dxa"/>
            <w:vAlign w:val="bottom"/>
            <w:gridSpan w:val="4"/>
          </w:tcPr>
          <w:p>
            <w:pPr>
              <w:ind w:left="920"/>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6420" w:type="dxa"/>
            <w:vAlign w:val="bottom"/>
            <w:tcBorders>
              <w:bottom w:val="single" w:sz="8" w:color="C0C0C0"/>
            </w:tcBorders>
          </w:tcPr>
          <w:p>
            <w:pPr>
              <w:spacing w:after="0" w:line="20" w:lineRule="exact"/>
              <w:rPr>
                <w:sz w:val="1"/>
                <w:szCs w:val="1"/>
                <w:color w:val="auto"/>
              </w:rPr>
            </w:pPr>
          </w:p>
        </w:tc>
        <w:tc>
          <w:tcPr>
            <w:tcW w:w="92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62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Lodging Ltd.</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Bermuda</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Lodging Ltd. (Cayman Islands Branch)</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Cayman Islands</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Lodging Ltd. (Panama Branch)</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Panama</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Management (Bonaire) B.V.</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Bonaire, Sint Eustatius and Saba</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Management (Oman) LLC</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Oman</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Management Austria GmbH</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Austria</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Management Belgium SPRL</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Belgium</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Management Colombia S.A.S.</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Colombia</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Management Company B.V.</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Management Company B.V. (Azerbaijan Branch)</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Azerbaijan</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Management Company B.V. (China Tax Registration)</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Management Company B.V. (Egypt Branch)</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Egypt</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Management Company B.V. (El Salvador Branch)</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El Salvador</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Management Company B.V. (Libya Branch)</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Libya</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Management Company B.V. (Malaysia Branch)</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Malaysia</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Management Company B.V. (Portuguese Branch)</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Portugal</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Management Company B.V. (Saudi Arabia Tax Registration)</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Saudi Arabia</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Management Company B.V., Taiwan Branch</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Taiwan</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Management Company B.V., útibú á Íslandi (Iceland Branch)</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Iceland</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Management Italy Srl.</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Italy</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Management Mexico, S.A. de C.V.</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Management of Aruba N.V.</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Aruba</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Management of Guatemala, S.A.</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Guatemala</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Management of Saudi Arabia Limited</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Saudi Arabia</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Management St. Kitts Limited</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Saint Kitts and Nevis</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Management Switzerland GmbH</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MEA-KSA Limited</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Saudi Arabia</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MEA-QFC LLC</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Qatar</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of Canada, ULC</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of France SAS</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of Hong Kong Limited</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of Hong Kong Limited</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of Hong Kong Limited (China Registration)</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of Hong Kong Limited (Korea Tax Registration)</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of Hong Kong Limited (Macao Branch)</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Macao</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of Japan, Inc.</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of Puerto Rico, Inc.</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Puerto Rico</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of Spain S.L.U.</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Spain</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of Tunisia SARL</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Tunisia</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OR Tambo (Pty) Ltd</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South Africa</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Sales of Israel Ltd.</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Israel</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Saudi Arabia Limited</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Saudi Arabia</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South Africa (Pty) Ltd</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South Africa</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International Sweden AB</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Sweden</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Irish Holding Company Limited</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Ireland</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Management (BVI) Limited</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Virgin Islands, British</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Management (BVI) Limited (Guyana Branch)</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Guyana</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Management (BVI) Limited (Haiti Branch)</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Haiti</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Management (BVI) Limited Ogranak Beograd</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Serbia</w:t>
            </w:r>
          </w:p>
        </w:tc>
        <w:tc>
          <w:tcPr>
            <w:tcW w:w="20" w:type="dxa"/>
            <w:vAlign w:val="bottom"/>
          </w:tcPr>
          <w:p>
            <w:pPr>
              <w:spacing w:after="0"/>
              <w:rPr>
                <w:sz w:val="19"/>
                <w:szCs w:val="19"/>
                <w:color w:val="auto"/>
              </w:rPr>
            </w:pPr>
          </w:p>
        </w:tc>
      </w:tr>
      <w:tr>
        <w:trPr>
          <w:trHeight w:val="223"/>
        </w:trPr>
        <w:tc>
          <w:tcPr>
            <w:tcW w:w="74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Management (Ghana) Limited</w:t>
            </w:r>
          </w:p>
        </w:tc>
        <w:tc>
          <w:tcPr>
            <w:tcW w:w="3780" w:type="dxa"/>
            <w:vAlign w:val="bottom"/>
            <w:tcBorders>
              <w:bottom w:val="single" w:sz="8" w:color="C0C0C0"/>
            </w:tcBorders>
            <w:gridSpan w:val="3"/>
          </w:tcPr>
          <w:p>
            <w:pPr>
              <w:ind w:left="920"/>
              <w:spacing w:after="0"/>
              <w:rPr>
                <w:sz w:val="20"/>
                <w:szCs w:val="20"/>
                <w:color w:val="auto"/>
              </w:rPr>
            </w:pPr>
            <w:r>
              <w:rPr>
                <w:rFonts w:ascii="Arial" w:cs="Arial" w:eastAsia="Arial" w:hAnsi="Arial"/>
                <w:sz w:val="18"/>
                <w:szCs w:val="18"/>
                <w:color w:val="auto"/>
              </w:rPr>
              <w:t>Ghana</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20"/>
          </w:cols>
          <w:pgMar w:left="340" w:top="121" w:right="339" w:bottom="144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80" w:type="dxa"/>
            <w:vAlign w:val="bottom"/>
            <w:gridSpan w:val="3"/>
          </w:tcPr>
          <w:p>
            <w:pPr>
              <w:ind w:left="2080"/>
              <w:spacing w:after="0"/>
              <w:rPr>
                <w:sz w:val="20"/>
                <w:szCs w:val="20"/>
                <w:color w:val="auto"/>
              </w:rPr>
            </w:pPr>
            <w:r>
              <w:rPr>
                <w:rFonts w:ascii="Arial" w:cs="Arial" w:eastAsia="Arial" w:hAnsi="Arial"/>
                <w:sz w:val="18"/>
                <w:szCs w:val="18"/>
                <w:b w:val="1"/>
                <w:bCs w:val="1"/>
                <w:color w:val="auto"/>
                <w:w w:val="91"/>
              </w:rPr>
              <w:t>Exhibit 21</w:t>
            </w:r>
          </w:p>
        </w:tc>
      </w:tr>
      <w:tr>
        <w:trPr>
          <w:trHeight w:val="864"/>
        </w:trPr>
        <w:tc>
          <w:tcPr>
            <w:tcW w:w="7520" w:type="dxa"/>
            <w:vAlign w:val="bottom"/>
            <w:gridSpan w:val="3"/>
          </w:tcPr>
          <w:p>
            <w:pPr>
              <w:ind w:left="20"/>
              <w:spacing w:after="0"/>
              <w:rPr>
                <w:sz w:val="20"/>
                <w:szCs w:val="20"/>
                <w:color w:val="auto"/>
              </w:rPr>
            </w:pPr>
            <w:r>
              <w:rPr>
                <w:rFonts w:ascii="Arial" w:cs="Arial" w:eastAsia="Arial" w:hAnsi="Arial"/>
                <w:sz w:val="18"/>
                <w:szCs w:val="18"/>
                <w:b w:val="1"/>
                <w:bCs w:val="1"/>
                <w:color w:val="auto"/>
              </w:rPr>
              <w:t>Entity Name</w:t>
            </w:r>
          </w:p>
        </w:tc>
        <w:tc>
          <w:tcPr>
            <w:tcW w:w="3700" w:type="dxa"/>
            <w:vAlign w:val="bottom"/>
            <w:gridSpan w:val="4"/>
          </w:tcPr>
          <w:p>
            <w:pPr>
              <w:ind w:left="820"/>
              <w:spacing w:after="0"/>
              <w:rPr>
                <w:sz w:val="20"/>
                <w:szCs w:val="20"/>
                <w:color w:val="auto"/>
              </w:rPr>
            </w:pPr>
            <w:r>
              <w:rPr>
                <w:rFonts w:ascii="Arial" w:cs="Arial" w:eastAsia="Arial" w:hAnsi="Arial"/>
                <w:sz w:val="18"/>
                <w:szCs w:val="18"/>
                <w:b w:val="1"/>
                <w:bCs w:val="1"/>
                <w:color w:val="auto"/>
              </w:rPr>
              <w:t>Jurisdiction of Incorporation</w:t>
            </w:r>
          </w:p>
        </w:tc>
      </w:tr>
      <w:tr>
        <w:trPr>
          <w:trHeight w:val="21"/>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6520" w:type="dxa"/>
            <w:vAlign w:val="bottom"/>
            <w:tcBorders>
              <w:bottom w:val="single" w:sz="8" w:color="C0C0C0"/>
            </w:tcBorders>
          </w:tcPr>
          <w:p>
            <w:pPr>
              <w:spacing w:after="0" w:line="20" w:lineRule="exact"/>
              <w:rPr>
                <w:sz w:val="1"/>
                <w:szCs w:val="1"/>
                <w:color w:val="auto"/>
              </w:rPr>
            </w:pPr>
          </w:p>
        </w:tc>
        <w:tc>
          <w:tcPr>
            <w:tcW w:w="82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62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Management Bermuda Ltd.</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Bermuda</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Management MEA Limited</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United Arab Emirates</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Management St. Lucia Limited</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Saint Lucia</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of Costa Rica Management Company, Sociedad de Responsabilidad Limitada</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Costa Rica</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of Turks &amp; Caicos Ltd</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Turks and Caicos Islands</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Poland sp. z o.o.</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Poland</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Hotels Uluslararasi Otel Isletmeciligi Limited Sirketi</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Turkey</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International Holdings of Canada, ULC</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International Management Nigeria Limited</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Nigeria</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Lodging (CMB) Co., Ltd.</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Cambodia</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MANAGEMENT COMPANY MACEDONIA DOOEL Skopje</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North Macedonia, Republic of</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Reservations Limited</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Ireland</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Swiss Management Company GmbH</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Swiss Management Company GmbH (Morocco Branch)</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Morocco</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Swiss Management Company GmbH (New Zealand Branch)</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New Zealand</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Swiss Management Company GmbH, Ethiopia International Contracting Office</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Ethiopia</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 Switzerland Holding Company GmbH</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LuxuryHotels International of Ecuador Cia. Ltda.</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Ecuador</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M.H.S. Realty Sales, LLC</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Malta Regional Hospitality Licensing Limited</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Malta</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Manhattan Sheraton Corporation</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New York</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 Hoteis de Sao Paulo Ltda.</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Marceau Investissements SA</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Marquis Insurance Corporation</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Hawaii</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(Schweiz) GmbH</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Acquisition 2002 Subsidiary, LLC</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Acquisition 2002, LLC</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Argentina Licensing Company S.A.</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Argentina</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BRASIL LICENCIAMENTO LTDA</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BRASIL SERVICOS LTDA</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Cayman Islands Licensing Company I, Ltd.</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Cayman Islands</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Cayman Islands Licensing Company II, Ltd.</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Cayman Islands</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Cayman Islands Licensing Company III, Ltd.</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Cayman Islands</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Cayman Islands Licensing Company IV, Ltd.</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Cayman Islands</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Cayman Islands Licensing Company VI, Ltd.</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Cayman Islands</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Cayman Islands Licensing Company VIII, Ltd.</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Cayman Islands</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Cayman Islands Licensing Company X, Ltd.</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Cayman Islands</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Chile Licensing Company Limitada</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Chile</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Chile S.A.</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Chile</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Claims Services Corporation</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Crystal City Manager, LLC</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Curacao N.V.</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Curacao</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De Honduras, Sociedad de Responsabilidad Limitada</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Honduras</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DH Holding AG</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Ecuador Licensing Company MLC CIA LTDA</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Ecuador</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European Holdings Limited - (Joint Venture)</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Jersey</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European Hotel Operating Company Limited - (Joint Venture)</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Fifth Avenue, LLC</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France Group Companies SAS</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Hotel Holding GmbH</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23"/>
        </w:trPr>
        <w:tc>
          <w:tcPr>
            <w:tcW w:w="75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Hotel Management Company (Virgin Islands), Inc.</w:t>
            </w:r>
          </w:p>
        </w:tc>
        <w:tc>
          <w:tcPr>
            <w:tcW w:w="3680" w:type="dxa"/>
            <w:vAlign w:val="bottom"/>
            <w:tcBorders>
              <w:bottom w:val="single" w:sz="8" w:color="C0C0C0"/>
            </w:tcBorders>
            <w:gridSpan w:val="3"/>
          </w:tcPr>
          <w:p>
            <w:pPr>
              <w:ind w:left="820"/>
              <w:spacing w:after="0"/>
              <w:rPr>
                <w:sz w:val="20"/>
                <w:szCs w:val="20"/>
                <w:color w:val="auto"/>
              </w:rPr>
            </w:pPr>
            <w:r>
              <w:rPr>
                <w:rFonts w:ascii="Arial" w:cs="Arial" w:eastAsia="Arial" w:hAnsi="Arial"/>
                <w:sz w:val="18"/>
                <w:szCs w:val="18"/>
                <w:color w:val="auto"/>
              </w:rPr>
              <w:t>Virgin Islands, U.S.</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20"/>
          </w:cols>
          <w:pgMar w:left="340" w:top="121" w:right="339" w:bottom="144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80" w:type="dxa"/>
            <w:vAlign w:val="bottom"/>
            <w:gridSpan w:val="3"/>
          </w:tcPr>
          <w:p>
            <w:pPr>
              <w:ind w:left="2080"/>
              <w:spacing w:after="0"/>
              <w:rPr>
                <w:sz w:val="20"/>
                <w:szCs w:val="20"/>
                <w:color w:val="auto"/>
              </w:rPr>
            </w:pPr>
            <w:r>
              <w:rPr>
                <w:rFonts w:ascii="Arial" w:cs="Arial" w:eastAsia="Arial" w:hAnsi="Arial"/>
                <w:sz w:val="18"/>
                <w:szCs w:val="18"/>
                <w:b w:val="1"/>
                <w:bCs w:val="1"/>
                <w:color w:val="auto"/>
                <w:w w:val="91"/>
              </w:rPr>
              <w:t>Exhibit 21</w:t>
            </w:r>
          </w:p>
        </w:tc>
      </w:tr>
      <w:tr>
        <w:trPr>
          <w:trHeight w:val="864"/>
        </w:trPr>
        <w:tc>
          <w:tcPr>
            <w:tcW w:w="7320" w:type="dxa"/>
            <w:vAlign w:val="bottom"/>
            <w:gridSpan w:val="3"/>
          </w:tcPr>
          <w:p>
            <w:pPr>
              <w:ind w:left="20"/>
              <w:spacing w:after="0"/>
              <w:rPr>
                <w:sz w:val="20"/>
                <w:szCs w:val="20"/>
                <w:color w:val="auto"/>
              </w:rPr>
            </w:pPr>
            <w:r>
              <w:rPr>
                <w:rFonts w:ascii="Arial" w:cs="Arial" w:eastAsia="Arial" w:hAnsi="Arial"/>
                <w:sz w:val="18"/>
                <w:szCs w:val="18"/>
                <w:b w:val="1"/>
                <w:bCs w:val="1"/>
                <w:color w:val="auto"/>
              </w:rPr>
              <w:t>Entity Name</w:t>
            </w:r>
          </w:p>
        </w:tc>
        <w:tc>
          <w:tcPr>
            <w:tcW w:w="3900" w:type="dxa"/>
            <w:vAlign w:val="bottom"/>
            <w:gridSpan w:val="4"/>
          </w:tcPr>
          <w:p>
            <w:pPr>
              <w:ind w:left="1020"/>
              <w:spacing w:after="0"/>
              <w:rPr>
                <w:sz w:val="20"/>
                <w:szCs w:val="20"/>
                <w:color w:val="auto"/>
              </w:rPr>
            </w:pPr>
            <w:r>
              <w:rPr>
                <w:rFonts w:ascii="Arial" w:cs="Arial" w:eastAsia="Arial" w:hAnsi="Arial"/>
                <w:sz w:val="18"/>
                <w:szCs w:val="18"/>
                <w:b w:val="1"/>
                <w:bCs w:val="1"/>
                <w:color w:val="auto"/>
              </w:rPr>
              <w:t>Jurisdiction of Incorporation</w:t>
            </w:r>
          </w:p>
        </w:tc>
      </w:tr>
      <w:tr>
        <w:trPr>
          <w:trHeight w:val="21"/>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6320" w:type="dxa"/>
            <w:vAlign w:val="bottom"/>
            <w:tcBorders>
              <w:bottom w:val="single" w:sz="8" w:color="C0C0C0"/>
            </w:tcBorders>
          </w:tcPr>
          <w:p>
            <w:pPr>
              <w:spacing w:after="0" w:line="20" w:lineRule="exact"/>
              <w:rPr>
                <w:sz w:val="1"/>
                <w:szCs w:val="1"/>
                <w:color w:val="auto"/>
              </w:rPr>
            </w:pPr>
          </w:p>
        </w:tc>
        <w:tc>
          <w:tcPr>
            <w:tcW w:w="102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62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Hotel Services Berlin GmbH</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Hotel Services, Inc.</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Hotel-Betriebsgesellschaft, m.b.H</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Austria</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Hotelmanagement Cologne GmbH</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Hotelmanagement GmbH</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Hotels Denmark A/S</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Denmark</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Hotels Hellas, S.A.</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Greece</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Hotels India Private Limited</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India</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Hotels International B.V.</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Hotels International B.V. (Armenia Branch)</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Armenia</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Hotels International B.V. (Caracas, Venezuela Branch)</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Venezuela, Bolivarian Republic of</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Hotels International B.V. (China Registration)</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Hotels International B.V. (Dominican Republic Branch)</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Dominican Republic</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Hotels International B.V. (Egypt Branch)</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Egypt</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Hotels International B.V. (Jordan Branch)</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Jordan</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Hotels International B.V. (Kuwait Tax Registration)</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Kuwait</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Hotels International B.V. (Portugal Branch)</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Portugal</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Hotels International B.V. (Saudi Arabia Tax Registration)</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Saudi Arabia</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Hotels International B.V. (Seoul MEA Branch)</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Hotels International B.V. (Seoul, South Korea Branch)</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Hotels International Limited</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Hotels International Limited (Belgium Branch)</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Belgium</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Hotels International Limited (French Branch - Liasion Office)</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Hotels International Limited (Representative Office)</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Spain</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Hotels Limited</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Hotels Maldives Private Limited</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Maldives</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Hotels Management France SAS</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Hotels of Amsterdam, B.V.</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Hotels, S.A. de C.V.</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Hurghada Management, Inc.</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Hurghada Management, Inc. (Egypt Branch)</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Egypt</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Administrative Services, Inc.</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Capital Corporation</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Construction Services, Inc.</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Design &amp; Construction Services, Inc.</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Design &amp; Construction Services, Inc. (India Registration)</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India</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Design &amp; Construction Services, Inc. (UK Establishment)</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Design and Construction Services, Inc. (Qatar Tax Registration)</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Qatar</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Design and Construction Services, Inc., Kuwait Tax Registration</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Kuwait</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Finance Company B.V.</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Holding Company B.V., Bertrange, Zurich Branch</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Holding Company B.V./S.àr.l.</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Hotels, Inc.</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Maryland</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Hotels, Inc. (Argentina Branch)</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Argentina</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Hotels, Inc. (Ecuador Branch)</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Ecuador</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Hotels, Inc. (India Registration)</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India</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Hotels, Inc. (Malaysia Branch)</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Malaysia</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Hotels, Inc. (Philippine Branch)</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Philippines</w:t>
            </w:r>
          </w:p>
        </w:tc>
        <w:tc>
          <w:tcPr>
            <w:tcW w:w="20" w:type="dxa"/>
            <w:vAlign w:val="bottom"/>
          </w:tcPr>
          <w:p>
            <w:pPr>
              <w:spacing w:after="0"/>
              <w:rPr>
                <w:sz w:val="19"/>
                <w:szCs w:val="19"/>
                <w:color w:val="auto"/>
              </w:rPr>
            </w:pPr>
          </w:p>
        </w:tc>
      </w:tr>
      <w:tr>
        <w:trPr>
          <w:trHeight w:val="223"/>
        </w:trPr>
        <w:tc>
          <w:tcPr>
            <w:tcW w:w="73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Hotels, Inc. (Saudi Arabia Tax Registration)</w:t>
            </w:r>
          </w:p>
        </w:tc>
        <w:tc>
          <w:tcPr>
            <w:tcW w:w="3880" w:type="dxa"/>
            <w:vAlign w:val="bottom"/>
            <w:tcBorders>
              <w:bottom w:val="single" w:sz="8" w:color="C0C0C0"/>
            </w:tcBorders>
            <w:gridSpan w:val="3"/>
          </w:tcPr>
          <w:p>
            <w:pPr>
              <w:ind w:left="1020"/>
              <w:spacing w:after="0"/>
              <w:rPr>
                <w:sz w:val="20"/>
                <w:szCs w:val="20"/>
                <w:color w:val="auto"/>
              </w:rPr>
            </w:pPr>
            <w:r>
              <w:rPr>
                <w:rFonts w:ascii="Arial" w:cs="Arial" w:eastAsia="Arial" w:hAnsi="Arial"/>
                <w:sz w:val="18"/>
                <w:szCs w:val="18"/>
                <w:color w:val="auto"/>
              </w:rPr>
              <w:t>Saudi Arabia</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20"/>
          </w:cols>
          <w:pgMar w:left="340" w:top="121" w:right="339" w:bottom="144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80" w:type="dxa"/>
            <w:vAlign w:val="bottom"/>
            <w:gridSpan w:val="3"/>
          </w:tcPr>
          <w:p>
            <w:pPr>
              <w:ind w:left="2080"/>
              <w:spacing w:after="0"/>
              <w:rPr>
                <w:sz w:val="20"/>
                <w:szCs w:val="20"/>
                <w:color w:val="auto"/>
              </w:rPr>
            </w:pPr>
            <w:r>
              <w:rPr>
                <w:rFonts w:ascii="Arial" w:cs="Arial" w:eastAsia="Arial" w:hAnsi="Arial"/>
                <w:sz w:val="18"/>
                <w:szCs w:val="18"/>
                <w:b w:val="1"/>
                <w:bCs w:val="1"/>
                <w:color w:val="auto"/>
                <w:w w:val="91"/>
              </w:rPr>
              <w:t>Exhibit 21</w:t>
            </w:r>
          </w:p>
        </w:tc>
      </w:tr>
      <w:tr>
        <w:trPr>
          <w:trHeight w:val="864"/>
        </w:trPr>
        <w:tc>
          <w:tcPr>
            <w:tcW w:w="7800" w:type="dxa"/>
            <w:vAlign w:val="bottom"/>
            <w:gridSpan w:val="3"/>
          </w:tcPr>
          <w:p>
            <w:pPr>
              <w:ind w:left="20"/>
              <w:spacing w:after="0"/>
              <w:rPr>
                <w:sz w:val="20"/>
                <w:szCs w:val="20"/>
                <w:color w:val="auto"/>
              </w:rPr>
            </w:pPr>
            <w:r>
              <w:rPr>
                <w:rFonts w:ascii="Arial" w:cs="Arial" w:eastAsia="Arial" w:hAnsi="Arial"/>
                <w:sz w:val="18"/>
                <w:szCs w:val="18"/>
                <w:b w:val="1"/>
                <w:bCs w:val="1"/>
                <w:color w:val="auto"/>
              </w:rPr>
              <w:t>Entity Name</w:t>
            </w:r>
          </w:p>
        </w:tc>
        <w:tc>
          <w:tcPr>
            <w:tcW w:w="3420" w:type="dxa"/>
            <w:vAlign w:val="bottom"/>
            <w:gridSpan w:val="4"/>
          </w:tcPr>
          <w:p>
            <w:pPr>
              <w:ind w:left="540"/>
              <w:spacing w:after="0"/>
              <w:rPr>
                <w:sz w:val="20"/>
                <w:szCs w:val="20"/>
                <w:color w:val="auto"/>
              </w:rPr>
            </w:pPr>
            <w:r>
              <w:rPr>
                <w:rFonts w:ascii="Arial" w:cs="Arial" w:eastAsia="Arial" w:hAnsi="Arial"/>
                <w:sz w:val="18"/>
                <w:szCs w:val="18"/>
                <w:b w:val="1"/>
                <w:bCs w:val="1"/>
                <w:color w:val="auto"/>
              </w:rPr>
              <w:t>Jurisdiction of Incorporation</w:t>
            </w:r>
          </w:p>
        </w:tc>
      </w:tr>
      <w:tr>
        <w:trPr>
          <w:trHeight w:val="21"/>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6800" w:type="dxa"/>
            <w:vAlign w:val="bottom"/>
            <w:tcBorders>
              <w:bottom w:val="single" w:sz="8" w:color="C0C0C0"/>
            </w:tcBorders>
          </w:tcPr>
          <w:p>
            <w:pPr>
              <w:spacing w:after="0" w:line="20" w:lineRule="exact"/>
              <w:rPr>
                <w:sz w:val="1"/>
                <w:szCs w:val="1"/>
                <w:color w:val="auto"/>
              </w:rPr>
            </w:pPr>
          </w:p>
        </w:tc>
        <w:tc>
          <w:tcPr>
            <w:tcW w:w="54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62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w w:val="98"/>
              </w:rPr>
              <w:t>Marriott International Hotels, Inc. Maryland USA Sucursala Bucuresti Romania (Romanian Branch)</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Romania</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JBS Corporation</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Licensing Company B.V.</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Licensing Company, B.V. (India Tax Registration)</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India</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Lodging N.V.</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Curacao</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Management Company B.V.</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Management Company B.V. (Australian Branch)</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Australia</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Management Company B.V. (Courtyard Suwon Branch)</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Management Company B.V. (Dongdaemoon Branch)</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Management Company B.V. (Fairfield Busan Branch)</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Management Company B.V. (Fairfield Busan Songdo Beach Branch)</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Management Company B.V. (Fairfield Yeongdeungpo Branch)</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Management Company B.V. (Magok Branch)</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Management Company B.V. (Namdaemun Branch)</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Management Company B.V. (Seongnam Branch)</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Management Company B.V. (Seoul Branch)</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Management Company BV (China Registration)</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Inc.</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Inc. (India Registration)</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India</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Inc. (Saudi Arabia Tax Registration)</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Saudi Arabia</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International, Inc. (Sucursal en Cuba)</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Cuba</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Inversiones y Servicios Limitada</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Chile</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Jamaica Licensing Company Limited</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Jamaica</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Magenta Holding Company, Inc.</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Market Street Hotel, Inc.</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Mirage City Management, Inc.</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Oak Brook Hills Services, LLC</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P.R. Management Corporation</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Payment Services, LLC</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Payroll Services, LLC</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Peru Licensing Company SRL</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Peru</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Properties (International) Limited</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Ranch Properties, Inc.</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Rewards Subsidiary, Inc.</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Rewards, Inc.</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Rewards, LLC</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Arizona</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RHG Acquisition B.V./S.àr.l.</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Senior Holding Co.</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Sharm El Sheikh Management (Egypt Branch)</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Egypt</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Sharm El Sheikh Management, Inc.</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Switzerland Licensing Company II S.ar.l</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Switzerland Licensing Company S.ar.l</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Switzerland Licensing Company S.ar.l (Nevis branch)</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Saint Kitts and Nevis</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Trinidad &amp; Tobago Limited</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Trinidad and Tobago</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Two Flags Member LLC</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Two Flags, LP</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U.S. Virgin Islands Licensing Company LLC</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Virgin Islands, U.S.</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UK Group Company Limited</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UK Management Company Limited</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9"/>
                <w:szCs w:val="19"/>
                <w:color w:val="auto"/>
              </w:rPr>
            </w:pPr>
          </w:p>
        </w:tc>
      </w:tr>
      <w:tr>
        <w:trPr>
          <w:trHeight w:val="223"/>
        </w:trPr>
        <w:tc>
          <w:tcPr>
            <w:tcW w:w="78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Worldwide Corporation</w:t>
            </w:r>
          </w:p>
        </w:tc>
        <w:tc>
          <w:tcPr>
            <w:tcW w:w="3400" w:type="dxa"/>
            <w:vAlign w:val="bottom"/>
            <w:tcBorders>
              <w:bottom w:val="single" w:sz="8" w:color="C0C0C0"/>
            </w:tcBorders>
            <w:gridSpan w:val="3"/>
          </w:tcPr>
          <w:p>
            <w:pPr>
              <w:ind w:left="540"/>
              <w:spacing w:after="0"/>
              <w:rPr>
                <w:sz w:val="20"/>
                <w:szCs w:val="20"/>
                <w:color w:val="auto"/>
              </w:rPr>
            </w:pPr>
            <w:r>
              <w:rPr>
                <w:rFonts w:ascii="Arial" w:cs="Arial" w:eastAsia="Arial" w:hAnsi="Arial"/>
                <w:sz w:val="18"/>
                <w:szCs w:val="18"/>
                <w:color w:val="auto"/>
              </w:rPr>
              <w:t>Maryland</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20"/>
          </w:cols>
          <w:pgMar w:left="340" w:top="121" w:right="339" w:bottom="144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880" w:type="dxa"/>
            <w:vAlign w:val="bottom"/>
            <w:gridSpan w:val="3"/>
          </w:tcPr>
          <w:p>
            <w:pPr>
              <w:ind w:left="2080"/>
              <w:spacing w:after="0"/>
              <w:rPr>
                <w:sz w:val="20"/>
                <w:szCs w:val="20"/>
                <w:color w:val="auto"/>
              </w:rPr>
            </w:pPr>
            <w:r>
              <w:rPr>
                <w:rFonts w:ascii="Arial" w:cs="Arial" w:eastAsia="Arial" w:hAnsi="Arial"/>
                <w:sz w:val="18"/>
                <w:szCs w:val="18"/>
                <w:b w:val="1"/>
                <w:bCs w:val="1"/>
                <w:color w:val="auto"/>
                <w:w w:val="91"/>
              </w:rPr>
              <w:t>Exhibit 21</w:t>
            </w:r>
          </w:p>
        </w:tc>
      </w:tr>
      <w:tr>
        <w:trPr>
          <w:trHeight w:val="864"/>
        </w:trPr>
        <w:tc>
          <w:tcPr>
            <w:tcW w:w="5100" w:type="dxa"/>
            <w:vAlign w:val="bottom"/>
            <w:gridSpan w:val="3"/>
          </w:tcPr>
          <w:p>
            <w:pPr>
              <w:ind w:left="20"/>
              <w:spacing w:after="0"/>
              <w:rPr>
                <w:sz w:val="20"/>
                <w:szCs w:val="20"/>
                <w:color w:val="auto"/>
              </w:rPr>
            </w:pPr>
            <w:r>
              <w:rPr>
                <w:rFonts w:ascii="Arial" w:cs="Arial" w:eastAsia="Arial" w:hAnsi="Arial"/>
                <w:sz w:val="18"/>
                <w:szCs w:val="18"/>
                <w:b w:val="1"/>
                <w:bCs w:val="1"/>
                <w:color w:val="auto"/>
              </w:rPr>
              <w:t>Entity Name</w:t>
            </w:r>
          </w:p>
        </w:tc>
        <w:tc>
          <w:tcPr>
            <w:tcW w:w="6120" w:type="dxa"/>
            <w:vAlign w:val="bottom"/>
            <w:gridSpan w:val="4"/>
          </w:tcPr>
          <w:p>
            <w:pPr>
              <w:ind w:left="3240"/>
              <w:spacing w:after="0"/>
              <w:rPr>
                <w:sz w:val="20"/>
                <w:szCs w:val="20"/>
                <w:color w:val="auto"/>
              </w:rPr>
            </w:pPr>
            <w:r>
              <w:rPr>
                <w:rFonts w:ascii="Arial" w:cs="Arial" w:eastAsia="Arial" w:hAnsi="Arial"/>
                <w:sz w:val="18"/>
                <w:szCs w:val="18"/>
                <w:b w:val="1"/>
                <w:bCs w:val="1"/>
                <w:color w:val="auto"/>
              </w:rPr>
              <w:t>Jurisdiction of Incorporation</w:t>
            </w:r>
          </w:p>
        </w:tc>
      </w:tr>
      <w:tr>
        <w:trPr>
          <w:trHeight w:val="21"/>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4100" w:type="dxa"/>
            <w:vAlign w:val="bottom"/>
            <w:tcBorders>
              <w:bottom w:val="single" w:sz="8" w:color="C0C0C0"/>
            </w:tcBorders>
          </w:tcPr>
          <w:p>
            <w:pPr>
              <w:spacing w:after="0" w:line="20" w:lineRule="exact"/>
              <w:rPr>
                <w:sz w:val="1"/>
                <w:szCs w:val="1"/>
                <w:color w:val="auto"/>
              </w:rPr>
            </w:pPr>
          </w:p>
        </w:tc>
        <w:tc>
          <w:tcPr>
            <w:tcW w:w="324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62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1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Worldwide Corporation (India Registration)</w:t>
            </w:r>
          </w:p>
        </w:tc>
        <w:tc>
          <w:tcPr>
            <w:tcW w:w="6100" w:type="dxa"/>
            <w:vAlign w:val="bottom"/>
            <w:tcBorders>
              <w:bottom w:val="single" w:sz="8" w:color="C0C0C0"/>
            </w:tcBorders>
            <w:gridSpan w:val="3"/>
          </w:tcPr>
          <w:p>
            <w:pPr>
              <w:ind w:left="3240"/>
              <w:spacing w:after="0"/>
              <w:rPr>
                <w:sz w:val="20"/>
                <w:szCs w:val="20"/>
                <w:color w:val="auto"/>
              </w:rPr>
            </w:pPr>
            <w:r>
              <w:rPr>
                <w:rFonts w:ascii="Arial" w:cs="Arial" w:eastAsia="Arial" w:hAnsi="Arial"/>
                <w:sz w:val="18"/>
                <w:szCs w:val="18"/>
                <w:color w:val="auto"/>
              </w:rPr>
              <w:t>India</w:t>
            </w:r>
          </w:p>
        </w:tc>
        <w:tc>
          <w:tcPr>
            <w:tcW w:w="20" w:type="dxa"/>
            <w:vAlign w:val="bottom"/>
          </w:tcPr>
          <w:p>
            <w:pPr>
              <w:spacing w:after="0"/>
              <w:rPr>
                <w:sz w:val="19"/>
                <w:szCs w:val="19"/>
                <w:color w:val="auto"/>
              </w:rPr>
            </w:pPr>
          </w:p>
        </w:tc>
      </w:tr>
      <w:tr>
        <w:trPr>
          <w:trHeight w:val="223"/>
        </w:trPr>
        <w:tc>
          <w:tcPr>
            <w:tcW w:w="51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Worldwide Corporation (Jordan Branch)</w:t>
            </w:r>
          </w:p>
        </w:tc>
        <w:tc>
          <w:tcPr>
            <w:tcW w:w="6100" w:type="dxa"/>
            <w:vAlign w:val="bottom"/>
            <w:tcBorders>
              <w:bottom w:val="single" w:sz="8" w:color="C0C0C0"/>
            </w:tcBorders>
            <w:gridSpan w:val="3"/>
          </w:tcPr>
          <w:p>
            <w:pPr>
              <w:ind w:left="3240"/>
              <w:spacing w:after="0"/>
              <w:rPr>
                <w:sz w:val="20"/>
                <w:szCs w:val="20"/>
                <w:color w:val="auto"/>
              </w:rPr>
            </w:pPr>
            <w:r>
              <w:rPr>
                <w:rFonts w:ascii="Arial" w:cs="Arial" w:eastAsia="Arial" w:hAnsi="Arial"/>
                <w:sz w:val="18"/>
                <w:szCs w:val="18"/>
                <w:color w:val="auto"/>
              </w:rPr>
              <w:t>Jordan</w:t>
            </w:r>
          </w:p>
        </w:tc>
        <w:tc>
          <w:tcPr>
            <w:tcW w:w="20" w:type="dxa"/>
            <w:vAlign w:val="bottom"/>
          </w:tcPr>
          <w:p>
            <w:pPr>
              <w:spacing w:after="0"/>
              <w:rPr>
                <w:sz w:val="19"/>
                <w:szCs w:val="19"/>
                <w:color w:val="auto"/>
              </w:rPr>
            </w:pPr>
          </w:p>
        </w:tc>
      </w:tr>
      <w:tr>
        <w:trPr>
          <w:trHeight w:val="223"/>
        </w:trPr>
        <w:tc>
          <w:tcPr>
            <w:tcW w:w="51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Worldwide Corporation (Pakistan Tax Registration)</w:t>
            </w:r>
          </w:p>
        </w:tc>
        <w:tc>
          <w:tcPr>
            <w:tcW w:w="6100" w:type="dxa"/>
            <w:vAlign w:val="bottom"/>
            <w:tcBorders>
              <w:bottom w:val="single" w:sz="8" w:color="C0C0C0"/>
            </w:tcBorders>
            <w:gridSpan w:val="3"/>
          </w:tcPr>
          <w:p>
            <w:pPr>
              <w:ind w:left="3240"/>
              <w:spacing w:after="0"/>
              <w:rPr>
                <w:sz w:val="20"/>
                <w:szCs w:val="20"/>
                <w:color w:val="auto"/>
              </w:rPr>
            </w:pPr>
            <w:r>
              <w:rPr>
                <w:rFonts w:ascii="Arial" w:cs="Arial" w:eastAsia="Arial" w:hAnsi="Arial"/>
                <w:sz w:val="18"/>
                <w:szCs w:val="18"/>
                <w:color w:val="auto"/>
              </w:rPr>
              <w:t>Pakistan</w:t>
            </w:r>
          </w:p>
        </w:tc>
        <w:tc>
          <w:tcPr>
            <w:tcW w:w="20" w:type="dxa"/>
            <w:vAlign w:val="bottom"/>
          </w:tcPr>
          <w:p>
            <w:pPr>
              <w:spacing w:after="0"/>
              <w:rPr>
                <w:sz w:val="19"/>
                <w:szCs w:val="19"/>
                <w:color w:val="auto"/>
              </w:rPr>
            </w:pPr>
          </w:p>
        </w:tc>
      </w:tr>
      <w:tr>
        <w:trPr>
          <w:trHeight w:val="223"/>
        </w:trPr>
        <w:tc>
          <w:tcPr>
            <w:tcW w:w="51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Worldwide Corporation (Saudi Arabia Tax Registration)</w:t>
            </w:r>
          </w:p>
        </w:tc>
        <w:tc>
          <w:tcPr>
            <w:tcW w:w="6100" w:type="dxa"/>
            <w:vAlign w:val="bottom"/>
            <w:tcBorders>
              <w:bottom w:val="single" w:sz="8" w:color="C0C0C0"/>
            </w:tcBorders>
            <w:gridSpan w:val="3"/>
          </w:tcPr>
          <w:p>
            <w:pPr>
              <w:ind w:left="3240"/>
              <w:spacing w:after="0"/>
              <w:rPr>
                <w:sz w:val="20"/>
                <w:szCs w:val="20"/>
                <w:color w:val="auto"/>
              </w:rPr>
            </w:pPr>
            <w:r>
              <w:rPr>
                <w:rFonts w:ascii="Arial" w:cs="Arial" w:eastAsia="Arial" w:hAnsi="Arial"/>
                <w:sz w:val="18"/>
                <w:szCs w:val="18"/>
                <w:color w:val="auto"/>
              </w:rPr>
              <w:t>Saudi Arabia</w:t>
            </w:r>
          </w:p>
        </w:tc>
        <w:tc>
          <w:tcPr>
            <w:tcW w:w="20" w:type="dxa"/>
            <w:vAlign w:val="bottom"/>
          </w:tcPr>
          <w:p>
            <w:pPr>
              <w:spacing w:after="0"/>
              <w:rPr>
                <w:sz w:val="19"/>
                <w:szCs w:val="19"/>
                <w:color w:val="auto"/>
              </w:rPr>
            </w:pPr>
          </w:p>
        </w:tc>
      </w:tr>
      <w:tr>
        <w:trPr>
          <w:trHeight w:val="223"/>
        </w:trPr>
        <w:tc>
          <w:tcPr>
            <w:tcW w:w="51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Worldwide Payroll, LLC</w:t>
            </w:r>
          </w:p>
        </w:tc>
        <w:tc>
          <w:tcPr>
            <w:tcW w:w="6100" w:type="dxa"/>
            <w:vAlign w:val="bottom"/>
            <w:tcBorders>
              <w:bottom w:val="single" w:sz="8" w:color="C0C0C0"/>
            </w:tcBorders>
            <w:gridSpan w:val="3"/>
          </w:tcPr>
          <w:p>
            <w:pPr>
              <w:ind w:left="32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1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 Worldwide Reservation Services, LLC</w:t>
            </w:r>
          </w:p>
        </w:tc>
        <w:tc>
          <w:tcPr>
            <w:tcW w:w="6100" w:type="dxa"/>
            <w:vAlign w:val="bottom"/>
            <w:tcBorders>
              <w:bottom w:val="single" w:sz="8" w:color="C0C0C0"/>
            </w:tcBorders>
            <w:gridSpan w:val="3"/>
          </w:tcPr>
          <w:p>
            <w:pPr>
              <w:ind w:left="32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1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Marriott's Greenbelt Hotel Services, Inc.</w:t>
            </w:r>
          </w:p>
        </w:tc>
        <w:tc>
          <w:tcPr>
            <w:tcW w:w="6100" w:type="dxa"/>
            <w:vAlign w:val="bottom"/>
            <w:tcBorders>
              <w:bottom w:val="single" w:sz="8" w:color="C0C0C0"/>
            </w:tcBorders>
            <w:gridSpan w:val="3"/>
          </w:tcPr>
          <w:p>
            <w:pPr>
              <w:ind w:left="32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1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Mars Merger Sub, LLC</w:t>
            </w:r>
          </w:p>
        </w:tc>
        <w:tc>
          <w:tcPr>
            <w:tcW w:w="6100" w:type="dxa"/>
            <w:vAlign w:val="bottom"/>
            <w:tcBorders>
              <w:bottom w:val="single" w:sz="8" w:color="C0C0C0"/>
            </w:tcBorders>
            <w:gridSpan w:val="3"/>
          </w:tcPr>
          <w:p>
            <w:pPr>
              <w:ind w:left="32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1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MC Lodging Investment Opportunities, Inc.</w:t>
            </w:r>
          </w:p>
        </w:tc>
        <w:tc>
          <w:tcPr>
            <w:tcW w:w="6100" w:type="dxa"/>
            <w:vAlign w:val="bottom"/>
            <w:tcBorders>
              <w:bottom w:val="single" w:sz="8" w:color="C0C0C0"/>
            </w:tcBorders>
            <w:gridSpan w:val="3"/>
          </w:tcPr>
          <w:p>
            <w:pPr>
              <w:ind w:left="32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1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Meridien India I LLC</w:t>
            </w:r>
          </w:p>
        </w:tc>
        <w:tc>
          <w:tcPr>
            <w:tcW w:w="6100" w:type="dxa"/>
            <w:vAlign w:val="bottom"/>
            <w:tcBorders>
              <w:bottom w:val="single" w:sz="8" w:color="C0C0C0"/>
            </w:tcBorders>
            <w:gridSpan w:val="3"/>
          </w:tcPr>
          <w:p>
            <w:pPr>
              <w:ind w:left="32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1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Meridien India II LLC</w:t>
            </w:r>
          </w:p>
        </w:tc>
        <w:tc>
          <w:tcPr>
            <w:tcW w:w="6100" w:type="dxa"/>
            <w:vAlign w:val="bottom"/>
            <w:tcBorders>
              <w:bottom w:val="single" w:sz="8" w:color="C0C0C0"/>
            </w:tcBorders>
            <w:gridSpan w:val="3"/>
          </w:tcPr>
          <w:p>
            <w:pPr>
              <w:ind w:left="32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1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Meridien SAS</w:t>
            </w:r>
          </w:p>
        </w:tc>
        <w:tc>
          <w:tcPr>
            <w:tcW w:w="6100" w:type="dxa"/>
            <w:vAlign w:val="bottom"/>
            <w:tcBorders>
              <w:bottom w:val="single" w:sz="8" w:color="C0C0C0"/>
            </w:tcBorders>
            <w:gridSpan w:val="3"/>
          </w:tcPr>
          <w:p>
            <w:pPr>
              <w:ind w:left="3240"/>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9"/>
                <w:szCs w:val="19"/>
                <w:color w:val="auto"/>
              </w:rPr>
            </w:pPr>
          </w:p>
        </w:tc>
      </w:tr>
      <w:tr>
        <w:trPr>
          <w:trHeight w:val="223"/>
        </w:trPr>
        <w:tc>
          <w:tcPr>
            <w:tcW w:w="51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Meridien SAS, Egypt Branch</w:t>
            </w:r>
          </w:p>
        </w:tc>
        <w:tc>
          <w:tcPr>
            <w:tcW w:w="6100" w:type="dxa"/>
            <w:vAlign w:val="bottom"/>
            <w:tcBorders>
              <w:bottom w:val="single" w:sz="8" w:color="C0C0C0"/>
            </w:tcBorders>
            <w:gridSpan w:val="3"/>
          </w:tcPr>
          <w:p>
            <w:pPr>
              <w:ind w:left="3240"/>
              <w:spacing w:after="0"/>
              <w:rPr>
                <w:sz w:val="20"/>
                <w:szCs w:val="20"/>
                <w:color w:val="auto"/>
              </w:rPr>
            </w:pPr>
            <w:r>
              <w:rPr>
                <w:rFonts w:ascii="Arial" w:cs="Arial" w:eastAsia="Arial" w:hAnsi="Arial"/>
                <w:sz w:val="18"/>
                <w:szCs w:val="18"/>
                <w:color w:val="auto"/>
              </w:rPr>
              <w:t>Egypt</w:t>
            </w:r>
          </w:p>
        </w:tc>
        <w:tc>
          <w:tcPr>
            <w:tcW w:w="20" w:type="dxa"/>
            <w:vAlign w:val="bottom"/>
          </w:tcPr>
          <w:p>
            <w:pPr>
              <w:spacing w:after="0"/>
              <w:rPr>
                <w:sz w:val="19"/>
                <w:szCs w:val="19"/>
                <w:color w:val="auto"/>
              </w:rPr>
            </w:pPr>
          </w:p>
        </w:tc>
      </w:tr>
      <w:tr>
        <w:trPr>
          <w:trHeight w:val="223"/>
        </w:trPr>
        <w:tc>
          <w:tcPr>
            <w:tcW w:w="51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Meridien SAS, KSA Tax Registration</w:t>
            </w:r>
          </w:p>
        </w:tc>
        <w:tc>
          <w:tcPr>
            <w:tcW w:w="6100" w:type="dxa"/>
            <w:vAlign w:val="bottom"/>
            <w:tcBorders>
              <w:bottom w:val="single" w:sz="8" w:color="C0C0C0"/>
            </w:tcBorders>
            <w:gridSpan w:val="3"/>
          </w:tcPr>
          <w:p>
            <w:pPr>
              <w:ind w:left="3240"/>
              <w:spacing w:after="0"/>
              <w:rPr>
                <w:sz w:val="20"/>
                <w:szCs w:val="20"/>
                <w:color w:val="auto"/>
              </w:rPr>
            </w:pPr>
            <w:r>
              <w:rPr>
                <w:rFonts w:ascii="Arial" w:cs="Arial" w:eastAsia="Arial" w:hAnsi="Arial"/>
                <w:sz w:val="18"/>
                <w:szCs w:val="18"/>
                <w:color w:val="auto"/>
              </w:rPr>
              <w:t>Saudi Arabia</w:t>
            </w:r>
          </w:p>
        </w:tc>
        <w:tc>
          <w:tcPr>
            <w:tcW w:w="20" w:type="dxa"/>
            <w:vAlign w:val="bottom"/>
          </w:tcPr>
          <w:p>
            <w:pPr>
              <w:spacing w:after="0"/>
              <w:rPr>
                <w:sz w:val="19"/>
                <w:szCs w:val="19"/>
                <w:color w:val="auto"/>
              </w:rPr>
            </w:pPr>
          </w:p>
        </w:tc>
      </w:tr>
      <w:tr>
        <w:trPr>
          <w:trHeight w:val="223"/>
        </w:trPr>
        <w:tc>
          <w:tcPr>
            <w:tcW w:w="51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MHS Guam, Inc.</w:t>
            </w:r>
          </w:p>
        </w:tc>
        <w:tc>
          <w:tcPr>
            <w:tcW w:w="6100" w:type="dxa"/>
            <w:vAlign w:val="bottom"/>
            <w:tcBorders>
              <w:bottom w:val="single" w:sz="8" w:color="C0C0C0"/>
            </w:tcBorders>
            <w:gridSpan w:val="3"/>
          </w:tcPr>
          <w:p>
            <w:pPr>
              <w:ind w:left="32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1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MHSFR II, LLC</w:t>
            </w:r>
          </w:p>
        </w:tc>
        <w:tc>
          <w:tcPr>
            <w:tcW w:w="6100" w:type="dxa"/>
            <w:vAlign w:val="bottom"/>
            <w:tcBorders>
              <w:bottom w:val="single" w:sz="8" w:color="C0C0C0"/>
            </w:tcBorders>
            <w:gridSpan w:val="3"/>
          </w:tcPr>
          <w:p>
            <w:pPr>
              <w:ind w:left="32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1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MHSFR, LLC</w:t>
            </w:r>
          </w:p>
        </w:tc>
        <w:tc>
          <w:tcPr>
            <w:tcW w:w="6100" w:type="dxa"/>
            <w:vAlign w:val="bottom"/>
            <w:tcBorders>
              <w:bottom w:val="single" w:sz="8" w:color="C0C0C0"/>
            </w:tcBorders>
            <w:gridSpan w:val="3"/>
          </w:tcPr>
          <w:p>
            <w:pPr>
              <w:ind w:left="32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1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MHSI Conference Centers of Texas, Inc.</w:t>
            </w:r>
          </w:p>
        </w:tc>
        <w:tc>
          <w:tcPr>
            <w:tcW w:w="6100" w:type="dxa"/>
            <w:vAlign w:val="bottom"/>
            <w:tcBorders>
              <w:bottom w:val="single" w:sz="8" w:color="C0C0C0"/>
            </w:tcBorders>
            <w:gridSpan w:val="3"/>
          </w:tcPr>
          <w:p>
            <w:pPr>
              <w:ind w:left="3240"/>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9"/>
                <w:szCs w:val="19"/>
                <w:color w:val="auto"/>
              </w:rPr>
            </w:pPr>
          </w:p>
        </w:tc>
      </w:tr>
      <w:tr>
        <w:trPr>
          <w:trHeight w:val="223"/>
        </w:trPr>
        <w:tc>
          <w:tcPr>
            <w:tcW w:w="510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MHSI Hawaii, LLC</w:t>
            </w:r>
          </w:p>
        </w:tc>
        <w:tc>
          <w:tcPr>
            <w:tcW w:w="6100" w:type="dxa"/>
            <w:vAlign w:val="bottom"/>
            <w:tcBorders>
              <w:bottom w:val="single" w:sz="8" w:color="C0C0C0"/>
            </w:tcBorders>
            <w:gridSpan w:val="3"/>
          </w:tcPr>
          <w:p>
            <w:pPr>
              <w:ind w:left="32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84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40" w:type="dxa"/>
            <w:vAlign w:val="bottom"/>
          </w:tcPr>
          <w:p>
            <w:pPr>
              <w:ind w:left="420"/>
              <w:spacing w:after="0"/>
              <w:rPr>
                <w:sz w:val="20"/>
                <w:szCs w:val="20"/>
                <w:color w:val="auto"/>
              </w:rPr>
            </w:pPr>
            <w:r>
              <w:rPr>
                <w:rFonts w:ascii="Arial" w:cs="Arial" w:eastAsia="Arial" w:hAnsi="Arial"/>
                <w:sz w:val="18"/>
                <w:szCs w:val="18"/>
                <w:color w:val="auto"/>
              </w:rPr>
              <w:t>10</w:t>
            </w:r>
          </w:p>
        </w:tc>
        <w:tc>
          <w:tcPr>
            <w:tcW w:w="2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20"/>
          </w:cols>
          <w:pgMar w:left="340" w:top="121" w:right="33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80" w:type="dxa"/>
            <w:vAlign w:val="bottom"/>
            <w:gridSpan w:val="3"/>
          </w:tcPr>
          <w:p>
            <w:pPr>
              <w:ind w:left="2080"/>
              <w:spacing w:after="0"/>
              <w:rPr>
                <w:sz w:val="20"/>
                <w:szCs w:val="20"/>
                <w:color w:val="auto"/>
              </w:rPr>
            </w:pPr>
            <w:r>
              <w:rPr>
                <w:rFonts w:ascii="Arial" w:cs="Arial" w:eastAsia="Arial" w:hAnsi="Arial"/>
                <w:sz w:val="18"/>
                <w:szCs w:val="18"/>
                <w:b w:val="1"/>
                <w:bCs w:val="1"/>
                <w:color w:val="auto"/>
                <w:w w:val="91"/>
              </w:rPr>
              <w:t>Exhibit 21</w:t>
            </w:r>
          </w:p>
        </w:tc>
      </w:tr>
      <w:tr>
        <w:trPr>
          <w:trHeight w:val="864"/>
        </w:trPr>
        <w:tc>
          <w:tcPr>
            <w:tcW w:w="7260" w:type="dxa"/>
            <w:vAlign w:val="bottom"/>
            <w:gridSpan w:val="3"/>
          </w:tcPr>
          <w:p>
            <w:pPr>
              <w:ind w:left="20"/>
              <w:spacing w:after="0"/>
              <w:rPr>
                <w:sz w:val="20"/>
                <w:szCs w:val="20"/>
                <w:color w:val="auto"/>
              </w:rPr>
            </w:pPr>
            <w:r>
              <w:rPr>
                <w:rFonts w:ascii="Arial" w:cs="Arial" w:eastAsia="Arial" w:hAnsi="Arial"/>
                <w:sz w:val="18"/>
                <w:szCs w:val="18"/>
                <w:b w:val="1"/>
                <w:bCs w:val="1"/>
                <w:color w:val="auto"/>
              </w:rPr>
              <w:t>Entity Name</w:t>
            </w:r>
          </w:p>
        </w:tc>
        <w:tc>
          <w:tcPr>
            <w:tcW w:w="3960" w:type="dxa"/>
            <w:vAlign w:val="bottom"/>
            <w:gridSpan w:val="4"/>
          </w:tcPr>
          <w:p>
            <w:pPr>
              <w:ind w:left="1080"/>
              <w:spacing w:after="0"/>
              <w:rPr>
                <w:sz w:val="20"/>
                <w:szCs w:val="20"/>
                <w:color w:val="auto"/>
              </w:rPr>
            </w:pPr>
            <w:r>
              <w:rPr>
                <w:rFonts w:ascii="Arial" w:cs="Arial" w:eastAsia="Arial" w:hAnsi="Arial"/>
                <w:sz w:val="18"/>
                <w:szCs w:val="18"/>
                <w:b w:val="1"/>
                <w:bCs w:val="1"/>
                <w:color w:val="auto"/>
              </w:rPr>
              <w:t>Jurisdiction of Incorporation</w:t>
            </w:r>
          </w:p>
        </w:tc>
      </w:tr>
      <w:tr>
        <w:trPr>
          <w:trHeight w:val="21"/>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6260" w:type="dxa"/>
            <w:vAlign w:val="bottom"/>
            <w:tcBorders>
              <w:bottom w:val="single" w:sz="8" w:color="C0C0C0"/>
            </w:tcBorders>
          </w:tcPr>
          <w:p>
            <w:pPr>
              <w:spacing w:after="0" w:line="20" w:lineRule="exact"/>
              <w:rPr>
                <w:sz w:val="1"/>
                <w:szCs w:val="1"/>
                <w:color w:val="auto"/>
              </w:rPr>
            </w:pPr>
          </w:p>
        </w:tc>
        <w:tc>
          <w:tcPr>
            <w:tcW w:w="108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62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MI CBM Investor LLC</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MI Finance Company</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MI Fulfillment Services, LLC</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Maryland</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MI Georgia Credits, LLC</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MI Holding, L. P.</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MI Hotels of Las Vegas, Inc.</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MI Member, LLC</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MI NY Clock Tower, LLC</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MI Park 201, LLC</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MI Tenant LLC</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MI TH4 INVESTOR, LLC</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MICC (California), LLC</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MICC SPE I Corp.</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Midnight Lakeshore LLC</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Midnight Mexico, LLC</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Midnight Midland LLC</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Midnight Oil Company, LLC</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Midnight Sky, L.L.C.</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Midnight Square, LLC</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Midnight Star, L.L.C.</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MIF, L.L.C.</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MII Conference Center, Inc.</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Maryland</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Mission Hills Timeshare, L.L.C.</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MRC I Funding, LLC</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MTS Holdco, L.P.</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Munich CY Schwanthaler Operating Company GmbH</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Nara Hospitality Service Company</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North Dallas Holding Co.</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North Dallas Hotel Company</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North Wharf Restaurant (Pty) Ltd</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South Africa</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Operadora Marriott, S.A. de C.V.</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Osaka St. Regis Hotel Co., Ltd.</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Paynes Bay Investments Limited</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Barbados</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Permanent Establishment of Luxury Hotels International Management Company B.V.</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Ukraine</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PH F and I Cape Town (Pty) Ltd</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South Africa</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PH Marine (Pty) Ltd</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South Africa</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PH Roodepoort (Pty) Ltd</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South Africa</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PH Victoria Junction (Pty) Ltd</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South Africa</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Polserv, S.A. de C.V. - (Joint Venture)</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Porto Bello Cove Hotel Corporation (Joint Venture)</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Philippines</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Preferred Guest, Inc.</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Promotora Hotelera Punta Mita S. de R.L. de C.V. (Joint Venture)</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Protea Hotel International Mauritius (50% owned)</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Mauritius</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Protea Hotels (International) Limited</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9"/>
                <w:szCs w:val="19"/>
                <w:color w:val="auto"/>
              </w:rPr>
            </w:pPr>
          </w:p>
        </w:tc>
      </w:tr>
      <w:tr>
        <w:trPr>
          <w:trHeight w:val="223"/>
        </w:trPr>
        <w:tc>
          <w:tcPr>
            <w:tcW w:w="72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Protea Hotels and Inns (Pty) Limited</w:t>
            </w:r>
          </w:p>
        </w:tc>
        <w:tc>
          <w:tcPr>
            <w:tcW w:w="3940" w:type="dxa"/>
            <w:vAlign w:val="bottom"/>
            <w:tcBorders>
              <w:bottom w:val="single" w:sz="8" w:color="C0C0C0"/>
            </w:tcBorders>
            <w:gridSpan w:val="3"/>
          </w:tcPr>
          <w:p>
            <w:pPr>
              <w:ind w:left="1080"/>
              <w:spacing w:after="0"/>
              <w:rPr>
                <w:sz w:val="20"/>
                <w:szCs w:val="20"/>
                <w:color w:val="auto"/>
              </w:rPr>
            </w:pPr>
            <w:r>
              <w:rPr>
                <w:rFonts w:ascii="Arial" w:cs="Arial" w:eastAsia="Arial" w:hAnsi="Arial"/>
                <w:sz w:val="18"/>
                <w:szCs w:val="18"/>
                <w:color w:val="auto"/>
              </w:rPr>
              <w:t>South Africa</w:t>
            </w:r>
          </w:p>
        </w:tc>
        <w:tc>
          <w:tcPr>
            <w:tcW w:w="20" w:type="dxa"/>
            <w:vAlign w:val="bottom"/>
          </w:tcPr>
          <w:p>
            <w:pPr>
              <w:spacing w:after="0"/>
              <w:rPr>
                <w:sz w:val="19"/>
                <w:szCs w:val="19"/>
                <w:color w:val="auto"/>
              </w:rPr>
            </w:pPr>
          </w:p>
        </w:tc>
      </w:tr>
      <w:tr>
        <w:trPr>
          <w:trHeight w:val="844"/>
        </w:trPr>
        <w:tc>
          <w:tcPr>
            <w:tcW w:w="7260" w:type="dxa"/>
            <w:vAlign w:val="bottom"/>
            <w:gridSpan w:val="3"/>
          </w:tcPr>
          <w:p>
            <w:pPr>
              <w:ind w:left="5520"/>
              <w:spacing w:after="0"/>
              <w:rPr>
                <w:sz w:val="20"/>
                <w:szCs w:val="20"/>
                <w:color w:val="auto"/>
              </w:rPr>
            </w:pPr>
            <w:r>
              <w:rPr>
                <w:rFonts w:ascii="Arial" w:cs="Arial" w:eastAsia="Arial" w:hAnsi="Arial"/>
                <w:sz w:val="18"/>
                <w:szCs w:val="18"/>
                <w:color w:val="auto"/>
              </w:rPr>
              <w:t>11</w:t>
            </w:r>
          </w:p>
        </w:tc>
        <w:tc>
          <w:tcPr>
            <w:tcW w:w="10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20"/>
          </w:cols>
          <w:pgMar w:left="340" w:top="121" w:right="33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80" w:type="dxa"/>
            <w:vAlign w:val="bottom"/>
            <w:gridSpan w:val="3"/>
          </w:tcPr>
          <w:p>
            <w:pPr>
              <w:ind w:left="2080"/>
              <w:spacing w:after="0"/>
              <w:rPr>
                <w:sz w:val="20"/>
                <w:szCs w:val="20"/>
                <w:color w:val="auto"/>
              </w:rPr>
            </w:pPr>
            <w:r>
              <w:rPr>
                <w:rFonts w:ascii="Arial" w:cs="Arial" w:eastAsia="Arial" w:hAnsi="Arial"/>
                <w:sz w:val="18"/>
                <w:szCs w:val="18"/>
                <w:b w:val="1"/>
                <w:bCs w:val="1"/>
                <w:color w:val="auto"/>
                <w:w w:val="91"/>
              </w:rPr>
              <w:t>Exhibit 21</w:t>
            </w:r>
          </w:p>
        </w:tc>
      </w:tr>
      <w:tr>
        <w:trPr>
          <w:trHeight w:val="864"/>
        </w:trPr>
        <w:tc>
          <w:tcPr>
            <w:tcW w:w="7760" w:type="dxa"/>
            <w:vAlign w:val="bottom"/>
            <w:gridSpan w:val="3"/>
          </w:tcPr>
          <w:p>
            <w:pPr>
              <w:ind w:left="20"/>
              <w:spacing w:after="0"/>
              <w:rPr>
                <w:sz w:val="20"/>
                <w:szCs w:val="20"/>
                <w:color w:val="auto"/>
              </w:rPr>
            </w:pPr>
            <w:r>
              <w:rPr>
                <w:rFonts w:ascii="Arial" w:cs="Arial" w:eastAsia="Arial" w:hAnsi="Arial"/>
                <w:sz w:val="18"/>
                <w:szCs w:val="18"/>
                <w:b w:val="1"/>
                <w:bCs w:val="1"/>
                <w:color w:val="auto"/>
              </w:rPr>
              <w:t>Entity Name</w:t>
            </w:r>
          </w:p>
        </w:tc>
        <w:tc>
          <w:tcPr>
            <w:tcW w:w="3460" w:type="dxa"/>
            <w:vAlign w:val="bottom"/>
            <w:gridSpan w:val="4"/>
          </w:tcPr>
          <w:p>
            <w:pPr>
              <w:ind w:left="580"/>
              <w:spacing w:after="0"/>
              <w:rPr>
                <w:sz w:val="20"/>
                <w:szCs w:val="20"/>
                <w:color w:val="auto"/>
              </w:rPr>
            </w:pPr>
            <w:r>
              <w:rPr>
                <w:rFonts w:ascii="Arial" w:cs="Arial" w:eastAsia="Arial" w:hAnsi="Arial"/>
                <w:sz w:val="18"/>
                <w:szCs w:val="18"/>
                <w:b w:val="1"/>
                <w:bCs w:val="1"/>
                <w:color w:val="auto"/>
              </w:rPr>
              <w:t>Jurisdiction of Incorporation</w:t>
            </w:r>
          </w:p>
        </w:tc>
      </w:tr>
      <w:tr>
        <w:trPr>
          <w:trHeight w:val="21"/>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6760" w:type="dxa"/>
            <w:vAlign w:val="bottom"/>
            <w:tcBorders>
              <w:bottom w:val="single" w:sz="8" w:color="C0C0C0"/>
            </w:tcBorders>
          </w:tcPr>
          <w:p>
            <w:pPr>
              <w:spacing w:after="0" w:line="20" w:lineRule="exact"/>
              <w:rPr>
                <w:sz w:val="1"/>
                <w:szCs w:val="1"/>
                <w:color w:val="auto"/>
              </w:rPr>
            </w:pPr>
          </w:p>
        </w:tc>
        <w:tc>
          <w:tcPr>
            <w:tcW w:w="58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62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Protea Hotels Empowerment Consortium (Pty) Ltd</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South Africa</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Protea Hotels Empowerment Initiative (Pty) Ltd</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South Africa</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Protea Hotels Nigeria Limited</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Nigeria</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Prudential - HEI Joint Venture</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Georgia</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PT Indo Pacific Sheraton</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PT Luxury Hotels International Indonesia</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PT Marriott International Indonesia</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PT Ritz Carlton Indonesia</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Punta Mita Holding Company, S. de R.L. de C.V.</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Ramasia International Limited</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Virgin Islands, British</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Ramcap SAS</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RC Hotel Holding Company Limited</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Virgin Islands, British</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RC Hotel Holding Company Limited (Cayman Islands Branch)</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Cayman Islands</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RC Marriott II, Inc.</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RC Marriott III, Inc.</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RC Marriott, Inc.</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RC Paradise Valley Development, LLC</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RC Rose Holding Company Limited</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Virgin Islands, British</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RC Rose Island Hotel Company Limited</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Bahamas</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RC-UK, Inc.</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 Boston Hotel Management LLC</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 Boston LP</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 Boston Waterfront Hotel, LLC</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Renaissance Cleveland Hotel, LLC</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Renaissance Cleveland IOSA, LLC</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Renaissance do Brasil Hotelaria Ltda.</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9"/>
                <w:szCs w:val="19"/>
                <w:color w:val="auto"/>
              </w:rPr>
            </w:pPr>
          </w:p>
        </w:tc>
      </w:tr>
      <w:tr>
        <w:trPr>
          <w:trHeight w:val="169"/>
        </w:trPr>
        <w:tc>
          <w:tcPr>
            <w:tcW w:w="7760" w:type="dxa"/>
            <w:vAlign w:val="bottom"/>
            <w:gridSpan w:val="3"/>
          </w:tcPr>
          <w:p>
            <w:pPr>
              <w:ind w:left="20"/>
              <w:spacing w:after="0" w:line="169" w:lineRule="exact"/>
              <w:rPr>
                <w:sz w:val="20"/>
                <w:szCs w:val="20"/>
                <w:color w:val="auto"/>
              </w:rPr>
            </w:pPr>
            <w:r>
              <w:rPr>
                <w:rFonts w:ascii="Arial" w:cs="Arial" w:eastAsia="Arial" w:hAnsi="Arial"/>
                <w:sz w:val="18"/>
                <w:szCs w:val="18"/>
                <w:color w:val="auto"/>
                <w:w w:val="97"/>
              </w:rPr>
              <w:t>Renaissance do Brasil Hotelaria Ltda. (Haddock Office Jardins, Alameda Santos, 2326 CEP 01418-</w:t>
            </w:r>
          </w:p>
        </w:tc>
        <w:tc>
          <w:tcPr>
            <w:tcW w:w="3440" w:type="dxa"/>
            <w:vAlign w:val="bottom"/>
            <w:gridSpan w:val="3"/>
          </w:tcPr>
          <w:p>
            <w:pPr>
              <w:ind w:left="580"/>
              <w:spacing w:after="0" w:line="169" w:lineRule="exact"/>
              <w:rPr>
                <w:sz w:val="20"/>
                <w:szCs w:val="20"/>
                <w:color w:val="auto"/>
              </w:rPr>
            </w:pPr>
            <w:r>
              <w:rPr>
                <w:rFonts w:ascii="Arial" w:cs="Arial" w:eastAsia="Arial" w:hAnsi="Arial"/>
                <w:sz w:val="18"/>
                <w:szCs w:val="18"/>
                <w:color w:val="auto"/>
              </w:rPr>
              <w:t>Brazil</w:t>
            </w:r>
          </w:p>
        </w:tc>
        <w:tc>
          <w:tcPr>
            <w:tcW w:w="20" w:type="dxa"/>
            <w:vAlign w:val="bottom"/>
          </w:tcPr>
          <w:p>
            <w:pPr>
              <w:spacing w:after="0"/>
              <w:rPr>
                <w:sz w:val="14"/>
                <w:szCs w:val="14"/>
                <w:color w:val="auto"/>
              </w:rPr>
            </w:pPr>
          </w:p>
        </w:tc>
      </w:tr>
      <w:tr>
        <w:trPr>
          <w:trHeight w:val="230"/>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200, Sao Paulo) - Brazil Branch</w:t>
            </w:r>
          </w:p>
        </w:tc>
        <w:tc>
          <w:tcPr>
            <w:tcW w:w="580" w:type="dxa"/>
            <w:vAlign w:val="bottom"/>
            <w:tcBorders>
              <w:bottom w:val="single" w:sz="8" w:color="C0C0C0"/>
            </w:tcBorders>
          </w:tcPr>
          <w:p>
            <w:pPr>
              <w:spacing w:after="0"/>
              <w:rPr>
                <w:sz w:val="19"/>
                <w:szCs w:val="19"/>
                <w:color w:val="auto"/>
              </w:rPr>
            </w:pPr>
          </w:p>
        </w:tc>
        <w:tc>
          <w:tcPr>
            <w:tcW w:w="2240" w:type="dxa"/>
            <w:vAlign w:val="bottom"/>
            <w:tcBorders>
              <w:bottom w:val="single" w:sz="8" w:color="C0C0C0"/>
            </w:tcBorders>
          </w:tcPr>
          <w:p>
            <w:pPr>
              <w:spacing w:after="0"/>
              <w:rPr>
                <w:sz w:val="19"/>
                <w:szCs w:val="19"/>
                <w:color w:val="auto"/>
              </w:rPr>
            </w:pPr>
          </w:p>
        </w:tc>
        <w:tc>
          <w:tcPr>
            <w:tcW w:w="620" w:type="dxa"/>
            <w:vAlign w:val="bottom"/>
            <w:tcBorders>
              <w:bottom w:val="single" w:sz="8" w:color="C0C0C0"/>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Renaissance do Brasil Hotelaria Ltda. (Porto Maravilha branch)</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Renaissance do Brasil Hotelaria Ltda. (Recife Branch)</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Renaissance do Brasil Hotelaria Ltda. (Sao Paulo Branch)</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Renaissance Dusseldorf Hotelmanagement GmbH</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Renaissance Hamburg Hotelmanagement GmbH</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Renaissance Hollywood Payroll Company, LLC</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Renaissance Hotel Holdings, Inc.</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Renaissance Hotel Management Company, LLC</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Renaissance Hotel Operating Company</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Renaissance Hotels International B.V.</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Renaissance Hotels International B.V. (Kazakhstan Branch)</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Kazakhstan</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Renaissance Hotels International BV (China Registration)</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Renaissance Hotels International Corporation Limited</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Virgin Islands, British</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Renaissance Hotels International Corporation Limited (Malaysia Branch)</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Malaysia</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Renaissance Hotels International Corporation Limited (Philippine Branch)</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Philippines</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Renaissance Hotels International Management Belgium SPRL</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Belgium</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Renaissance Hotels Marketing Services Limited</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Virgin Islands, British</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Renaissance International Lodging Ltd.</w:t>
            </w:r>
          </w:p>
        </w:tc>
        <w:tc>
          <w:tcPr>
            <w:tcW w:w="3440" w:type="dxa"/>
            <w:vAlign w:val="bottom"/>
            <w:tcBorders>
              <w:bottom w:val="single" w:sz="8" w:color="C0C0C0"/>
            </w:tcBorders>
            <w:gridSpan w:val="3"/>
          </w:tcPr>
          <w:p>
            <w:pPr>
              <w:ind w:left="580"/>
              <w:spacing w:after="0"/>
              <w:rPr>
                <w:sz w:val="20"/>
                <w:szCs w:val="20"/>
                <w:color w:val="auto"/>
              </w:rPr>
            </w:pPr>
            <w:r>
              <w:rPr>
                <w:rFonts w:ascii="Arial" w:cs="Arial" w:eastAsia="Arial" w:hAnsi="Arial"/>
                <w:sz w:val="18"/>
                <w:szCs w:val="18"/>
                <w:color w:val="auto"/>
              </w:rPr>
              <w:t>Bermuda</w:t>
            </w:r>
          </w:p>
        </w:tc>
        <w:tc>
          <w:tcPr>
            <w:tcW w:w="20" w:type="dxa"/>
            <w:vAlign w:val="bottom"/>
          </w:tcPr>
          <w:p>
            <w:pPr>
              <w:spacing w:after="0"/>
              <w:rPr>
                <w:sz w:val="19"/>
                <w:szCs w:val="19"/>
                <w:color w:val="auto"/>
              </w:rPr>
            </w:pPr>
          </w:p>
        </w:tc>
      </w:tr>
      <w:tr>
        <w:trPr>
          <w:trHeight w:val="844"/>
        </w:trPr>
        <w:tc>
          <w:tcPr>
            <w:tcW w:w="7760" w:type="dxa"/>
            <w:vAlign w:val="bottom"/>
            <w:gridSpan w:val="3"/>
          </w:tcPr>
          <w:p>
            <w:pPr>
              <w:ind w:left="5520"/>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20"/>
          </w:cols>
          <w:pgMar w:left="340" w:top="121" w:right="33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880" w:type="dxa"/>
            <w:vAlign w:val="bottom"/>
            <w:gridSpan w:val="3"/>
          </w:tcPr>
          <w:p>
            <w:pPr>
              <w:ind w:left="2080"/>
              <w:spacing w:after="0"/>
              <w:rPr>
                <w:sz w:val="20"/>
                <w:szCs w:val="20"/>
                <w:color w:val="auto"/>
              </w:rPr>
            </w:pPr>
            <w:r>
              <w:rPr>
                <w:rFonts w:ascii="Arial" w:cs="Arial" w:eastAsia="Arial" w:hAnsi="Arial"/>
                <w:sz w:val="18"/>
                <w:szCs w:val="18"/>
                <w:b w:val="1"/>
                <w:bCs w:val="1"/>
                <w:color w:val="auto"/>
                <w:w w:val="91"/>
              </w:rPr>
              <w:t>Exhibit 21</w:t>
            </w:r>
          </w:p>
        </w:tc>
      </w:tr>
      <w:tr>
        <w:trPr>
          <w:trHeight w:val="864"/>
        </w:trPr>
        <w:tc>
          <w:tcPr>
            <w:tcW w:w="5480" w:type="dxa"/>
            <w:vAlign w:val="bottom"/>
            <w:gridSpan w:val="3"/>
          </w:tcPr>
          <w:p>
            <w:pPr>
              <w:ind w:left="20"/>
              <w:spacing w:after="0"/>
              <w:rPr>
                <w:sz w:val="20"/>
                <w:szCs w:val="20"/>
                <w:color w:val="auto"/>
              </w:rPr>
            </w:pPr>
            <w:r>
              <w:rPr>
                <w:rFonts w:ascii="Arial" w:cs="Arial" w:eastAsia="Arial" w:hAnsi="Arial"/>
                <w:sz w:val="18"/>
                <w:szCs w:val="18"/>
                <w:b w:val="1"/>
                <w:bCs w:val="1"/>
                <w:color w:val="auto"/>
              </w:rPr>
              <w:t>Entity Name</w:t>
            </w:r>
          </w:p>
        </w:tc>
        <w:tc>
          <w:tcPr>
            <w:tcW w:w="5740" w:type="dxa"/>
            <w:vAlign w:val="bottom"/>
            <w:gridSpan w:val="4"/>
          </w:tcPr>
          <w:p>
            <w:pPr>
              <w:ind w:left="2860"/>
              <w:spacing w:after="0"/>
              <w:rPr>
                <w:sz w:val="20"/>
                <w:szCs w:val="20"/>
                <w:color w:val="auto"/>
              </w:rPr>
            </w:pPr>
            <w:r>
              <w:rPr>
                <w:rFonts w:ascii="Arial" w:cs="Arial" w:eastAsia="Arial" w:hAnsi="Arial"/>
                <w:sz w:val="18"/>
                <w:szCs w:val="18"/>
                <w:b w:val="1"/>
                <w:bCs w:val="1"/>
                <w:color w:val="auto"/>
              </w:rPr>
              <w:t>Jurisdiction of Incorporation</w:t>
            </w:r>
          </w:p>
        </w:tc>
      </w:tr>
      <w:tr>
        <w:trPr>
          <w:trHeight w:val="21"/>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4480" w:type="dxa"/>
            <w:vAlign w:val="bottom"/>
            <w:tcBorders>
              <w:bottom w:val="single" w:sz="8" w:color="C0C0C0"/>
            </w:tcBorders>
          </w:tcPr>
          <w:p>
            <w:pPr>
              <w:spacing w:after="0" w:line="20" w:lineRule="exact"/>
              <w:rPr>
                <w:sz w:val="1"/>
                <w:szCs w:val="1"/>
                <w:color w:val="auto"/>
              </w:rPr>
            </w:pPr>
          </w:p>
        </w:tc>
        <w:tc>
          <w:tcPr>
            <w:tcW w:w="286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62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Renaissance International Lodging N.V.</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Curacao</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Renaissance International Management Company B.V.</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w w:val="91"/>
              </w:rPr>
              <w:t>Renaissance International Management Company BV (China Registration)</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Renaissance International, Inc.</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Renaissance Le Parc SAS</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Renaissance Oakbrook Hotel, LLC</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Renaissance P.V. Mexicana S.A. de C.V.</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Renaissance Services B.V.</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Renaissance Services B.V. (Bahrain Representative Office)</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Bahrain</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Renaissance Services B.V. (Dubai Branch)</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United Arab Emirates</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Renaissance Services B.V. (India Tax Registration)</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India</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Renaissance Special Purposes B.V.</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Renaissance St. Louis Grand, LLC</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Renaissance St. Louis Suites, LLC</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Residence Inn by Marriott, LLC</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RG Holdings LLC</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RHG Holding N.V.</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Curacao</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RHG Investments, LLC</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RHIL Limited</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RHOC Consolidation, LLC</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RI BWI Airport, L.L.C.</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Rio Hotel Brasil Empreendimentos Imobiliários Ltda.</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Ritz-Carlton (Virgin Islands), Inc.</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Rockville Hotel Associates LLC</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Roissy CYBM SAS</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Ronevsorg Hotel Operating Company Limited</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Royal Orchid Hotel (Thailand) Public Company Limited</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Thailand</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 Collection, Inc.</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Sabrina Operators, Inc.</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Wisconsin</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SAMHI JV Business Hotels Private Limited</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India</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San Diego Sheraton LLC</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San Fernando Sheraton Corporation</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SC Orlando, L.L.C.</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Schaumberg/Oakbrook Marriott Hotels, LLC</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Scoops, Inc.</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Kansas</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Seattle Management Corporation</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Seattle Union Street Associates LLP</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Washington</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Senior Living Limited Partnership</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Servicios Culinary Concepts, S. de R.L. de C.V.</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Servicios Hoteleros Starwood Limitada</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Chile</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Seville Acquisition, LLC</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SF Museum Tower LLC</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Shanghai Gingerroot Enterprise Management Co., Ltd.</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w w:val="96"/>
              </w:rPr>
              <w:t>Shanghai Gingerroot Enterprise Management Co., Ltd., Beijing Branch</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23"/>
        </w:trPr>
        <w:tc>
          <w:tcPr>
            <w:tcW w:w="54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w w:val="90"/>
              </w:rPr>
              <w:t>Shanghai Gingerroot Enterprise Management Co., Ltd., Guangzhou Branch</w:t>
            </w:r>
          </w:p>
        </w:tc>
        <w:tc>
          <w:tcPr>
            <w:tcW w:w="5720" w:type="dxa"/>
            <w:vAlign w:val="bottom"/>
            <w:tcBorders>
              <w:bottom w:val="single" w:sz="8" w:color="C0C0C0"/>
            </w:tcBorders>
            <w:gridSpan w:val="3"/>
          </w:tcPr>
          <w:p>
            <w:pPr>
              <w:ind w:left="286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84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860" w:type="dxa"/>
            <w:vAlign w:val="bottom"/>
          </w:tcPr>
          <w:p>
            <w:pPr>
              <w:ind w:left="40"/>
              <w:spacing w:after="0"/>
              <w:rPr>
                <w:sz w:val="20"/>
                <w:szCs w:val="20"/>
                <w:color w:val="auto"/>
              </w:rPr>
            </w:pPr>
            <w:r>
              <w:rPr>
                <w:rFonts w:ascii="Arial" w:cs="Arial" w:eastAsia="Arial" w:hAnsi="Arial"/>
                <w:sz w:val="18"/>
                <w:szCs w:val="18"/>
                <w:color w:val="auto"/>
              </w:rPr>
              <w:t>13</w:t>
            </w:r>
          </w:p>
        </w:tc>
        <w:tc>
          <w:tcPr>
            <w:tcW w:w="2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20"/>
          </w:cols>
          <w:pgMar w:left="340" w:top="121" w:right="33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80" w:type="dxa"/>
            <w:vAlign w:val="bottom"/>
            <w:gridSpan w:val="3"/>
          </w:tcPr>
          <w:p>
            <w:pPr>
              <w:ind w:left="2080"/>
              <w:spacing w:after="0"/>
              <w:rPr>
                <w:sz w:val="20"/>
                <w:szCs w:val="20"/>
                <w:color w:val="auto"/>
              </w:rPr>
            </w:pPr>
            <w:r>
              <w:rPr>
                <w:rFonts w:ascii="Arial" w:cs="Arial" w:eastAsia="Arial" w:hAnsi="Arial"/>
                <w:sz w:val="18"/>
                <w:szCs w:val="18"/>
                <w:b w:val="1"/>
                <w:bCs w:val="1"/>
                <w:color w:val="auto"/>
                <w:w w:val="91"/>
              </w:rPr>
              <w:t>Exhibit 21</w:t>
            </w:r>
          </w:p>
        </w:tc>
      </w:tr>
      <w:tr>
        <w:trPr>
          <w:trHeight w:val="864"/>
        </w:trPr>
        <w:tc>
          <w:tcPr>
            <w:tcW w:w="6720" w:type="dxa"/>
            <w:vAlign w:val="bottom"/>
            <w:gridSpan w:val="3"/>
          </w:tcPr>
          <w:p>
            <w:pPr>
              <w:ind w:left="20"/>
              <w:spacing w:after="0"/>
              <w:rPr>
                <w:sz w:val="20"/>
                <w:szCs w:val="20"/>
                <w:color w:val="auto"/>
              </w:rPr>
            </w:pPr>
            <w:r>
              <w:rPr>
                <w:rFonts w:ascii="Arial" w:cs="Arial" w:eastAsia="Arial" w:hAnsi="Arial"/>
                <w:sz w:val="18"/>
                <w:szCs w:val="18"/>
                <w:b w:val="1"/>
                <w:bCs w:val="1"/>
                <w:color w:val="auto"/>
              </w:rPr>
              <w:t>Entity Name</w:t>
            </w:r>
          </w:p>
        </w:tc>
        <w:tc>
          <w:tcPr>
            <w:tcW w:w="4500" w:type="dxa"/>
            <w:vAlign w:val="bottom"/>
            <w:gridSpan w:val="4"/>
          </w:tcPr>
          <w:p>
            <w:pPr>
              <w:ind w:left="1620"/>
              <w:spacing w:after="0"/>
              <w:rPr>
                <w:sz w:val="20"/>
                <w:szCs w:val="20"/>
                <w:color w:val="auto"/>
              </w:rPr>
            </w:pPr>
            <w:r>
              <w:rPr>
                <w:rFonts w:ascii="Arial" w:cs="Arial" w:eastAsia="Arial" w:hAnsi="Arial"/>
                <w:sz w:val="18"/>
                <w:szCs w:val="18"/>
                <w:b w:val="1"/>
                <w:bCs w:val="1"/>
                <w:color w:val="auto"/>
              </w:rPr>
              <w:t>Jurisdiction of Incorporation</w:t>
            </w:r>
          </w:p>
        </w:tc>
      </w:tr>
      <w:tr>
        <w:trPr>
          <w:trHeight w:val="21"/>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5720" w:type="dxa"/>
            <w:vAlign w:val="bottom"/>
            <w:tcBorders>
              <w:bottom w:val="single" w:sz="8" w:color="C0C0C0"/>
            </w:tcBorders>
          </w:tcPr>
          <w:p>
            <w:pPr>
              <w:spacing w:after="0" w:line="20" w:lineRule="exact"/>
              <w:rPr>
                <w:sz w:val="1"/>
                <w:szCs w:val="1"/>
                <w:color w:val="auto"/>
              </w:rPr>
            </w:pPr>
          </w:p>
        </w:tc>
        <w:tc>
          <w:tcPr>
            <w:tcW w:w="162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62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Shanghai Gingerroot Hotel Management Co., Ltd.</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Shanghai Gingerroot Hotel Management Co., Ltd., Beijing Branch</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Shanghai Gingerroot Hotel Management Co., Ltd., Guangzhou Branch</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(Bermuda) Limited</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Bermuda</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Asia-Pacific Corporation</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Beijing LLC</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Centre Toronto Limited Partnership</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Crescent LLC</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de Venezuela CA</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Venezuela, Bolivarian Republic of</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Florida LLC</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Forty-Five Park LLC</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Gaming (Peru) LLC</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Gaming Corporation</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Gateway Limited Partnership</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Grand Phoenix LLC</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Hawaii Hotels Corporation</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Hawaii</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Hotels (England) Ltd.</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Hotels (U.K.) Limited</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Intercontinental Limited</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Bahamas</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Intercontinental Ltd. - Israel Branch</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Israel</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International (Hong Kong) Limited</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International de Mexico LLC</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International GmbH</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Austria</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International IP, LLC</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International, LLC</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IPCO (Italy) LLC</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Key West LLC</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License Company Russia, Inc.</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License Operating Company, LLC</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Management Company Limited</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Bahamas</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Management GmbH</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Management, LLC</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Miami LLC</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Middle East Management LLC</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New Jersey Corporation</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New Jersey</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New York LLC</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on the Park Pty Ltd</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Australia</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Operating Corporation</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Overseas Company Limited</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Bahamas</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Overseas Company Limited, Egypt Branch</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Egypt</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Overseas Management Corporation</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Overseas Management Corporation - Tunis Branch</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Tunisia</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Overseas Management Corporation (Argentina Branch)</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Argentina</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Overseas Management Corporation (Thailand Branch)</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Thailand</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Overseas Technical Services LLC</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Peachtree LLC</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Puerto Rico Management LLC</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Royal Orchid Co. Ltd</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Thailand</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San Antonio Holdings LLC</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6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SGC Sub Corporation</w:t>
            </w:r>
          </w:p>
        </w:tc>
        <w:tc>
          <w:tcPr>
            <w:tcW w:w="4480" w:type="dxa"/>
            <w:vAlign w:val="bottom"/>
            <w:tcBorders>
              <w:bottom w:val="single" w:sz="8" w:color="C0C0C0"/>
            </w:tcBorders>
            <w:gridSpan w:val="3"/>
          </w:tcPr>
          <w:p>
            <w:pPr>
              <w:ind w:left="1620"/>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20"/>
          </w:cols>
          <w:pgMar w:left="340" w:top="121" w:right="339" w:bottom="144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80" w:type="dxa"/>
            <w:vAlign w:val="bottom"/>
            <w:gridSpan w:val="3"/>
          </w:tcPr>
          <w:p>
            <w:pPr>
              <w:ind w:left="2080"/>
              <w:spacing w:after="0"/>
              <w:rPr>
                <w:sz w:val="20"/>
                <w:szCs w:val="20"/>
                <w:color w:val="auto"/>
              </w:rPr>
            </w:pPr>
            <w:r>
              <w:rPr>
                <w:rFonts w:ascii="Arial" w:cs="Arial" w:eastAsia="Arial" w:hAnsi="Arial"/>
                <w:sz w:val="18"/>
                <w:szCs w:val="18"/>
                <w:b w:val="1"/>
                <w:bCs w:val="1"/>
                <w:color w:val="auto"/>
                <w:w w:val="91"/>
              </w:rPr>
              <w:t>Exhibit 21</w:t>
            </w:r>
          </w:p>
        </w:tc>
      </w:tr>
      <w:tr>
        <w:trPr>
          <w:trHeight w:val="864"/>
        </w:trPr>
        <w:tc>
          <w:tcPr>
            <w:tcW w:w="7220" w:type="dxa"/>
            <w:vAlign w:val="bottom"/>
            <w:gridSpan w:val="3"/>
          </w:tcPr>
          <w:p>
            <w:pPr>
              <w:ind w:left="20"/>
              <w:spacing w:after="0"/>
              <w:rPr>
                <w:sz w:val="20"/>
                <w:szCs w:val="20"/>
                <w:color w:val="auto"/>
              </w:rPr>
            </w:pPr>
            <w:r>
              <w:rPr>
                <w:rFonts w:ascii="Arial" w:cs="Arial" w:eastAsia="Arial" w:hAnsi="Arial"/>
                <w:sz w:val="18"/>
                <w:szCs w:val="18"/>
                <w:b w:val="1"/>
                <w:bCs w:val="1"/>
                <w:color w:val="auto"/>
              </w:rPr>
              <w:t>Entity Name</w:t>
            </w:r>
          </w:p>
        </w:tc>
        <w:tc>
          <w:tcPr>
            <w:tcW w:w="4000" w:type="dxa"/>
            <w:vAlign w:val="bottom"/>
            <w:gridSpan w:val="4"/>
          </w:tcPr>
          <w:p>
            <w:pPr>
              <w:ind w:left="1120"/>
              <w:spacing w:after="0"/>
              <w:rPr>
                <w:sz w:val="20"/>
                <w:szCs w:val="20"/>
                <w:color w:val="auto"/>
              </w:rPr>
            </w:pPr>
            <w:r>
              <w:rPr>
                <w:rFonts w:ascii="Arial" w:cs="Arial" w:eastAsia="Arial" w:hAnsi="Arial"/>
                <w:sz w:val="18"/>
                <w:szCs w:val="18"/>
                <w:b w:val="1"/>
                <w:bCs w:val="1"/>
                <w:color w:val="auto"/>
              </w:rPr>
              <w:t>Jurisdiction of Incorporation</w:t>
            </w:r>
          </w:p>
        </w:tc>
      </w:tr>
      <w:tr>
        <w:trPr>
          <w:trHeight w:val="21"/>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6220" w:type="dxa"/>
            <w:vAlign w:val="bottom"/>
            <w:tcBorders>
              <w:bottom w:val="single" w:sz="8" w:color="C0C0C0"/>
            </w:tcBorders>
          </w:tcPr>
          <w:p>
            <w:pPr>
              <w:spacing w:after="0" w:line="20" w:lineRule="exact"/>
              <w:rPr>
                <w:sz w:val="1"/>
                <w:szCs w:val="1"/>
                <w:color w:val="auto"/>
              </w:rPr>
            </w:pPr>
          </w:p>
        </w:tc>
        <w:tc>
          <w:tcPr>
            <w:tcW w:w="112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62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Suites LLC</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Texas LLC</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Vermont Corporation</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Vermont</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Sheraton West Houston Beverage, LLC</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SII Real Estate Holdings, Inc.</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SJMEC, Inc.</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SJMFB, LLC</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SLC Acquisition LLC</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SLC Atlanta LLC</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SLC Indianapolis LLC</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SLC Management LLC</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SLC Mexico, LLC</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SLC Operating Limited Partnership</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Socho, S.A.</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Argentina</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Sociedad Administradora General SA v CIA En Comandita Acciones (Joint Venture)</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Chile</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Societe des Hotels de Noumea</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New Caledonia</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Societe des Hotels Meridien</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Solar International Holdings Limited</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Cayman Islands</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SPG Holding, Inc.</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Arizona</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Spice Market Holdings, Inc.</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Spice Market NY, LLC</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New York</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SPRINGHILL SMC, LLC</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Square 369 Hotel Associates, LLC</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SRH Chicago LLC</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Illinois</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 Francis Hotel Corporation</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 Regis New York Holdings LLC</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 Regis New York Operating LLC</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 Regis San Francisco Hotel LLC</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 Regis Sheraton LLC</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 Real Estate Licensing LLC</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(M) France Holdings SAS</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(M) Hotels Holding Corporation</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(M) International Inc.</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(M) Middle East I, LLC</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(M) Middle East II, LLC</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(M) Services Company, Inc.</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(Ukraine) Management Company, Inc.</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AFIO &amp; Brussels GSO BVBA</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Belgium</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Alfonso XIII Hotel Company, S.L.U.</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Spain</w:t>
            </w:r>
          </w:p>
        </w:tc>
        <w:tc>
          <w:tcPr>
            <w:tcW w:w="20" w:type="dxa"/>
            <w:vAlign w:val="bottom"/>
          </w:tcPr>
          <w:p>
            <w:pPr>
              <w:spacing w:after="0"/>
              <w:rPr>
                <w:sz w:val="19"/>
                <w:szCs w:val="19"/>
                <w:color w:val="auto"/>
              </w:rPr>
            </w:pPr>
          </w:p>
        </w:tc>
      </w:tr>
      <w:tr>
        <w:trPr>
          <w:trHeight w:val="223"/>
        </w:trPr>
        <w:tc>
          <w:tcPr>
            <w:tcW w:w="7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Asia Pacific Hotels &amp; Resorts Pte. Ltd.</w:t>
            </w:r>
          </w:p>
        </w:tc>
        <w:tc>
          <w:tcPr>
            <w:tcW w:w="3980" w:type="dxa"/>
            <w:vAlign w:val="bottom"/>
            <w:tcBorders>
              <w:bottom w:val="single" w:sz="8" w:color="C0C0C0"/>
            </w:tcBorders>
            <w:gridSpan w:val="3"/>
          </w:tcPr>
          <w:p>
            <w:pPr>
              <w:ind w:left="1120"/>
              <w:spacing w:after="0"/>
              <w:rPr>
                <w:sz w:val="20"/>
                <w:szCs w:val="20"/>
                <w:color w:val="auto"/>
              </w:rPr>
            </w:pPr>
            <w:r>
              <w:rPr>
                <w:rFonts w:ascii="Arial" w:cs="Arial" w:eastAsia="Arial" w:hAnsi="Arial"/>
                <w:sz w:val="18"/>
                <w:szCs w:val="18"/>
                <w:color w:val="auto"/>
              </w:rPr>
              <w:t>Singapore</w:t>
            </w:r>
          </w:p>
        </w:tc>
        <w:tc>
          <w:tcPr>
            <w:tcW w:w="20" w:type="dxa"/>
            <w:vAlign w:val="bottom"/>
          </w:tcPr>
          <w:p>
            <w:pPr>
              <w:spacing w:after="0"/>
              <w:rPr>
                <w:sz w:val="19"/>
                <w:szCs w:val="19"/>
                <w:color w:val="auto"/>
              </w:rPr>
            </w:pPr>
          </w:p>
        </w:tc>
      </w:tr>
      <w:tr>
        <w:trPr>
          <w:trHeight w:val="844"/>
        </w:trPr>
        <w:tc>
          <w:tcPr>
            <w:tcW w:w="7220" w:type="dxa"/>
            <w:vAlign w:val="bottom"/>
            <w:gridSpan w:val="3"/>
          </w:tcPr>
          <w:p>
            <w:pPr>
              <w:ind w:left="5520"/>
              <w:spacing w:after="0"/>
              <w:rPr>
                <w:sz w:val="20"/>
                <w:szCs w:val="20"/>
                <w:color w:val="auto"/>
              </w:rPr>
            </w:pPr>
            <w:r>
              <w:rPr>
                <w:rFonts w:ascii="Arial" w:cs="Arial" w:eastAsia="Arial" w:hAnsi="Arial"/>
                <w:sz w:val="18"/>
                <w:szCs w:val="18"/>
                <w:color w:val="auto"/>
              </w:rPr>
              <w:t>15</w:t>
            </w:r>
          </w:p>
        </w:tc>
        <w:tc>
          <w:tcPr>
            <w:tcW w:w="1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20"/>
          </w:cols>
          <w:pgMar w:left="340" w:top="121" w:right="33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80" w:type="dxa"/>
            <w:vAlign w:val="bottom"/>
            <w:gridSpan w:val="3"/>
          </w:tcPr>
          <w:p>
            <w:pPr>
              <w:ind w:left="2080"/>
              <w:spacing w:after="0"/>
              <w:rPr>
                <w:sz w:val="20"/>
                <w:szCs w:val="20"/>
                <w:color w:val="auto"/>
              </w:rPr>
            </w:pPr>
            <w:r>
              <w:rPr>
                <w:rFonts w:ascii="Arial" w:cs="Arial" w:eastAsia="Arial" w:hAnsi="Arial"/>
                <w:sz w:val="18"/>
                <w:szCs w:val="18"/>
                <w:b w:val="1"/>
                <w:bCs w:val="1"/>
                <w:color w:val="auto"/>
                <w:w w:val="91"/>
              </w:rPr>
              <w:t>Exhibit 21</w:t>
            </w:r>
          </w:p>
        </w:tc>
      </w:tr>
      <w:tr>
        <w:trPr>
          <w:trHeight w:val="864"/>
        </w:trPr>
        <w:tc>
          <w:tcPr>
            <w:tcW w:w="7160" w:type="dxa"/>
            <w:vAlign w:val="bottom"/>
            <w:gridSpan w:val="3"/>
          </w:tcPr>
          <w:p>
            <w:pPr>
              <w:ind w:left="20"/>
              <w:spacing w:after="0"/>
              <w:rPr>
                <w:sz w:val="20"/>
                <w:szCs w:val="20"/>
                <w:color w:val="auto"/>
              </w:rPr>
            </w:pPr>
            <w:r>
              <w:rPr>
                <w:rFonts w:ascii="Arial" w:cs="Arial" w:eastAsia="Arial" w:hAnsi="Arial"/>
                <w:sz w:val="18"/>
                <w:szCs w:val="18"/>
                <w:b w:val="1"/>
                <w:bCs w:val="1"/>
                <w:color w:val="auto"/>
              </w:rPr>
              <w:t>Entity Name</w:t>
            </w:r>
          </w:p>
        </w:tc>
        <w:tc>
          <w:tcPr>
            <w:tcW w:w="4060" w:type="dxa"/>
            <w:vAlign w:val="bottom"/>
            <w:gridSpan w:val="4"/>
          </w:tcPr>
          <w:p>
            <w:pPr>
              <w:ind w:left="1180"/>
              <w:spacing w:after="0"/>
              <w:rPr>
                <w:sz w:val="20"/>
                <w:szCs w:val="20"/>
                <w:color w:val="auto"/>
              </w:rPr>
            </w:pPr>
            <w:r>
              <w:rPr>
                <w:rFonts w:ascii="Arial" w:cs="Arial" w:eastAsia="Arial" w:hAnsi="Arial"/>
                <w:sz w:val="18"/>
                <w:szCs w:val="18"/>
                <w:b w:val="1"/>
                <w:bCs w:val="1"/>
                <w:color w:val="auto"/>
              </w:rPr>
              <w:t>Jurisdiction of Incorporation</w:t>
            </w:r>
          </w:p>
        </w:tc>
      </w:tr>
      <w:tr>
        <w:trPr>
          <w:trHeight w:val="21"/>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6160" w:type="dxa"/>
            <w:vAlign w:val="bottom"/>
            <w:tcBorders>
              <w:bottom w:val="single" w:sz="8" w:color="C0C0C0"/>
            </w:tcBorders>
          </w:tcPr>
          <w:p>
            <w:pPr>
              <w:spacing w:after="0" w:line="20" w:lineRule="exact"/>
              <w:rPr>
                <w:sz w:val="1"/>
                <w:szCs w:val="1"/>
                <w:color w:val="auto"/>
              </w:rPr>
            </w:pPr>
          </w:p>
        </w:tc>
        <w:tc>
          <w:tcPr>
            <w:tcW w:w="118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62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Asia Pacific Hotels &amp; Resorts Pte. Ltd. (Maldives Branch)</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Maldives</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Asia Pacific Hotels &amp; Resorts Pte. Ltd. (Samoa Branch)</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Samoa</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Aspen Realty LLC</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Atlanta Colony Square Realty LLC</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Atlantic LLC</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Australia Hotels Pty Ltd</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Australia</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BPP Holdings LLC</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Canada ULC</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Cayman Holdings</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Cayman Islands</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Centralised Services Pty Limited</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Australia</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Checkmate Holdings, Inc.</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Chicago City Center Realty LLC</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Chicago Lakeshore Realty LLC</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Chicago Special Manager I, LLC</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Chicago Special Manager II, LLC</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Chile Holdings, S.A.</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Chile</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CMBS I LLC</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CMBS II LLC</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Customer Contact Centre (AP) Pte. Ltd.</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Singapore</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Development Consulting Services (AP) Pte. Ltd.</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Singapore</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EAME License &amp; Services Company BVBA, KSA Tax Registration</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Saudi Arabia</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EAME License and Services Company BVBA</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Belgium</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EAME License and Services Company BVBA, Kuwait Tax Registration</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Kuwait</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EAME Services Company BVBA</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Belgium</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Edison GP Holdings LLC</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Edison LP Holdings LLC</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Egypt Management Company SAE</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Egypt</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ESPP Funding, Inc.</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Fiji LLC</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Finance Luxembourg SARL</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Flight Operations, Inc.</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Holdings (HK) Limited</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Hong Kong Holdings</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Cayman Islands</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Hotel Management Company Greece S.A.</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Greece</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Hotels &amp; Resorts (SEA) Sdn. Bhd.</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Malaysia</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Hotels &amp; Resorts (Shanghai) Co., Ltd.</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Hotels &amp; Resorts (Shanghai) Co., Ltd., Beijing Branch</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Hotels &amp; Resorts (Shanghai) Co., Ltd., Guangzhou Branch</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Hotels &amp; Resorts India Private Limited</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India</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Hotels &amp; Resorts Management Company, LLC</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Hotels &amp; Resorts Worldwide, LLC</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Maryland</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Hotels (Thailand) Company Limited</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Thailand</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Hotels Japan Company</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India Private Limited</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India</w:t>
            </w:r>
          </w:p>
        </w:tc>
        <w:tc>
          <w:tcPr>
            <w:tcW w:w="20" w:type="dxa"/>
            <w:vAlign w:val="bottom"/>
          </w:tcPr>
          <w:p>
            <w:pPr>
              <w:spacing w:after="0"/>
              <w:rPr>
                <w:sz w:val="19"/>
                <w:szCs w:val="19"/>
                <w:color w:val="auto"/>
              </w:rPr>
            </w:pPr>
          </w:p>
        </w:tc>
      </w:tr>
      <w:tr>
        <w:trPr>
          <w:trHeight w:val="223"/>
        </w:trPr>
        <w:tc>
          <w:tcPr>
            <w:tcW w:w="716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International Finance Ltd</w:t>
            </w:r>
          </w:p>
        </w:tc>
        <w:tc>
          <w:tcPr>
            <w:tcW w:w="4040" w:type="dxa"/>
            <w:vAlign w:val="bottom"/>
            <w:tcBorders>
              <w:bottom w:val="single" w:sz="8" w:color="C0C0C0"/>
            </w:tcBorders>
            <w:gridSpan w:val="3"/>
          </w:tcPr>
          <w:p>
            <w:pPr>
              <w:ind w:left="1180"/>
              <w:spacing w:after="0"/>
              <w:rPr>
                <w:sz w:val="20"/>
                <w:szCs w:val="20"/>
                <w:color w:val="auto"/>
              </w:rPr>
            </w:pPr>
            <w:r>
              <w:rPr>
                <w:rFonts w:ascii="Arial" w:cs="Arial" w:eastAsia="Arial" w:hAnsi="Arial"/>
                <w:sz w:val="18"/>
                <w:szCs w:val="18"/>
                <w:color w:val="auto"/>
              </w:rPr>
              <w:t>Ireland</w:t>
            </w:r>
          </w:p>
        </w:tc>
        <w:tc>
          <w:tcPr>
            <w:tcW w:w="20" w:type="dxa"/>
            <w:vAlign w:val="bottom"/>
          </w:tcPr>
          <w:p>
            <w:pPr>
              <w:spacing w:after="0"/>
              <w:rPr>
                <w:sz w:val="19"/>
                <w:szCs w:val="19"/>
                <w:color w:val="auto"/>
              </w:rPr>
            </w:pPr>
          </w:p>
        </w:tc>
      </w:tr>
      <w:tr>
        <w:trPr>
          <w:trHeight w:val="844"/>
        </w:trPr>
        <w:tc>
          <w:tcPr>
            <w:tcW w:w="7160" w:type="dxa"/>
            <w:vAlign w:val="bottom"/>
            <w:gridSpan w:val="3"/>
          </w:tcPr>
          <w:p>
            <w:pPr>
              <w:ind w:left="5520"/>
              <w:spacing w:after="0"/>
              <w:rPr>
                <w:sz w:val="20"/>
                <w:szCs w:val="20"/>
                <w:color w:val="auto"/>
              </w:rPr>
            </w:pPr>
            <w:r>
              <w:rPr>
                <w:rFonts w:ascii="Arial" w:cs="Arial" w:eastAsia="Arial" w:hAnsi="Arial"/>
                <w:sz w:val="18"/>
                <w:szCs w:val="18"/>
                <w:color w:val="auto"/>
              </w:rPr>
              <w:t>16</w:t>
            </w:r>
          </w:p>
        </w:tc>
        <w:tc>
          <w:tcPr>
            <w:tcW w:w="11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20"/>
          </w:cols>
          <w:pgMar w:left="340" w:top="121" w:right="33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880" w:type="dxa"/>
            <w:vAlign w:val="bottom"/>
            <w:gridSpan w:val="3"/>
          </w:tcPr>
          <w:p>
            <w:pPr>
              <w:ind w:left="2080"/>
              <w:spacing w:after="0"/>
              <w:rPr>
                <w:sz w:val="20"/>
                <w:szCs w:val="20"/>
                <w:color w:val="auto"/>
              </w:rPr>
            </w:pPr>
            <w:r>
              <w:rPr>
                <w:rFonts w:ascii="Arial" w:cs="Arial" w:eastAsia="Arial" w:hAnsi="Arial"/>
                <w:sz w:val="18"/>
                <w:szCs w:val="18"/>
                <w:b w:val="1"/>
                <w:bCs w:val="1"/>
                <w:color w:val="auto"/>
                <w:w w:val="91"/>
              </w:rPr>
              <w:t>Exhibit 21</w:t>
            </w:r>
          </w:p>
        </w:tc>
      </w:tr>
      <w:tr>
        <w:trPr>
          <w:trHeight w:val="864"/>
        </w:trPr>
        <w:tc>
          <w:tcPr>
            <w:tcW w:w="4720" w:type="dxa"/>
            <w:vAlign w:val="bottom"/>
            <w:gridSpan w:val="3"/>
          </w:tcPr>
          <w:p>
            <w:pPr>
              <w:ind w:left="20"/>
              <w:spacing w:after="0"/>
              <w:rPr>
                <w:sz w:val="20"/>
                <w:szCs w:val="20"/>
                <w:color w:val="auto"/>
              </w:rPr>
            </w:pPr>
            <w:r>
              <w:rPr>
                <w:rFonts w:ascii="Arial" w:cs="Arial" w:eastAsia="Arial" w:hAnsi="Arial"/>
                <w:sz w:val="18"/>
                <w:szCs w:val="18"/>
                <w:b w:val="1"/>
                <w:bCs w:val="1"/>
                <w:color w:val="auto"/>
              </w:rPr>
              <w:t>Entity Name</w:t>
            </w:r>
          </w:p>
        </w:tc>
        <w:tc>
          <w:tcPr>
            <w:tcW w:w="6500" w:type="dxa"/>
            <w:vAlign w:val="bottom"/>
            <w:gridSpan w:val="4"/>
          </w:tcPr>
          <w:p>
            <w:pPr>
              <w:ind w:left="3620"/>
              <w:spacing w:after="0"/>
              <w:rPr>
                <w:sz w:val="20"/>
                <w:szCs w:val="20"/>
                <w:color w:val="auto"/>
              </w:rPr>
            </w:pPr>
            <w:r>
              <w:rPr>
                <w:rFonts w:ascii="Arial" w:cs="Arial" w:eastAsia="Arial" w:hAnsi="Arial"/>
                <w:sz w:val="18"/>
                <w:szCs w:val="18"/>
                <w:b w:val="1"/>
                <w:bCs w:val="1"/>
                <w:color w:val="auto"/>
              </w:rPr>
              <w:t>Jurisdiction of Incorporation</w:t>
            </w:r>
          </w:p>
        </w:tc>
      </w:tr>
      <w:tr>
        <w:trPr>
          <w:trHeight w:val="21"/>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3720" w:type="dxa"/>
            <w:vAlign w:val="bottom"/>
            <w:tcBorders>
              <w:bottom w:val="single" w:sz="8" w:color="C0C0C0"/>
            </w:tcBorders>
          </w:tcPr>
          <w:p>
            <w:pPr>
              <w:spacing w:after="0" w:line="20" w:lineRule="exact"/>
              <w:rPr>
                <w:sz w:val="1"/>
                <w:szCs w:val="1"/>
                <w:color w:val="auto"/>
              </w:rPr>
            </w:pPr>
          </w:p>
        </w:tc>
        <w:tc>
          <w:tcPr>
            <w:tcW w:w="362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62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International Holding SARL</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International Licensing Company SARL</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Israel Hotel Management - Israel Branch</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Israel</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Israel Hotel Management Inc.</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Italia S.R.L.</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Italy</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Lahaina LLC</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Latin America, Inc.</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Lexington Realty LLC</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Los Angeles Payroll Company, LLC</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Luxembourg Holding SARL</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Mexico II, LLC</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Mexico LF, S. de R.L. de C.V.</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Mexico Servicios Compartidos SA de CV</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Mexico, LLC</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Nevada Holdings, LLC</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Newton Realty LLC</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Omaha Realty LLC</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Operator I LLC</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Operator II LLC</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Pacific Hotels Pty Limited</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Australia</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Park Ridge GP Holdings LLC</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Park Ridge LP Holdings LLC</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Philadelphia Airport Realty I LLC</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Philadelphia Airport Realty II LLC</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Rancho Mirage Fee Owner, LLC</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Reservations (Canada) Co.</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Reservations LLC</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Reservations LLC (Irish Branch)</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Ireland</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Reservations LLC, Kuwait Tax Registration</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Kuwait</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Resventure LLC</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San Francisco Aloft Realty LLC</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Seattle Sixth Avenue Realty LLC</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Services (UK) Ltd.</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Services Poland Sp. z.o.o.</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Poland</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Sierra Suites License Company, LLC</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Taiwan Co. Ltd.</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Taiwan</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Wakefield Realty LLC</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 Weststate LLC</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Starwood-Charlotte Management LLC</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Stuttgart Sindelfingen Hotel Management GmbH</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Suites Management LLC</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SW Business Services, LLC</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Arizona</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Tamarind Cove Hotel Co. Limited</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Barbados</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Tamcove SL 1 Limited</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Saint Lucia</w:t>
            </w:r>
          </w:p>
        </w:tc>
        <w:tc>
          <w:tcPr>
            <w:tcW w:w="20" w:type="dxa"/>
            <w:vAlign w:val="bottom"/>
          </w:tcPr>
          <w:p>
            <w:pPr>
              <w:spacing w:after="0"/>
              <w:rPr>
                <w:sz w:val="19"/>
                <w:szCs w:val="19"/>
                <w:color w:val="auto"/>
              </w:rPr>
            </w:pPr>
          </w:p>
        </w:tc>
      </w:tr>
      <w:tr>
        <w:trPr>
          <w:trHeight w:val="223"/>
        </w:trPr>
        <w:tc>
          <w:tcPr>
            <w:tcW w:w="47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Thai Royal Orchid Real Estate Limited</w:t>
            </w:r>
          </w:p>
        </w:tc>
        <w:tc>
          <w:tcPr>
            <w:tcW w:w="6480" w:type="dxa"/>
            <w:vAlign w:val="bottom"/>
            <w:tcBorders>
              <w:bottom w:val="single" w:sz="8" w:color="C0C0C0"/>
            </w:tcBorders>
            <w:gridSpan w:val="3"/>
          </w:tcPr>
          <w:p>
            <w:pPr>
              <w:ind w:left="3620"/>
              <w:spacing w:after="0"/>
              <w:rPr>
                <w:sz w:val="20"/>
                <w:szCs w:val="20"/>
                <w:color w:val="auto"/>
              </w:rPr>
            </w:pPr>
            <w:r>
              <w:rPr>
                <w:rFonts w:ascii="Arial" w:cs="Arial" w:eastAsia="Arial" w:hAnsi="Arial"/>
                <w:sz w:val="18"/>
                <w:szCs w:val="18"/>
                <w:color w:val="auto"/>
              </w:rPr>
              <w:t>Thailand</w:t>
            </w:r>
          </w:p>
        </w:tc>
        <w:tc>
          <w:tcPr>
            <w:tcW w:w="20" w:type="dxa"/>
            <w:vAlign w:val="bottom"/>
          </w:tcPr>
          <w:p>
            <w:pPr>
              <w:spacing w:after="0"/>
              <w:rPr>
                <w:sz w:val="19"/>
                <w:szCs w:val="19"/>
                <w:color w:val="auto"/>
              </w:rPr>
            </w:pPr>
          </w:p>
        </w:tc>
      </w:tr>
      <w:tr>
        <w:trPr>
          <w:trHeight w:val="84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20" w:type="dxa"/>
            <w:vAlign w:val="bottom"/>
          </w:tcPr>
          <w:p>
            <w:pPr>
              <w:ind w:left="800"/>
              <w:spacing w:after="0"/>
              <w:rPr>
                <w:sz w:val="20"/>
                <w:szCs w:val="20"/>
                <w:color w:val="auto"/>
              </w:rPr>
            </w:pPr>
            <w:r>
              <w:rPr>
                <w:rFonts w:ascii="Arial" w:cs="Arial" w:eastAsia="Arial" w:hAnsi="Arial"/>
                <w:sz w:val="18"/>
                <w:szCs w:val="18"/>
                <w:color w:val="auto"/>
              </w:rPr>
              <w:t>17</w:t>
            </w:r>
          </w:p>
        </w:tc>
        <w:tc>
          <w:tcPr>
            <w:tcW w:w="2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20"/>
          </w:cols>
          <w:pgMar w:left="340" w:top="121" w:right="33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80" w:type="dxa"/>
            <w:vAlign w:val="bottom"/>
            <w:gridSpan w:val="3"/>
          </w:tcPr>
          <w:p>
            <w:pPr>
              <w:ind w:left="2080"/>
              <w:spacing w:after="0"/>
              <w:rPr>
                <w:sz w:val="20"/>
                <w:szCs w:val="20"/>
                <w:color w:val="auto"/>
              </w:rPr>
            </w:pPr>
            <w:r>
              <w:rPr>
                <w:rFonts w:ascii="Arial" w:cs="Arial" w:eastAsia="Arial" w:hAnsi="Arial"/>
                <w:sz w:val="18"/>
                <w:szCs w:val="18"/>
                <w:b w:val="1"/>
                <w:bCs w:val="1"/>
                <w:color w:val="auto"/>
                <w:w w:val="91"/>
              </w:rPr>
              <w:t>Exhibit 21</w:t>
            </w:r>
          </w:p>
        </w:tc>
      </w:tr>
      <w:tr>
        <w:trPr>
          <w:trHeight w:val="864"/>
        </w:trPr>
        <w:tc>
          <w:tcPr>
            <w:tcW w:w="7080" w:type="dxa"/>
            <w:vAlign w:val="bottom"/>
            <w:gridSpan w:val="3"/>
          </w:tcPr>
          <w:p>
            <w:pPr>
              <w:ind w:left="20"/>
              <w:spacing w:after="0"/>
              <w:rPr>
                <w:sz w:val="20"/>
                <w:szCs w:val="20"/>
                <w:color w:val="auto"/>
              </w:rPr>
            </w:pPr>
            <w:r>
              <w:rPr>
                <w:rFonts w:ascii="Arial" w:cs="Arial" w:eastAsia="Arial" w:hAnsi="Arial"/>
                <w:sz w:val="18"/>
                <w:szCs w:val="18"/>
                <w:b w:val="1"/>
                <w:bCs w:val="1"/>
                <w:color w:val="auto"/>
              </w:rPr>
              <w:t>Entity Name</w:t>
            </w:r>
          </w:p>
        </w:tc>
        <w:tc>
          <w:tcPr>
            <w:tcW w:w="4140" w:type="dxa"/>
            <w:vAlign w:val="bottom"/>
            <w:gridSpan w:val="4"/>
          </w:tcPr>
          <w:p>
            <w:pPr>
              <w:ind w:left="1260"/>
              <w:spacing w:after="0"/>
              <w:rPr>
                <w:sz w:val="20"/>
                <w:szCs w:val="20"/>
                <w:color w:val="auto"/>
              </w:rPr>
            </w:pPr>
            <w:r>
              <w:rPr>
                <w:rFonts w:ascii="Arial" w:cs="Arial" w:eastAsia="Arial" w:hAnsi="Arial"/>
                <w:sz w:val="18"/>
                <w:szCs w:val="18"/>
                <w:b w:val="1"/>
                <w:bCs w:val="1"/>
                <w:color w:val="auto"/>
              </w:rPr>
              <w:t>Jurisdiction of Incorporation</w:t>
            </w:r>
          </w:p>
        </w:tc>
      </w:tr>
      <w:tr>
        <w:trPr>
          <w:trHeight w:val="21"/>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6080" w:type="dxa"/>
            <w:vAlign w:val="bottom"/>
            <w:tcBorders>
              <w:bottom w:val="single" w:sz="8" w:color="C0C0C0"/>
            </w:tcBorders>
          </w:tcPr>
          <w:p>
            <w:pPr>
              <w:spacing w:after="0" w:line="20" w:lineRule="exact"/>
              <w:rPr>
                <w:sz w:val="1"/>
                <w:szCs w:val="1"/>
                <w:color w:val="auto"/>
              </w:rPr>
            </w:pPr>
          </w:p>
        </w:tc>
        <w:tc>
          <w:tcPr>
            <w:tcW w:w="126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62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The Dining Room Corporation</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Georgia</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The House SL 1 Limited</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Saint Lucia</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The R.C. Management Company of Mexico, S.A. de C.V.</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The Ritz-Carlton Hotel Company (Berlin) GmbH</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The Ritz-Carlton Hotel Company B.V.</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The Ritz-Carlton Hotel Company N.V.</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Curacao</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The Ritz-Carlton Hotel Company of Canada Limited</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The Ritz-Carlton Hotel Company of Chile S.A.</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Chile</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The Ritz-Carlton Hotel Company of Egypt S.A.E.</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Egypt</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The Ritz-Carlton Hotel Company of Mexico, S.A. de C.V.</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The Ritz-Carlton Hotel Company of Puerto Rico, Inc.</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The Ritz-Carlton Hotel Company of Singapore Pte Ltd</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Singapore</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The Ritz-Carlton Hotel Company of the Cayman Islands, Ltd.</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Cayman Islands</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The Ritz-Carlton Hotel Company, L.L.C.</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The Ritz-Carlton Hotel Company, L.L.C. (Malaysian Branch)</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Malaysia</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The Ritz-Carlton Hotel Company, Ltd.</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Bermuda</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The Ritz-Carlton Hotel Company, Ltd. (Bahamas Branch)</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Bahamas</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The Ritz-Carlton Hotel Management GmbH</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The Ritz-Carlton International Construction Services, Inc.</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The Ritz-Carlton International Licensing Company B.V.</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The Ritz-Carlton International Licensing Company, LLC</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The Ritz-Carlton International Management Company B.V.</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The Ritz-Carlton International Management Company B.V. (China Registration)</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The Ritz-Carlton Property Management Company (Kyoto) Ltd.</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The Ritz-Carlton Property Management Company (Tokyo), Ltd.</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The Ritz-Carlton Residences Management Company LLC</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The Ritz-Carlton Residential Management Company of Singapore Pte. Ltd.</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Singapore</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The Sheraton LLC</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The Westin Building Company</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Washington</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Tokyo Hospitality Service Company</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Torriam Hotel Operating Company Limited</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Ireland</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Torriam International Lodging N.V.</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Curacao</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Toulouse Operating Company SAS</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TownePlace Management, LLC</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Townhouse Management Realty LLC</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Transamerican Hoteles, S.A.S</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Dominican Republic</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Travel Ease International</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Cayman Islands</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Travel Ease International (Hong Kong) Limited</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Treasure SL 1 Limited</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Saint Lucia</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Treasure SL 1 Limited. (Barbados Branch)</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Barbados</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Tribute Portfolio IP, LLC</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Turtle Beach Resort Limited</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Barbados</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Turtle SL 1 Limited</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Saint Lucia</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Victory Beverages, Inc</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9"/>
                <w:szCs w:val="19"/>
                <w:color w:val="auto"/>
              </w:rPr>
            </w:pPr>
          </w:p>
        </w:tc>
      </w:tr>
      <w:tr>
        <w:trPr>
          <w:trHeight w:val="223"/>
        </w:trPr>
        <w:tc>
          <w:tcPr>
            <w:tcW w:w="708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 Atlanta Buckhead Beverage LLC</w:t>
            </w:r>
          </w:p>
        </w:tc>
        <w:tc>
          <w:tcPr>
            <w:tcW w:w="4120" w:type="dxa"/>
            <w:vAlign w:val="bottom"/>
            <w:tcBorders>
              <w:bottom w:val="single" w:sz="8" w:color="C0C0C0"/>
            </w:tcBorders>
            <w:gridSpan w:val="3"/>
          </w:tcPr>
          <w:p>
            <w:pPr>
              <w:ind w:left="12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844"/>
        </w:trPr>
        <w:tc>
          <w:tcPr>
            <w:tcW w:w="7080" w:type="dxa"/>
            <w:vAlign w:val="bottom"/>
            <w:gridSpan w:val="3"/>
          </w:tcPr>
          <w:p>
            <w:pPr>
              <w:ind w:left="5520"/>
              <w:spacing w:after="0"/>
              <w:rPr>
                <w:sz w:val="20"/>
                <w:szCs w:val="20"/>
                <w:color w:val="auto"/>
              </w:rPr>
            </w:pPr>
            <w:r>
              <w:rPr>
                <w:rFonts w:ascii="Arial" w:cs="Arial" w:eastAsia="Arial" w:hAnsi="Arial"/>
                <w:sz w:val="18"/>
                <w:szCs w:val="18"/>
                <w:color w:val="auto"/>
              </w:rPr>
              <w:t>18</w:t>
            </w:r>
          </w:p>
        </w:tc>
        <w:tc>
          <w:tcPr>
            <w:tcW w:w="12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20"/>
          </w:cols>
          <w:pgMar w:left="340" w:top="121" w:right="33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880" w:type="dxa"/>
            <w:vAlign w:val="bottom"/>
            <w:gridSpan w:val="3"/>
          </w:tcPr>
          <w:p>
            <w:pPr>
              <w:ind w:left="2080"/>
              <w:spacing w:after="0"/>
              <w:rPr>
                <w:sz w:val="20"/>
                <w:szCs w:val="20"/>
                <w:color w:val="auto"/>
              </w:rPr>
            </w:pPr>
            <w:r>
              <w:rPr>
                <w:rFonts w:ascii="Arial" w:cs="Arial" w:eastAsia="Arial" w:hAnsi="Arial"/>
                <w:sz w:val="18"/>
                <w:szCs w:val="18"/>
                <w:b w:val="1"/>
                <w:bCs w:val="1"/>
                <w:color w:val="auto"/>
                <w:w w:val="91"/>
              </w:rPr>
              <w:t>Exhibit 21</w:t>
            </w:r>
          </w:p>
        </w:tc>
      </w:tr>
      <w:tr>
        <w:trPr>
          <w:trHeight w:val="864"/>
        </w:trPr>
        <w:tc>
          <w:tcPr>
            <w:tcW w:w="4220" w:type="dxa"/>
            <w:vAlign w:val="bottom"/>
            <w:gridSpan w:val="3"/>
          </w:tcPr>
          <w:p>
            <w:pPr>
              <w:ind w:left="20"/>
              <w:spacing w:after="0"/>
              <w:rPr>
                <w:sz w:val="20"/>
                <w:szCs w:val="20"/>
                <w:color w:val="auto"/>
              </w:rPr>
            </w:pPr>
            <w:r>
              <w:rPr>
                <w:rFonts w:ascii="Arial" w:cs="Arial" w:eastAsia="Arial" w:hAnsi="Arial"/>
                <w:sz w:val="18"/>
                <w:szCs w:val="18"/>
                <w:b w:val="1"/>
                <w:bCs w:val="1"/>
                <w:color w:val="auto"/>
              </w:rPr>
              <w:t>Entity Name</w:t>
            </w:r>
          </w:p>
        </w:tc>
        <w:tc>
          <w:tcPr>
            <w:tcW w:w="7000" w:type="dxa"/>
            <w:vAlign w:val="bottom"/>
            <w:gridSpan w:val="4"/>
          </w:tcPr>
          <w:p>
            <w:pPr>
              <w:ind w:left="4120"/>
              <w:spacing w:after="0"/>
              <w:rPr>
                <w:sz w:val="20"/>
                <w:szCs w:val="20"/>
                <w:color w:val="auto"/>
              </w:rPr>
            </w:pPr>
            <w:r>
              <w:rPr>
                <w:rFonts w:ascii="Arial" w:cs="Arial" w:eastAsia="Arial" w:hAnsi="Arial"/>
                <w:sz w:val="18"/>
                <w:szCs w:val="18"/>
                <w:b w:val="1"/>
                <w:bCs w:val="1"/>
                <w:color w:val="auto"/>
              </w:rPr>
              <w:t>Jurisdiction of Incorporation</w:t>
            </w:r>
          </w:p>
        </w:tc>
      </w:tr>
      <w:tr>
        <w:trPr>
          <w:trHeight w:val="21"/>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3220" w:type="dxa"/>
            <w:vAlign w:val="bottom"/>
            <w:tcBorders>
              <w:bottom w:val="single" w:sz="8" w:color="C0C0C0"/>
            </w:tcBorders>
          </w:tcPr>
          <w:p>
            <w:pPr>
              <w:spacing w:after="0" w:line="20" w:lineRule="exact"/>
              <w:rPr>
                <w:sz w:val="1"/>
                <w:szCs w:val="1"/>
                <w:color w:val="auto"/>
              </w:rPr>
            </w:pPr>
          </w:p>
        </w:tc>
        <w:tc>
          <w:tcPr>
            <w:tcW w:w="412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62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 Atlanta Midtown Beverage, LLC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 Hotel Limited Partnership</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 Hotel Management, Inc.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 Hotels Management, LLC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 Hotels Music LLC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 Hotels Real Estate, LLC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 Hotels TCI GP Ltd.</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Turks and Caicos Islands</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 Hotels Turks &amp; Caicos LP</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Turks and Caicos Islands</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 International Hotel Management, Inc.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 International Inc.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 IPCO (Italy) LLC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 Leicester Square Ltd.</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 Miami Beach Holdings LLC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 Montreal Opco Inc.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 Operating Company LLC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 PR Management LLC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 San Diego Hotel, LLC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 Scottsdale Beverage LLC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 Turks &amp; Caicos GP, LLC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Washington Sheraton LLC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Water Acquisition, LLC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Waves Hotel Limited</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Barbados</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Waves SL 1 Limited</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Saint Lucia</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WEC 99C-1 LLC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WEC 99C-10 LLC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WEC 99C-11 LLC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WEC 99C-12 LLC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WEC 99C-13 LLC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WEC 99C-14 LLC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WEC 99C-2 LLC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WEC 99C-3 LLC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WEC 99C-4 LLC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WEC 99C-5 LLC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WEC 99C-6 LLC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WEC 99C-7 LLC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WEC 99C-8 LLC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WEC 99C-9 LLC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West Virginia Marriott Hotels, Inc.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West Virginia</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Western Host, Inc.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Westin 200, Inc.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Westin Arizona LLC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Westin Aruba Hotel Advisors, LLC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Westin Aruba Hotel Management LLC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Westin Asia Management Co., LLC</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Westin Asset Management Co.</w:t>
            </w:r>
          </w:p>
        </w:tc>
        <w:tc>
          <w:tcPr>
            <w:tcW w:w="6980" w:type="dxa"/>
            <w:vAlign w:val="bottom"/>
            <w:tcBorders>
              <w:bottom w:val="single" w:sz="8" w:color="C0C0C0"/>
            </w:tcBorders>
            <w:gridSpan w:val="3"/>
          </w:tcPr>
          <w:p>
            <w:pPr>
              <w:ind w:left="41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84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120" w:type="dxa"/>
            <w:vAlign w:val="bottom"/>
          </w:tcPr>
          <w:p>
            <w:pPr>
              <w:ind w:left="1300"/>
              <w:spacing w:after="0"/>
              <w:rPr>
                <w:sz w:val="20"/>
                <w:szCs w:val="20"/>
                <w:color w:val="auto"/>
              </w:rPr>
            </w:pPr>
            <w:r>
              <w:rPr>
                <w:rFonts w:ascii="Arial" w:cs="Arial" w:eastAsia="Arial" w:hAnsi="Arial"/>
                <w:sz w:val="18"/>
                <w:szCs w:val="18"/>
                <w:color w:val="auto"/>
              </w:rPr>
              <w:t>19</w:t>
            </w:r>
          </w:p>
        </w:tc>
        <w:tc>
          <w:tcPr>
            <w:tcW w:w="2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20"/>
          </w:cols>
          <w:pgMar w:left="340" w:top="121" w:right="33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880" w:type="dxa"/>
            <w:vAlign w:val="bottom"/>
            <w:gridSpan w:val="3"/>
          </w:tcPr>
          <w:p>
            <w:pPr>
              <w:ind w:left="2080"/>
              <w:spacing w:after="0"/>
              <w:rPr>
                <w:sz w:val="20"/>
                <w:szCs w:val="20"/>
                <w:color w:val="auto"/>
              </w:rPr>
            </w:pPr>
            <w:r>
              <w:rPr>
                <w:rFonts w:ascii="Arial" w:cs="Arial" w:eastAsia="Arial" w:hAnsi="Arial"/>
                <w:sz w:val="18"/>
                <w:szCs w:val="18"/>
                <w:b w:val="1"/>
                <w:bCs w:val="1"/>
                <w:color w:val="auto"/>
                <w:w w:val="91"/>
              </w:rPr>
              <w:t>Exhibit 21</w:t>
            </w:r>
          </w:p>
        </w:tc>
      </w:tr>
      <w:tr>
        <w:trPr>
          <w:trHeight w:val="864"/>
        </w:trPr>
        <w:tc>
          <w:tcPr>
            <w:tcW w:w="5020" w:type="dxa"/>
            <w:vAlign w:val="bottom"/>
            <w:gridSpan w:val="3"/>
          </w:tcPr>
          <w:p>
            <w:pPr>
              <w:ind w:left="20"/>
              <w:spacing w:after="0"/>
              <w:rPr>
                <w:sz w:val="20"/>
                <w:szCs w:val="20"/>
                <w:color w:val="auto"/>
              </w:rPr>
            </w:pPr>
            <w:r>
              <w:rPr>
                <w:rFonts w:ascii="Arial" w:cs="Arial" w:eastAsia="Arial" w:hAnsi="Arial"/>
                <w:sz w:val="18"/>
                <w:szCs w:val="18"/>
                <w:b w:val="1"/>
                <w:bCs w:val="1"/>
                <w:color w:val="auto"/>
              </w:rPr>
              <w:t>Entity Name</w:t>
            </w:r>
          </w:p>
        </w:tc>
        <w:tc>
          <w:tcPr>
            <w:tcW w:w="6200" w:type="dxa"/>
            <w:vAlign w:val="bottom"/>
            <w:gridSpan w:val="4"/>
          </w:tcPr>
          <w:p>
            <w:pPr>
              <w:ind w:left="3320"/>
              <w:spacing w:after="0"/>
              <w:rPr>
                <w:sz w:val="20"/>
                <w:szCs w:val="20"/>
                <w:color w:val="auto"/>
              </w:rPr>
            </w:pPr>
            <w:r>
              <w:rPr>
                <w:rFonts w:ascii="Arial" w:cs="Arial" w:eastAsia="Arial" w:hAnsi="Arial"/>
                <w:sz w:val="18"/>
                <w:szCs w:val="18"/>
                <w:b w:val="1"/>
                <w:bCs w:val="1"/>
                <w:color w:val="auto"/>
              </w:rPr>
              <w:t>Jurisdiction of Incorporation</w:t>
            </w:r>
          </w:p>
        </w:tc>
      </w:tr>
      <w:tr>
        <w:trPr>
          <w:trHeight w:val="21"/>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4020" w:type="dxa"/>
            <w:vAlign w:val="bottom"/>
            <w:tcBorders>
              <w:bottom w:val="single" w:sz="8" w:color="C0C0C0"/>
            </w:tcBorders>
          </w:tcPr>
          <w:p>
            <w:pPr>
              <w:spacing w:after="0" w:line="20" w:lineRule="exact"/>
              <w:rPr>
                <w:sz w:val="1"/>
                <w:szCs w:val="1"/>
                <w:color w:val="auto"/>
              </w:rPr>
            </w:pPr>
          </w:p>
        </w:tc>
        <w:tc>
          <w:tcPr>
            <w:tcW w:w="332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62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Westin Beverage Services LLC</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9"/>
                <w:szCs w:val="19"/>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Westin Birmingham Operator, LLC</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Westin Chicago at North River Payroll Company</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Westin CP Beverage Company, Inc.</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Westin Crown Plaza Hotel Company</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Westin DIA Operator, LLC</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Westin Hotel Management, L.P.</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Westin Hotel Management, L.P. (Dominican Republic Branch)</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Dominican Republic</w:t>
            </w:r>
          </w:p>
        </w:tc>
        <w:tc>
          <w:tcPr>
            <w:tcW w:w="20" w:type="dxa"/>
            <w:vAlign w:val="bottom"/>
          </w:tcPr>
          <w:p>
            <w:pPr>
              <w:spacing w:after="0"/>
              <w:rPr>
                <w:sz w:val="19"/>
                <w:szCs w:val="19"/>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Westin Hotels Management, LLC</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Westin Hotels PRC, LLC</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Westin International (Malta) Ltd</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Malta</w:t>
            </w:r>
          </w:p>
        </w:tc>
        <w:tc>
          <w:tcPr>
            <w:tcW w:w="20" w:type="dxa"/>
            <w:vAlign w:val="bottom"/>
          </w:tcPr>
          <w:p>
            <w:pPr>
              <w:spacing w:after="0"/>
              <w:rPr>
                <w:sz w:val="19"/>
                <w:szCs w:val="19"/>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Westin International Europe B.V.</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9"/>
                <w:szCs w:val="19"/>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Westin IPCO (Italy) LLC</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Westin Kierland, LLC</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Westin License Holding, LLC</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Westin Montreal Airport Hotel Company</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Westin O'Hare Hotel Company</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Westin Ontario (London) Hotel Company</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Westin Operator, LLC</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Westin Ottawa Management Co., LLC</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Westin Portland L.L.C.</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Westin Realty Corp.</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Westin River North, Chicago Beverage Company</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Westin San Antonio Resort Company</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Westin Savannah Holdings, LLC</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Westin St. Lucia Management LLC</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Westin Two Hundred L.L.C.</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Westin Washington Operator L.L.C.</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Wetbar New York, LLC</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WHC Payroll Company</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9"/>
                <w:szCs w:val="19"/>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Whiskey Blue Boston, LLC</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Whiskey Blue New Orleans, LLC</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WHLP Acquisition, LLC</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WHR Colorado Beverage Company</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Windward Investments Limited</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Barbados</w:t>
            </w:r>
          </w:p>
        </w:tc>
        <w:tc>
          <w:tcPr>
            <w:tcW w:w="20" w:type="dxa"/>
            <w:vAlign w:val="bottom"/>
          </w:tcPr>
          <w:p>
            <w:pPr>
              <w:spacing w:after="0"/>
              <w:rPr>
                <w:sz w:val="19"/>
                <w:szCs w:val="19"/>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Witty Restaurant Group, Inc.</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223"/>
        </w:trPr>
        <w:tc>
          <w:tcPr>
            <w:tcW w:w="5020" w:type="dxa"/>
            <w:vAlign w:val="bottom"/>
            <w:tcBorders>
              <w:bottom w:val="single" w:sz="8" w:color="C0C0C0"/>
            </w:tcBorders>
            <w:gridSpan w:val="3"/>
          </w:tcPr>
          <w:p>
            <w:pPr>
              <w:ind w:left="20"/>
              <w:spacing w:after="0"/>
              <w:rPr>
                <w:sz w:val="20"/>
                <w:szCs w:val="20"/>
                <w:color w:val="auto"/>
              </w:rPr>
            </w:pPr>
            <w:r>
              <w:rPr>
                <w:rFonts w:ascii="Arial" w:cs="Arial" w:eastAsia="Arial" w:hAnsi="Arial"/>
                <w:sz w:val="18"/>
                <w:szCs w:val="18"/>
                <w:color w:val="auto"/>
              </w:rPr>
              <w:t>Worldwide Franchise Systems, Inc.</w:t>
            </w:r>
          </w:p>
        </w:tc>
        <w:tc>
          <w:tcPr>
            <w:tcW w:w="6180" w:type="dxa"/>
            <w:vAlign w:val="bottom"/>
            <w:tcBorders>
              <w:bottom w:val="single" w:sz="8" w:color="C0C0C0"/>
            </w:tcBorders>
            <w:gridSpan w:val="3"/>
          </w:tcPr>
          <w:p>
            <w:pPr>
              <w:ind w:left="33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r>
      <w:tr>
        <w:trPr>
          <w:trHeight w:val="84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320" w:type="dxa"/>
            <w:vAlign w:val="bottom"/>
          </w:tcPr>
          <w:p>
            <w:pPr>
              <w:ind w:left="500"/>
              <w:spacing w:after="0"/>
              <w:rPr>
                <w:sz w:val="20"/>
                <w:szCs w:val="20"/>
                <w:color w:val="auto"/>
              </w:rPr>
            </w:pPr>
            <w:r>
              <w:rPr>
                <w:rFonts w:ascii="Arial" w:cs="Arial" w:eastAsia="Arial" w:hAnsi="Arial"/>
                <w:sz w:val="18"/>
                <w:szCs w:val="18"/>
                <w:color w:val="auto"/>
              </w:rPr>
              <w:t>20</w:t>
            </w:r>
          </w:p>
        </w:tc>
        <w:tc>
          <w:tcPr>
            <w:tcW w:w="2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20"/>
          </w:cols>
          <w:pgMar w:left="340" w:top="121"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9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52"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Registration Statement (Form S-8 No. 333-230005) pertaining to the Marriott International, Inc. Executive Deferred Compensation Plan;</w:t>
      </w:r>
    </w:p>
    <w:p>
      <w:pPr>
        <w:spacing w:after="0" w:line="34" w:lineRule="exact"/>
        <w:rPr>
          <w:rFonts w:ascii="Arial" w:cs="Arial" w:eastAsia="Arial" w:hAnsi="Arial"/>
          <w:sz w:val="17"/>
          <w:szCs w:val="17"/>
          <w:color w:val="auto"/>
        </w:rPr>
      </w:pPr>
    </w:p>
    <w:p>
      <w:pPr>
        <w:ind w:left="640" w:hanging="308"/>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Registration Statement (Form S-8 No. 333-58747) pertaining to the Marriott International, Inc. Employee Stock Purchase Plan;</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Registration Statement (Form S-8 No. 333-161194) pertaining to the Marriott International, Inc. Stock and Cash Incentive Plan, as amended;</w:t>
      </w:r>
    </w:p>
    <w:p>
      <w:pPr>
        <w:spacing w:after="0" w:line="20" w:lineRule="exact"/>
        <w:rPr>
          <w:rFonts w:ascii="Arial" w:cs="Arial" w:eastAsia="Arial" w:hAnsi="Arial"/>
          <w:sz w:val="17"/>
          <w:szCs w:val="17"/>
          <w:color w:val="auto"/>
        </w:rPr>
      </w:pPr>
    </w:p>
    <w:p>
      <w:pPr>
        <w:ind w:left="640" w:hanging="308"/>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Registration Statement (Form S-3 ASR No. 333-223058) of Marriott International, Inc.;</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Registration Statement (Form S-8 No. 333-236688) pertaining to the Marriott Retirement Savings Plan; and</w:t>
      </w:r>
    </w:p>
    <w:p>
      <w:pPr>
        <w:spacing w:after="0" w:line="9" w:lineRule="exact"/>
        <w:rPr>
          <w:rFonts w:ascii="Arial" w:cs="Arial" w:eastAsia="Arial" w:hAnsi="Arial"/>
          <w:sz w:val="18"/>
          <w:szCs w:val="18"/>
          <w:color w:val="auto"/>
        </w:rPr>
      </w:pPr>
    </w:p>
    <w:p>
      <w:pPr>
        <w:ind w:left="660" w:right="580" w:hanging="328"/>
        <w:spacing w:after="0" w:line="260" w:lineRule="auto"/>
        <w:tabs>
          <w:tab w:leader="none" w:pos="654"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Registration Statement (Form S-8 No. 333-249913) pertaining to the Marriott International, Inc. Puerto Rico Retirement Plan and San Juan Marriott Resort &amp; Stellaris Casino Employee Retirement Plan.</w:t>
      </w:r>
    </w:p>
    <w:p>
      <w:pPr>
        <w:spacing w:after="0" w:line="21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of our reports dated February 18, 2021, with respect to the consolidated financial statements of Marriott International, Inc., and the effectiveness of internal control over financial reporting of Marriott International, Inc., included in this Annual Report (Form 10-K) of Marriott International, Inc. for the year ended December 31, 2020.</w:t>
      </w:r>
    </w:p>
    <w:p>
      <w:pPr>
        <w:spacing w:after="0" w:line="34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2021</w:t>
      </w:r>
    </w:p>
    <w:p>
      <w:pPr>
        <w:sectPr>
          <w:pgSz w:w="11900" w:h="16838" w:orient="portrait"/>
          <w:cols w:equalWidth="0" w:num="1">
            <w:col w:w="11240"/>
          </w:cols>
          <w:pgMar w:left="320" w:top="89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Anthony G. Capuano, certify that:</w:t>
      </w:r>
    </w:p>
    <w:p>
      <w:pPr>
        <w:spacing w:after="0" w:line="171"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Marriott International, Inc.;</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40" w:hanging="644"/>
        <w:spacing w:after="0" w:line="263" w:lineRule="auto"/>
        <w:tabs>
          <w:tab w:leader="none" w:pos="1294"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420" w:hanging="644"/>
        <w:spacing w:after="0" w:line="342" w:lineRule="auto"/>
        <w:tabs>
          <w:tab w:leader="none" w:pos="1297"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644"/>
        <w:spacing w:after="0" w:line="277" w:lineRule="auto"/>
        <w:tabs>
          <w:tab w:leader="none" w:pos="1294"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ind w:left="40"/>
        <w:spacing w:after="0"/>
        <w:tabs>
          <w:tab w:leader="none" w:pos="5140" w:val="left"/>
        </w:tabs>
        <w:rPr>
          <w:sz w:val="20"/>
          <w:szCs w:val="20"/>
          <w:color w:val="auto"/>
        </w:rPr>
      </w:pPr>
      <w:r>
        <w:rPr>
          <w:rFonts w:ascii="Arial" w:cs="Arial" w:eastAsia="Arial" w:hAnsi="Arial"/>
          <w:sz w:val="18"/>
          <w:szCs w:val="18"/>
          <w:color w:val="auto"/>
        </w:rPr>
        <w:t>February 18, 2021</w:t>
      </w:r>
      <w:r>
        <w:rPr>
          <w:sz w:val="20"/>
          <w:szCs w:val="20"/>
          <w:color w:val="auto"/>
        </w:rPr>
        <w:tab/>
      </w:r>
      <w:r>
        <w:rPr>
          <w:rFonts w:ascii="Arial" w:cs="Arial" w:eastAsia="Arial" w:hAnsi="Arial"/>
          <w:sz w:val="16"/>
          <w:szCs w:val="16"/>
          <w:color w:val="auto"/>
        </w:rPr>
        <w:t>/s/ Anthony G. Capuano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38658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5">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Anthony G. Capuano</w:t>
      </w:r>
    </w:p>
    <w:p>
      <w:pPr>
        <w:ind w:left="5160"/>
        <w:spacing w:after="0" w:line="203" w:lineRule="auto"/>
        <w:rPr>
          <w:sz w:val="20"/>
          <w:szCs w:val="20"/>
          <w:color w:val="auto"/>
        </w:rPr>
      </w:pPr>
      <w:r>
        <w:rPr>
          <w:rFonts w:ascii="Arial" w:cs="Arial" w:eastAsia="Arial" w:hAnsi="Arial"/>
          <w:sz w:val="18"/>
          <w:szCs w:val="18"/>
          <w:color w:val="auto"/>
        </w:rPr>
        <w:t>Group President, Global Development, Design and Operations Services</w:t>
      </w:r>
    </w:p>
    <w:p>
      <w:pPr>
        <w:ind w:left="5160"/>
        <w:spacing w:after="0"/>
        <w:rPr>
          <w:sz w:val="20"/>
          <w:szCs w:val="20"/>
          <w:color w:val="auto"/>
        </w:rPr>
      </w:pPr>
      <w:r>
        <w:rPr>
          <w:rFonts w:ascii="Arial" w:cs="Arial" w:eastAsia="Arial" w:hAnsi="Arial"/>
          <w:sz w:val="18"/>
          <w:szCs w:val="18"/>
          <w:color w:val="auto"/>
        </w:rPr>
        <w:t>(Acting Co-Principal Executive Officer)</w:t>
      </w:r>
    </w:p>
    <w:p>
      <w:pPr>
        <w:sectPr>
          <w:pgSz w:w="11900" w:h="16838" w:orient="portrait"/>
          <w:cols w:equalWidth="0" w:num="1">
            <w:col w:w="11240"/>
          </w:cols>
          <w:pgMar w:left="320" w:top="891"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Stephanie Linnartz, certify that:</w:t>
      </w:r>
    </w:p>
    <w:p>
      <w:pPr>
        <w:spacing w:after="0" w:line="171"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Marriott International, Inc.;</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420" w:hanging="644"/>
        <w:spacing w:after="0" w:line="342" w:lineRule="auto"/>
        <w:tabs>
          <w:tab w:leader="none" w:pos="1297"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644"/>
        <w:spacing w:after="0" w:line="277" w:lineRule="auto"/>
        <w:tabs>
          <w:tab w:leader="none" w:pos="1294"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4600" w:val="left"/>
        </w:tabs>
        <w:rPr>
          <w:sz w:val="20"/>
          <w:szCs w:val="20"/>
          <w:color w:val="auto"/>
        </w:rPr>
      </w:pPr>
      <w:r>
        <w:rPr>
          <w:rFonts w:ascii="Arial" w:cs="Arial" w:eastAsia="Arial" w:hAnsi="Arial"/>
          <w:sz w:val="18"/>
          <w:szCs w:val="18"/>
          <w:color w:val="auto"/>
        </w:rPr>
        <w:t>February 18, 2021</w:t>
      </w:r>
      <w:r>
        <w:rPr>
          <w:sz w:val="20"/>
          <w:szCs w:val="20"/>
          <w:color w:val="auto"/>
        </w:rPr>
        <w:tab/>
      </w:r>
      <w:r>
        <w:rPr>
          <w:rFonts w:ascii="Arial" w:cs="Arial" w:eastAsia="Arial" w:hAnsi="Arial"/>
          <w:sz w:val="16"/>
          <w:szCs w:val="16"/>
          <w:color w:val="auto"/>
        </w:rPr>
        <w:t>/s/ Stephanie Linnartz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31750</wp:posOffset>
            </wp:positionV>
            <wp:extent cx="34632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6">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8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Stephanie Linnartz</w:t>
      </w:r>
    </w:p>
    <w:p>
      <w:pPr>
        <w:spacing w:after="0" w:line="3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Group President, Consumer Operations, Technology and Emerging</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Businesses</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(Acting Co-Principal Executive Officer)</w:t>
      </w:r>
    </w:p>
    <w:p>
      <w:pPr>
        <w:sectPr>
          <w:pgSz w:w="11900" w:h="16838" w:orient="portrait"/>
          <w:cols w:equalWidth="0" w:num="1">
            <w:col w:w="11240"/>
          </w:cols>
          <w:pgMar w:left="320" w:top="904"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Kathleen K. Oberg, certify that:</w:t>
      </w:r>
    </w:p>
    <w:p>
      <w:pPr>
        <w:spacing w:after="0" w:line="171"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Marriott International, Inc.;</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40" w:hanging="644"/>
        <w:spacing w:after="0" w:line="263" w:lineRule="auto"/>
        <w:tabs>
          <w:tab w:leader="none" w:pos="129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420" w:hanging="644"/>
        <w:spacing w:after="0" w:line="342" w:lineRule="auto"/>
        <w:tabs>
          <w:tab w:leader="none" w:pos="1297"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644"/>
        <w:spacing w:after="0" w:line="277" w:lineRule="auto"/>
        <w:tabs>
          <w:tab w:leader="none" w:pos="129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ind w:left="40"/>
        <w:spacing w:after="0"/>
        <w:tabs>
          <w:tab w:leader="none" w:pos="5140" w:val="left"/>
        </w:tabs>
        <w:rPr>
          <w:sz w:val="20"/>
          <w:szCs w:val="20"/>
          <w:color w:val="auto"/>
        </w:rPr>
      </w:pPr>
      <w:r>
        <w:rPr>
          <w:rFonts w:ascii="Arial" w:cs="Arial" w:eastAsia="Arial" w:hAnsi="Arial"/>
          <w:sz w:val="18"/>
          <w:szCs w:val="18"/>
          <w:color w:val="auto"/>
        </w:rPr>
        <w:t>February 18, 2021</w:t>
      </w:r>
      <w:r>
        <w:rPr>
          <w:sz w:val="20"/>
          <w:szCs w:val="20"/>
          <w:color w:val="auto"/>
        </w:rPr>
        <w:tab/>
      </w:r>
      <w:r>
        <w:rPr>
          <w:rFonts w:ascii="Arial" w:cs="Arial" w:eastAsia="Arial" w:hAnsi="Arial"/>
          <w:sz w:val="16"/>
          <w:szCs w:val="16"/>
          <w:color w:val="auto"/>
        </w:rPr>
        <w:t>/s/ Kathleen K. 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38658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7">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Kathleen K. Oberg</w:t>
      </w:r>
    </w:p>
    <w:p>
      <w:pPr>
        <w:ind w:left="5240"/>
        <w:spacing w:after="0" w:line="203" w:lineRule="auto"/>
        <w:rPr>
          <w:sz w:val="20"/>
          <w:szCs w:val="20"/>
          <w:color w:val="auto"/>
        </w:rPr>
      </w:pPr>
      <w:r>
        <w:rPr>
          <w:rFonts w:ascii="Arial" w:cs="Arial" w:eastAsia="Arial" w:hAnsi="Arial"/>
          <w:sz w:val="18"/>
          <w:szCs w:val="18"/>
          <w:color w:val="auto"/>
        </w:rPr>
        <w:t>Executive Vice President and</w:t>
      </w:r>
    </w:p>
    <w:p>
      <w:pPr>
        <w:ind w:left="5240"/>
        <w:spacing w:after="0" w:line="203"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Anthony G. Capuano, Acting Co-Principal Executive Officer of Marriott International, Inc. (the “Company”) certify that:</w:t>
      </w:r>
    </w:p>
    <w:p>
      <w:pPr>
        <w:spacing w:after="0" w:line="171" w:lineRule="exact"/>
        <w:rPr>
          <w:sz w:val="20"/>
          <w:szCs w:val="20"/>
          <w:color w:val="auto"/>
        </w:rPr>
      </w:pPr>
    </w:p>
    <w:p>
      <w:pPr>
        <w:ind w:left="1300" w:right="80" w:hanging="644"/>
        <w:spacing w:after="0" w:line="308" w:lineRule="auto"/>
        <w:tabs>
          <w:tab w:leader="none" w:pos="1294"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period ended December 31, 2020, (the “Annual Report”) fully complies with the requirements of section 13(a) or 15(d) of the Securities Exchange Act of 1934 (15 U.S.C. 78m or 78o(d)); and</w:t>
      </w:r>
    </w:p>
    <w:p>
      <w:pPr>
        <w:spacing w:after="0" w:line="92" w:lineRule="exact"/>
        <w:rPr>
          <w:rFonts w:ascii="Arial" w:cs="Arial" w:eastAsia="Arial" w:hAnsi="Arial"/>
          <w:sz w:val="17"/>
          <w:szCs w:val="17"/>
          <w:color w:val="auto"/>
        </w:rPr>
      </w:pPr>
    </w:p>
    <w:p>
      <w:pPr>
        <w:ind w:left="1300" w:right="20" w:hanging="644"/>
        <w:spacing w:after="0" w:line="277" w:lineRule="auto"/>
        <w:tabs>
          <w:tab w:leader="none" w:pos="129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89" w:lineRule="exact"/>
        <w:rPr>
          <w:sz w:val="20"/>
          <w:szCs w:val="20"/>
          <w:color w:val="auto"/>
        </w:rPr>
      </w:pPr>
    </w:p>
    <w:p>
      <w:pPr>
        <w:ind w:left="40"/>
        <w:spacing w:after="0"/>
        <w:tabs>
          <w:tab w:leader="none" w:pos="5140" w:val="left"/>
        </w:tabs>
        <w:rPr>
          <w:sz w:val="20"/>
          <w:szCs w:val="20"/>
          <w:color w:val="auto"/>
        </w:rPr>
      </w:pPr>
      <w:r>
        <w:rPr>
          <w:rFonts w:ascii="Arial" w:cs="Arial" w:eastAsia="Arial" w:hAnsi="Arial"/>
          <w:sz w:val="18"/>
          <w:szCs w:val="18"/>
          <w:color w:val="auto"/>
        </w:rPr>
        <w:t>February 18, 2021</w:t>
      </w:r>
      <w:r>
        <w:rPr>
          <w:sz w:val="20"/>
          <w:szCs w:val="20"/>
          <w:color w:val="auto"/>
        </w:rPr>
        <w:tab/>
      </w:r>
      <w:r>
        <w:rPr>
          <w:rFonts w:ascii="Arial" w:cs="Arial" w:eastAsia="Arial" w:hAnsi="Arial"/>
          <w:sz w:val="16"/>
          <w:szCs w:val="16"/>
          <w:color w:val="auto"/>
        </w:rPr>
        <w:t>/s/ Anthony G. Capuano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38658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8">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Anthony G. Capuano</w:t>
      </w:r>
    </w:p>
    <w:p>
      <w:pPr>
        <w:ind w:left="5160"/>
        <w:spacing w:after="0" w:line="203" w:lineRule="auto"/>
        <w:rPr>
          <w:sz w:val="20"/>
          <w:szCs w:val="20"/>
          <w:color w:val="auto"/>
        </w:rPr>
      </w:pPr>
      <w:r>
        <w:rPr>
          <w:rFonts w:ascii="Arial" w:cs="Arial" w:eastAsia="Arial" w:hAnsi="Arial"/>
          <w:sz w:val="18"/>
          <w:szCs w:val="18"/>
          <w:color w:val="auto"/>
        </w:rPr>
        <w:t>Group President, Global Development, Design and Operations Services</w:t>
      </w:r>
    </w:p>
    <w:p>
      <w:pPr>
        <w:ind w:left="5160"/>
        <w:spacing w:after="0"/>
        <w:rPr>
          <w:sz w:val="20"/>
          <w:szCs w:val="20"/>
          <w:color w:val="auto"/>
        </w:rPr>
      </w:pPr>
      <w:r>
        <w:rPr>
          <w:rFonts w:ascii="Arial" w:cs="Arial" w:eastAsia="Arial" w:hAnsi="Arial"/>
          <w:sz w:val="18"/>
          <w:szCs w:val="18"/>
          <w:color w:val="auto"/>
        </w:rPr>
        <w:t>(Acting Co-Principal Executive Officer)</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I, Stephanie Linnartz, Acting Co-Principal Executive Officer of Marriott International, Inc. (the “Company”) certify that:</w:t>
      </w:r>
    </w:p>
    <w:p>
      <w:pPr>
        <w:spacing w:after="0" w:line="171" w:lineRule="exact"/>
        <w:rPr>
          <w:sz w:val="20"/>
          <w:szCs w:val="20"/>
          <w:color w:val="auto"/>
        </w:rPr>
      </w:pPr>
    </w:p>
    <w:p>
      <w:pPr>
        <w:ind w:left="1300" w:right="80" w:hanging="644"/>
        <w:spacing w:after="0" w:line="308" w:lineRule="auto"/>
        <w:tabs>
          <w:tab w:leader="none" w:pos="1294"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period ended December 31, 2020, (the “Annual Report”) fully complies with the requirements of section 13(a) or 15(d) of the Securities Exchange Act of 1934 (15 U.S.C. 78m or 78o(d)); and</w:t>
      </w:r>
    </w:p>
    <w:p>
      <w:pPr>
        <w:spacing w:after="0" w:line="92" w:lineRule="exact"/>
        <w:rPr>
          <w:rFonts w:ascii="Arial" w:cs="Arial" w:eastAsia="Arial" w:hAnsi="Arial"/>
          <w:sz w:val="17"/>
          <w:szCs w:val="17"/>
          <w:color w:val="auto"/>
        </w:rPr>
      </w:pPr>
    </w:p>
    <w:p>
      <w:pPr>
        <w:ind w:left="1300" w:right="20" w:hanging="644"/>
        <w:spacing w:after="0" w:line="277" w:lineRule="auto"/>
        <w:tabs>
          <w:tab w:leader="none" w:pos="129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76" w:lineRule="exact"/>
        <w:rPr>
          <w:sz w:val="20"/>
          <w:szCs w:val="20"/>
          <w:color w:val="auto"/>
        </w:rPr>
      </w:pPr>
    </w:p>
    <w:p>
      <w:pPr>
        <w:ind w:left="40"/>
        <w:spacing w:after="0"/>
        <w:tabs>
          <w:tab w:leader="none" w:pos="5140" w:val="left"/>
        </w:tabs>
        <w:rPr>
          <w:sz w:val="20"/>
          <w:szCs w:val="20"/>
          <w:color w:val="auto"/>
        </w:rPr>
      </w:pPr>
      <w:r>
        <w:rPr>
          <w:rFonts w:ascii="Arial" w:cs="Arial" w:eastAsia="Arial" w:hAnsi="Arial"/>
          <w:sz w:val="18"/>
          <w:szCs w:val="18"/>
          <w:color w:val="auto"/>
        </w:rPr>
        <w:t>February 18, 2021</w:t>
      </w:r>
      <w:r>
        <w:rPr>
          <w:sz w:val="20"/>
          <w:szCs w:val="20"/>
          <w:color w:val="auto"/>
        </w:rPr>
        <w:tab/>
      </w:r>
      <w:r>
        <w:rPr>
          <w:rFonts w:ascii="Arial" w:cs="Arial" w:eastAsia="Arial" w:hAnsi="Arial"/>
          <w:sz w:val="16"/>
          <w:szCs w:val="16"/>
          <w:color w:val="auto"/>
        </w:rPr>
        <w:t>/s/ Stephanie Linnartz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38658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9">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Stephanie Linnartz</w:t>
      </w:r>
    </w:p>
    <w:p>
      <w:pPr>
        <w:ind w:left="5160"/>
        <w:spacing w:after="0" w:line="215" w:lineRule="auto"/>
        <w:rPr>
          <w:sz w:val="20"/>
          <w:szCs w:val="20"/>
          <w:color w:val="auto"/>
        </w:rPr>
      </w:pPr>
      <w:r>
        <w:rPr>
          <w:rFonts w:ascii="Arial" w:cs="Arial" w:eastAsia="Arial" w:hAnsi="Arial"/>
          <w:sz w:val="17"/>
          <w:szCs w:val="17"/>
          <w:color w:val="auto"/>
        </w:rPr>
        <w:t>Group President, Consumer Operations, Technology and Emerging Businesses</w:t>
      </w:r>
    </w:p>
    <w:p>
      <w:pPr>
        <w:ind w:left="5160"/>
        <w:spacing w:after="0"/>
        <w:rPr>
          <w:sz w:val="20"/>
          <w:szCs w:val="20"/>
          <w:color w:val="auto"/>
        </w:rPr>
      </w:pPr>
      <w:r>
        <w:rPr>
          <w:rFonts w:ascii="Arial" w:cs="Arial" w:eastAsia="Arial" w:hAnsi="Arial"/>
          <w:sz w:val="18"/>
          <w:szCs w:val="18"/>
          <w:color w:val="auto"/>
        </w:rPr>
        <w:t>(Acting Co-Principal Executive Officer)</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I, Kathleen K. Oberg, Executive Vice President and Chief Financial Officer of Marriott International, Inc. (the “Company”) certify that:</w:t>
      </w:r>
    </w:p>
    <w:p>
      <w:pPr>
        <w:spacing w:after="0" w:line="171" w:lineRule="exact"/>
        <w:rPr>
          <w:sz w:val="20"/>
          <w:szCs w:val="20"/>
          <w:color w:val="auto"/>
        </w:rPr>
      </w:pPr>
    </w:p>
    <w:p>
      <w:pPr>
        <w:ind w:left="1300" w:right="80" w:hanging="644"/>
        <w:spacing w:after="0" w:line="308" w:lineRule="auto"/>
        <w:tabs>
          <w:tab w:leader="none" w:pos="1294"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period ended December 31, 2020, (the “Annual Report”) fully complies with the requirements of section 13(a) or 15(d) of the Securities Exchange Act of 1934 (15 U.S.C. 78m or 78o(d)); and</w:t>
      </w:r>
    </w:p>
    <w:p>
      <w:pPr>
        <w:spacing w:after="0" w:line="92" w:lineRule="exact"/>
        <w:rPr>
          <w:rFonts w:ascii="Arial" w:cs="Arial" w:eastAsia="Arial" w:hAnsi="Arial"/>
          <w:sz w:val="17"/>
          <w:szCs w:val="17"/>
          <w:color w:val="auto"/>
        </w:rPr>
      </w:pPr>
    </w:p>
    <w:p>
      <w:pPr>
        <w:ind w:left="1300" w:right="20" w:hanging="644"/>
        <w:spacing w:after="0" w:line="277" w:lineRule="auto"/>
        <w:tabs>
          <w:tab w:leader="none" w:pos="129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89" w:lineRule="exact"/>
        <w:rPr>
          <w:sz w:val="20"/>
          <w:szCs w:val="20"/>
          <w:color w:val="auto"/>
        </w:rPr>
      </w:pPr>
    </w:p>
    <w:p>
      <w:pPr>
        <w:ind w:left="40"/>
        <w:spacing w:after="0"/>
        <w:tabs>
          <w:tab w:leader="none" w:pos="5140" w:val="left"/>
        </w:tabs>
        <w:rPr>
          <w:sz w:val="20"/>
          <w:szCs w:val="20"/>
          <w:color w:val="auto"/>
        </w:rPr>
      </w:pPr>
      <w:r>
        <w:rPr>
          <w:rFonts w:ascii="Arial" w:cs="Arial" w:eastAsia="Arial" w:hAnsi="Arial"/>
          <w:sz w:val="18"/>
          <w:szCs w:val="18"/>
          <w:color w:val="auto"/>
        </w:rPr>
        <w:t>February 18, 2021</w:t>
      </w:r>
      <w:r>
        <w:rPr>
          <w:sz w:val="20"/>
          <w:szCs w:val="20"/>
          <w:color w:val="auto"/>
        </w:rPr>
        <w:tab/>
      </w:r>
      <w:r>
        <w:rPr>
          <w:rFonts w:ascii="Arial" w:cs="Arial" w:eastAsia="Arial" w:hAnsi="Arial"/>
          <w:sz w:val="16"/>
          <w:szCs w:val="16"/>
          <w:color w:val="auto"/>
        </w:rPr>
        <w:t>/s/ Kathleen K. 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38658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0">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Kathleen K. Oberg</w:t>
      </w:r>
    </w:p>
    <w:p>
      <w:pPr>
        <w:ind w:left="5240"/>
        <w:spacing w:after="0" w:line="203" w:lineRule="auto"/>
        <w:rPr>
          <w:sz w:val="20"/>
          <w:szCs w:val="20"/>
          <w:color w:val="auto"/>
        </w:rPr>
      </w:pPr>
      <w:r>
        <w:rPr>
          <w:rFonts w:ascii="Arial" w:cs="Arial" w:eastAsia="Arial" w:hAnsi="Arial"/>
          <w:sz w:val="18"/>
          <w:szCs w:val="18"/>
          <w:color w:val="auto"/>
        </w:rPr>
        <w:t>Executive Vice President and</w:t>
      </w:r>
    </w:p>
    <w:p>
      <w:pPr>
        <w:ind w:left="5240"/>
        <w:spacing w:after="0" w:line="203"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4"/>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3"/>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58"/>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decimal"/>
      <w:start w:val="1"/>
    </w:lvl>
    <w:lvl w:ilvl="1">
      <w:lvlJc w:val="left"/>
      <w:lvlText w:val="(%2)"/>
      <w:numFmt w:val="lowerLetter"/>
      <w:start w:val="1"/>
    </w:lvl>
  </w:abstractNum>
  <w:abstractNum w:abstractNumId="35">
    <w:nsid w:val="5C482A97"/>
    <w:multiLevelType w:val="hybridMultilevel"/>
    <w:lvl w:ilvl="0">
      <w:lvlJc w:val="left"/>
      <w:lvlText w:val="%1."/>
      <w:numFmt w:val="decimal"/>
      <w:start w:val="1"/>
    </w:lvl>
    <w:lvl w:ilvl="1">
      <w:lvlJc w:val="left"/>
      <w:lvlText w:val="(%2)"/>
      <w:numFmt w:val="lowerLetter"/>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24" Type="http://schemas.openxmlformats.org/officeDocument/2006/relationships/image" Target="media/image98.png"/><Relationship Id="rId125" Type="http://schemas.openxmlformats.org/officeDocument/2006/relationships/image" Target="media/image99.png"/><Relationship Id="rId143" Type="http://schemas.openxmlformats.org/officeDocument/2006/relationships/image" Target="media/image100.png"/><Relationship Id="rId144" Type="http://schemas.openxmlformats.org/officeDocument/2006/relationships/image" Target="media/image101.png"/><Relationship Id="rId163" Type="http://schemas.openxmlformats.org/officeDocument/2006/relationships/image" Target="media/image102.png"/><Relationship Id="rId173" Type="http://schemas.openxmlformats.org/officeDocument/2006/relationships/image" Target="media/image103.png"/><Relationship Id="rId174" Type="http://schemas.openxmlformats.org/officeDocument/2006/relationships/image" Target="media/image104.png"/><Relationship Id="rId175" Type="http://schemas.openxmlformats.org/officeDocument/2006/relationships/image" Target="media/image105.png"/><Relationship Id="rId176" Type="http://schemas.openxmlformats.org/officeDocument/2006/relationships/image" Target="media/image106.png"/><Relationship Id="rId177" Type="http://schemas.openxmlformats.org/officeDocument/2006/relationships/image" Target="media/image107.png"/><Relationship Id="rId178" Type="http://schemas.openxmlformats.org/officeDocument/2006/relationships/image" Target="media/image108.png"/><Relationship Id="rId179" Type="http://schemas.openxmlformats.org/officeDocument/2006/relationships/image" Target="media/image109.png"/><Relationship Id="rId180" Type="http://schemas.openxmlformats.org/officeDocument/2006/relationships/image" Target="media/image110.png"/><Relationship Id="rId181" Type="http://schemas.openxmlformats.org/officeDocument/2006/relationships/image" Target="media/image111.png"/><Relationship Id="rId182" Type="http://schemas.openxmlformats.org/officeDocument/2006/relationships/image" Target="media/image112.png"/><Relationship Id="rId183" Type="http://schemas.openxmlformats.org/officeDocument/2006/relationships/image" Target="media/image113.png"/><Relationship Id="rId184" Type="http://schemas.openxmlformats.org/officeDocument/2006/relationships/image" Target="media/image114.png"/><Relationship Id="rId185" Type="http://schemas.openxmlformats.org/officeDocument/2006/relationships/image" Target="media/image115.png"/><Relationship Id="rId186" Type="http://schemas.openxmlformats.org/officeDocument/2006/relationships/image" Target="media/image116.png"/><Relationship Id="rId187" Type="http://schemas.openxmlformats.org/officeDocument/2006/relationships/image" Target="media/image117.png"/><Relationship Id="rId188" Type="http://schemas.openxmlformats.org/officeDocument/2006/relationships/image" Target="media/image118.png"/><Relationship Id="rId189" Type="http://schemas.openxmlformats.org/officeDocument/2006/relationships/image" Target="media/image119.png"/><Relationship Id="rId190" Type="http://schemas.openxmlformats.org/officeDocument/2006/relationships/image" Target="media/image120.png"/><Relationship Id="rId102" Type="http://schemas.openxmlformats.org/officeDocument/2006/relationships/hyperlink" Target="http://www.sec.gov/Archives/edgar/data/1048286/000118143106048907/rrd127798_15693.htm" TargetMode="External"/><Relationship Id="rId103" Type="http://schemas.openxmlformats.org/officeDocument/2006/relationships/hyperlink" Target="http://www.sec.gov/Archives/edgar/data/1048286/000119312519220960/d640459dex3ii.htm" TargetMode="External"/><Relationship Id="rId104" Type="http://schemas.openxmlformats.org/officeDocument/2006/relationships/hyperlink" Target="http://www.sec.gov/Archives/edgar/data/1048286/000119312505239225/dex45.htm" TargetMode="External"/><Relationship Id="rId105" Type="http://schemas.openxmlformats.org/officeDocument/2006/relationships/hyperlink" Target="http://www.sec.gov/Archives/edgar/data/1048286/0000928385-99-000780.txt" TargetMode="External"/><Relationship Id="rId106" Type="http://schemas.openxmlformats.org/officeDocument/2006/relationships/hyperlink" Target="https://www.sec.gov/Archives/edgar/data/1048286/000162828020002376/mar-q42019xexx43.htm" TargetMode="External"/><Relationship Id="rId107" Type="http://schemas.openxmlformats.org/officeDocument/2006/relationships/hyperlink" Target="https://www.sec.gov/Archives/edgar/data/1048286/000119312519187358/d110773dex10.htm" TargetMode="External"/><Relationship Id="rId108" Type="http://schemas.openxmlformats.org/officeDocument/2006/relationships/hyperlink" Target="https://www.sec.gov/Archives/edgar/data/1048286/000162828020007376/firstamendmenttocredit.htm" TargetMode="External"/><Relationship Id="rId112" Type="http://schemas.openxmlformats.org/officeDocument/2006/relationships/hyperlink" Target="https://www.sec.gov/Archives/edgar/data/1048286/000119312521019849/d59364dex101.htm" TargetMode="External"/><Relationship Id="rId113" Type="http://schemas.openxmlformats.org/officeDocument/2006/relationships/hyperlink" Target="https://www.sec.gov/Archives/edgar/data/1048286/000119312521019849/d59364dex102.htm" TargetMode="External"/><Relationship Id="rId114" Type="http://schemas.openxmlformats.org/officeDocument/2006/relationships/hyperlink" Target="http://www.sec.gov/Archives/edgar/data/1048286/000119312511317838/d257339dex101.htm" TargetMode="External"/><Relationship Id="rId115" Type="http://schemas.openxmlformats.org/officeDocument/2006/relationships/hyperlink" Target="http://www.sec.gov/Archives/edgar/data/1048286/000162828018002307/exhibit101-firstamendmentt.htm" TargetMode="External"/><Relationship Id="rId116" Type="http://schemas.openxmlformats.org/officeDocument/2006/relationships/hyperlink" Target="http://www.sec.gov/Archives/edgar/data/1048286/000162828018013710/mar-q32018xexx102.htm" TargetMode="External"/><Relationship Id="rId117" Type="http://schemas.openxmlformats.org/officeDocument/2006/relationships/hyperlink" Target="http://www.sec.gov/Archives/edgar/data/1048286/000119312511317838/d257339dex102.htm" TargetMode="External"/><Relationship Id="rId118" Type="http://schemas.openxmlformats.org/officeDocument/2006/relationships/hyperlink" Target="http://www.sec.gov/Archives/edgar/data/1048286/000162828018002307/exhibit102-amendmenttoritz.htm" TargetMode="External"/><Relationship Id="rId119" Type="http://schemas.openxmlformats.org/officeDocument/2006/relationships/hyperlink" Target="http://www.sec.gov/Archives/edgar/data/1048286/000119312511317838/d257339dex105.htm" TargetMode="External"/><Relationship Id="rId120" Type="http://schemas.openxmlformats.org/officeDocument/2006/relationships/hyperlink" Target="http://www.sec.gov/Archives/edgar/data/1048286/000162828018002307/exhibit103-firstamendmentt.htm" TargetMode="External"/><Relationship Id="rId121" Type="http://schemas.openxmlformats.org/officeDocument/2006/relationships/hyperlink" Target="https://www.sec.gov/Archives/edgar/data/1048286/000162828020002376/mar-q42019xexx1043x.htm" TargetMode="External"/><Relationship Id="rId122" Type="http://schemas.openxmlformats.org/officeDocument/2006/relationships/hyperlink" Target="http://www.sec.gov/Archives/edgar/data/1048286/000119312514131393/d655548ddef14a.htm" TargetMode="External"/><Relationship Id="rId123" Type="http://schemas.openxmlformats.org/officeDocument/2006/relationships/hyperlink" Target="http://www.sec.gov/Archives/edgar/data/1048286/000144530514004562/mar-q32014xexx10.htm" TargetMode="External"/><Relationship Id="rId126" Type="http://schemas.openxmlformats.org/officeDocument/2006/relationships/hyperlink" Target="http://www.sec.gov/Archives/edgar/data/1048286/000162828018001756/mar-q42017xexx1082.htm" TargetMode="External"/><Relationship Id="rId127" Type="http://schemas.openxmlformats.org/officeDocument/2006/relationships/hyperlink" Target="http://www.sec.gov/Archives/edgar/data/1048286/000162828018001756/mar-q42017xexx1083.htm" TargetMode="External"/><Relationship Id="rId128" Type="http://schemas.openxmlformats.org/officeDocument/2006/relationships/hyperlink" Target="http://www.sec.gov/Archives/edgar/data/1048286/000162828019002337/mar-q42018xexx1075.htm" TargetMode="External"/><Relationship Id="rId129" Type="http://schemas.openxmlformats.org/officeDocument/2006/relationships/hyperlink" Target="http://www.sec.gov/Archives/edgar/data/1048286/000162828019010070/mar-q22019xexx101.htm" TargetMode="External"/><Relationship Id="rId130" Type="http://schemas.openxmlformats.org/officeDocument/2006/relationships/hyperlink" Target="https://www.sec.gov/Archives/edgar/data/1048286/000162828020012272/mar-q22020xexx101amend.htm" TargetMode="External"/><Relationship Id="rId131" Type="http://schemas.openxmlformats.org/officeDocument/2006/relationships/hyperlink" Target="http://www.sec.gov/Archives/edgar/data/1048286/000119312509167021/dex99.htm" TargetMode="External"/><Relationship Id="rId132" Type="http://schemas.openxmlformats.org/officeDocument/2006/relationships/hyperlink" Target="http://www.sec.gov/Archives/edgar/data/1048286/000162828018001756/mar-q42017xexx1091.htm" TargetMode="External"/><Relationship Id="rId133" Type="http://schemas.openxmlformats.org/officeDocument/2006/relationships/hyperlink" Target="http://www.sec.gov/Archives/edgar/data/1048286/000162828018001756/mar-q42017xexx1092.htm" TargetMode="External"/><Relationship Id="rId134" Type="http://schemas.openxmlformats.org/officeDocument/2006/relationships/hyperlink" Target="http://www.sec.gov/Archives/edgar/data/1048286/000162828018001756/mar-q42017xexx1093.htm" TargetMode="External"/><Relationship Id="rId135" Type="http://schemas.openxmlformats.org/officeDocument/2006/relationships/hyperlink" Target="http://www.sec.gov/Archives/edgar/data/1048286/000162828018001756/mar-q42017xexx1094.htm" TargetMode="External"/><Relationship Id="rId136" Type="http://schemas.openxmlformats.org/officeDocument/2006/relationships/hyperlink" Target="http://www.sec.gov/Archives/edgar/data/1048286/000162828018001756/mar-q42017xexx1095.htm" TargetMode="External"/><Relationship Id="rId137" Type="http://schemas.openxmlformats.org/officeDocument/2006/relationships/hyperlink" Target="http://www.sec.gov/Archives/edgar/data/1048286/000162828018001756/mar-q42017xexx1096.htm" TargetMode="External"/><Relationship Id="rId138" Type="http://schemas.openxmlformats.org/officeDocument/2006/relationships/hyperlink" Target="http://www.sec.gov/Archives/edgar/data/1048286/000162828018001756/mar-q42017xex1097.htm" TargetMode="External"/><Relationship Id="rId139" Type="http://schemas.openxmlformats.org/officeDocument/2006/relationships/hyperlink" Target="http://www.sec.gov/Archives/edgar/data/1048286/000162828019002337/mar-xq42018xexx1098.htm" TargetMode="External"/><Relationship Id="rId140" Type="http://schemas.openxmlformats.org/officeDocument/2006/relationships/hyperlink" Target="http://www.sec.gov/Archives/edgar/data/1048286/000162828018001756/mar-q42017xexx1010.htm" TargetMode="External"/><Relationship Id="rId141" Type="http://schemas.openxmlformats.org/officeDocument/2006/relationships/hyperlink" Target="http://www.sec.gov/Archives/edgar/data/1048286/000162828018001756/mar-q42017xexx10101.htm" TargetMode="External"/><Relationship Id="rId142" Type="http://schemas.openxmlformats.org/officeDocument/2006/relationships/hyperlink" Target="http://www.sec.gov/Archives/edgar/data/1048286/000162828018001756/mar-q42017xexx1011.htm" TargetMode="External"/><Relationship Id="rId145" Type="http://schemas.openxmlformats.org/officeDocument/2006/relationships/hyperlink" Target="http://www.sec.gov/Archives/edgar/data/1048286/000162828018006463/mar-q12018xexx1061.htm" TargetMode="External"/><Relationship Id="rId146" Type="http://schemas.openxmlformats.org/officeDocument/2006/relationships/hyperlink" Target="http://www.sec.gov/Archives/edgar/data/1048286/000162828018006463/mar-q12018xexx1062.htm" TargetMode="External"/><Relationship Id="rId147" Type="http://schemas.openxmlformats.org/officeDocument/2006/relationships/hyperlink" Target="http://www.sec.gov/Archives/edgar/data/1048286/000162828019006493/mar-q12019xexx101.htm" TargetMode="External"/><Relationship Id="rId148" Type="http://schemas.openxmlformats.org/officeDocument/2006/relationships/hyperlink" Target="http://www.sec.gov/Archives/edgar/data/1048286/000162828019006493/mar-q12019xexx102.htm" TargetMode="External"/><Relationship Id="rId149" Type="http://schemas.openxmlformats.org/officeDocument/2006/relationships/hyperlink" Target="http://www.sec.gov/Archives/edgar/data/1048286/000162828018001756/mar-q42017xexx1012.htm" TargetMode="External"/><Relationship Id="rId150" Type="http://schemas.openxmlformats.org/officeDocument/2006/relationships/hyperlink" Target="http://www.sec.gov/Archives/edgar/data/1048286/000162828018001756/mar-q42017xexx10121.htm" TargetMode="External"/><Relationship Id="rId151" Type="http://schemas.openxmlformats.org/officeDocument/2006/relationships/hyperlink" Target="http://www.sec.gov/Archives/edgar/data/1048286/000162828018001756/mar-q42017xexx10122.htm" TargetMode="External"/><Relationship Id="rId152" Type="http://schemas.openxmlformats.org/officeDocument/2006/relationships/hyperlink" Target="http://www.sec.gov/Archives/edgar/data/1048286/000162828018006463/mar-q12018xexx107.htm" TargetMode="External"/><Relationship Id="rId153" Type="http://schemas.openxmlformats.org/officeDocument/2006/relationships/hyperlink" Target="http://www.sec.gov/Archives/edgar/data/1048286/000162828019006493/mar-q12019xexx103.htm" TargetMode="External"/><Relationship Id="rId154" Type="http://schemas.openxmlformats.org/officeDocument/2006/relationships/hyperlink" Target="http://www.sec.gov/Archives/edgar/data/1048286/000162828018006463/mar-q12018xexx108.htm" TargetMode="External"/><Relationship Id="rId155" Type="http://schemas.openxmlformats.org/officeDocument/2006/relationships/hyperlink" Target="http://www.sec.gov/Archives/edgar/data/1048286/000162828019006493/mar-q12019xexx104.htm" TargetMode="External"/><Relationship Id="rId156" Type="http://schemas.openxmlformats.org/officeDocument/2006/relationships/hyperlink" Target="https://www.sec.gov/Archives/edgar/data/1048286/000162828020012272/mar-q22020xexx102summa.htm" TargetMode="External"/><Relationship Id="rId157" Type="http://schemas.openxmlformats.org/officeDocument/2006/relationships/hyperlink" Target="http://www.sec.gov/Archives/edgar/data/1048286/000162828018006463/mar-q12018xexx109.htm" TargetMode="External"/><Relationship Id="rId158" Type="http://schemas.openxmlformats.org/officeDocument/2006/relationships/hyperlink" Target="http://www.sec.gov/Archives/edgar/data/48595/000095015399001056/0000950153-99-001056.txt" TargetMode="External"/><Relationship Id="rId159" Type="http://schemas.openxmlformats.org/officeDocument/2006/relationships/hyperlink" Target="http://www.sec.gov/Archives/edgar/data/48595/000095015301501294/p65781ex10-1.txt" TargetMode="External"/><Relationship Id="rId160" Type="http://schemas.openxmlformats.org/officeDocument/2006/relationships/hyperlink" Target="http://www.sec.gov/Archives/edgar/data/48595/000095015303001010/p67662exv10w2.txt" TargetMode="External"/><Relationship Id="rId161" Type="http://schemas.openxmlformats.org/officeDocument/2006/relationships/hyperlink" Target="http://www.sec.gov/Archives/edgar/data/316206/000091205702014764/a2076238zdef14a.htm" TargetMode="External"/><Relationship Id="rId162" Type="http://schemas.openxmlformats.org/officeDocument/2006/relationships/hyperlink" Target="http://www.sec.gov/Archives/edgar/data/48595/000095015303001010/p67662exv10w1.txt" TargetMode="External"/><Relationship Id="rId164" Type="http://schemas.openxmlformats.org/officeDocument/2006/relationships/hyperlink" Target="http://www.sec.gov/Archives/edgar/data/316206/000129993309000065/exhibit3.htm" TargetMode="External"/><Relationship Id="rId165" Type="http://schemas.openxmlformats.org/officeDocument/2006/relationships/hyperlink" Target="http://www.sec.gov/Archives/edgar/data/316206/000119312513302879/d546498dex101.htm" TargetMode="External"/><Relationship Id="rId166" Type="http://schemas.openxmlformats.org/officeDocument/2006/relationships/hyperlink" Target="http://www.sec.gov/Archives/edgar/data/316206/000119312513276781/d560702dex44.htm" TargetMode="External"/><Relationship Id="rId167" Type="http://schemas.openxmlformats.org/officeDocument/2006/relationships/hyperlink" Target="http://www.sec.gov/Archives/edgar/data/1048286/000162828018001756/mar-q42017xexx10191.htm" TargetMode="External"/><Relationship Id="rId168" Type="http://schemas.openxmlformats.org/officeDocument/2006/relationships/hyperlink" Target="http://www.sec.gov/Archives/edgar/data/1048286/000162828018001756/mar-q42017xexx1020.htm" TargetMode="External"/><Relationship Id="rId169" Type="http://schemas.openxmlformats.org/officeDocument/2006/relationships/hyperlink" Target="http://www.sec.gov/Archives/edgar/data/1048286/000162828018001756/mar-q42017xexx1021.htm" TargetMode="External"/><Relationship Id="rId170" Type="http://schemas.openxmlformats.org/officeDocument/2006/relationships/hyperlink" Target="http://www.sec.gov/Archives/edgar/data/1048286/000162828018001756/mar-q42017xexx1022.htm" TargetMode="External"/><Relationship Id="rId171" Type="http://schemas.openxmlformats.org/officeDocument/2006/relationships/hyperlink" Target="http://www.sec.gov/Archives/edgar/data/1048286/000162828018002307/exhibit105-marriottctrxame.htm" TargetMode="External"/><Relationship Id="rId172" Type="http://schemas.openxmlformats.org/officeDocument/2006/relationships/hyperlink" Target="http://www.sec.gov/Archives/edgar/data/1048286/000162828018013710/mar-q32018xex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2021-02-18T11:37:53Z</dcterms:created>
  <dcterms:modified xsi:type="dcterms:W3CDTF">2021-02-18T11:37:53Z</dcterms:modified>
</cp:coreProperties>
</file>