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51279dfwp.htm"/>
      <w:bookmarkStart w:id="1" w:name="ksd51279dfwp"/>
      <w:bookmarkEnd w:id="0"/>
      <w:bookmarkEnd w:id="1"/>
      <w:r>
        <w:rPr>
          <w:rFonts w:ascii="Times New Roman" w:hAnsi="Times New Roman"/>
          <w:b/>
          <w:sz w:val="20"/>
        </w:rPr>
        <w:t xml:space="preserve">Issuer Free Writing Prospectus 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supplementing the </w:t>
      </w:r>
    </w:p>
    <w:p>
      <w:pPr>
        <w:pStyle w:val="TextBody"/>
        <w:bidi w:val="0"/>
        <w:spacing w:before="0" w:after="0"/>
        <w:jc w:val="right"/>
        <w:rPr>
          <w:rFonts w:ascii="Times New Roman" w:hAnsi="Times New Roman"/>
          <w:b/>
          <w:sz w:val="20"/>
        </w:rPr>
      </w:pPr>
      <w:r>
        <w:rPr>
          <w:rFonts w:ascii="Times New Roman" w:hAnsi="Times New Roman"/>
          <w:b/>
          <w:sz w:val="20"/>
        </w:rPr>
        <w:t xml:space="preserve">Preliminary Prospectus Supplement dated August 11,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333-277039 </w:t>
      </w:r>
    </w:p>
    <w:p>
      <w:pPr>
        <w:pStyle w:val="TextBody"/>
        <w:bidi w:val="0"/>
        <w:spacing w:before="480" w:after="0"/>
        <w:jc w:val="center"/>
        <w:rPr>
          <w:rFonts w:ascii="Times New Roman" w:hAnsi="Times New Roman"/>
          <w:b/>
          <w:sz w:val="20"/>
        </w:rPr>
      </w:pPr>
      <w:r>
        <w:rPr>
          <w:rFonts w:ascii="Times New Roman" w:hAnsi="Times New Roman"/>
          <w:b/>
          <w:sz w:val="20"/>
        </w:rPr>
        <w:t xml:space="preserve">MARRIOTT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$250,000,000 4.875% Series NN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5.650% Series YY Notes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TERM SHEET </w:t>
      </w:r>
    </w:p>
    <w:p>
      <w:pPr>
        <w:pStyle w:val="TextBody"/>
        <w:bidi w:val="0"/>
        <w:spacing w:before="0" w:after="0"/>
        <w:jc w:val="center"/>
        <w:rPr>
          <w:rFonts w:ascii="Times New Roman" w:hAnsi="Times New Roman"/>
          <w:b/>
          <w:sz w:val="20"/>
        </w:rPr>
      </w:pPr>
      <w:r>
        <w:rPr>
          <w:rFonts w:ascii="Times New Roman" w:hAnsi="Times New Roman"/>
          <w:b/>
          <w:sz w:val="20"/>
        </w:rPr>
        <w:t xml:space="preserve">Dated: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This free writing prospectus relates only to the Securities described below and should be read together with Marriott International, Inc.’s preliminary prospectus supplement dated August 11, 2026 (the “Preliminary Prospectus Supplement”), the accompanying prospectus dated February 13, 2024 and the documents incorporated and deemed to be incorporated by reference therein.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4.875% Series NN Notes due 2029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the Preliminary Prospectus Supplement under “Description of the Notes,” the 4.875% Series NN Notes due 2029 offered hereby constitute an additional issuance of, and a single series with, the $500,000,000 aggregate principal amount of 4.875% Series NN Notes due 2029 that Marriott International, Inc. issued on February 22,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4"/>
        <w:gridCol w:w="122"/>
        <w:gridCol w:w="7129"/>
      </w:tblGrid>
      <w:tr>
        <w:trPr/>
        <w:tc>
          <w:tcPr>
            <w:tcW w:w="29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29" w:type="dxa"/>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Issuer:</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Marriott International, Inc. (the “Company”)</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Anticipated Ratings (Moody’s / S&amp;P)*:</w:t>
            </w:r>
          </w:p>
        </w:tc>
        <w:tc>
          <w:tcPr>
            <w:tcW w:w="122" w:type="dxa"/>
            <w:tcBorders/>
            <w:vAlign w:val="bottom"/>
          </w:tcPr>
          <w:p>
            <w:pPr>
              <w:pStyle w:val="TableContents"/>
              <w:bidi w:val="0"/>
              <w:spacing w:before="0" w:after="283"/>
              <w:jc w:val="left"/>
              <w:rPr/>
            </w:pPr>
            <w:r>
              <w:rPr/>
              <w:t>  </w:t>
            </w:r>
          </w:p>
        </w:tc>
        <w:tc>
          <w:tcPr>
            <w:tcW w:w="7129" w:type="dxa"/>
            <w:tcBorders/>
            <w:vAlign w:val="bottom"/>
          </w:tcPr>
          <w:p>
            <w:pPr>
              <w:pStyle w:val="TableContents"/>
              <w:bidi w:val="0"/>
              <w:spacing w:before="0" w:after="283"/>
              <w:jc w:val="left"/>
              <w:rPr/>
            </w:pPr>
            <w:r>
              <w:rPr/>
              <w:t>Baa2 / BBB</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Security:</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4.875% Series NN Notes due 2029 (the “Series NN Notes”)</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Aggregate Principal Reopening Amount:</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$250,000,000</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Aggregate Principal Amount:</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$750,000,000</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Maturity Date:</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May 15, 2029</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Coupon:</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4.875%</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Interest Payment Dates:</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May 15 and November 15, commencing on November 15, 2026</w:t>
            </w:r>
          </w:p>
        </w:tc>
      </w:tr>
      <w:tr>
        <w:trPr>
          <w:trHeight w:val="120" w:hRule="atLeast"/>
        </w:trPr>
        <w:tc>
          <w:tcPr>
            <w:tcW w:w="2954" w:type="dxa"/>
            <w:tcBorders/>
            <w:vAlign w:val="center"/>
          </w:tcPr>
          <w:p>
            <w:pPr>
              <w:pStyle w:val="TableContents"/>
              <w:bidi w:val="0"/>
              <w:spacing w:before="0" w:after="283"/>
              <w:jc w:val="left"/>
              <w:rPr>
                <w:sz w:val="4"/>
                <w:szCs w:val="4"/>
              </w:rPr>
            </w:pPr>
            <w:r>
              <w:rPr>
                <w:sz w:val="4"/>
                <w:szCs w:val="4"/>
              </w:rPr>
            </w:r>
          </w:p>
        </w:tc>
        <w:tc>
          <w:tcPr>
            <w:tcW w:w="7251" w:type="dxa"/>
            <w:gridSpan w:val="2"/>
            <w:tcBorders/>
            <w:vAlign w:val="center"/>
          </w:tcPr>
          <w:p>
            <w:pPr>
              <w:pStyle w:val="TableContents"/>
              <w:bidi w:val="0"/>
              <w:spacing w:before="0" w:after="283"/>
              <w:jc w:val="left"/>
              <w:rPr>
                <w:sz w:val="4"/>
                <w:szCs w:val="4"/>
              </w:rPr>
            </w:pPr>
            <w:r>
              <w:rPr>
                <w:sz w:val="4"/>
                <w:szCs w:val="4"/>
              </w:rPr>
            </w:r>
          </w:p>
        </w:tc>
      </w:tr>
      <w:tr>
        <w:trPr/>
        <w:tc>
          <w:tcPr>
            <w:tcW w:w="2954" w:type="dxa"/>
            <w:tcBorders/>
          </w:tcPr>
          <w:p>
            <w:pPr>
              <w:pStyle w:val="TableContents"/>
              <w:bidi w:val="0"/>
              <w:spacing w:before="0" w:after="283"/>
              <w:jc w:val="left"/>
              <w:rPr>
                <w:b/>
              </w:rPr>
            </w:pPr>
            <w:r>
              <w:rPr>
                <w:b/>
              </w:rPr>
              <w:t>Day Count Convention:</w:t>
            </w:r>
          </w:p>
        </w:tc>
        <w:tc>
          <w:tcPr>
            <w:tcW w:w="122" w:type="dxa"/>
            <w:tcBorders/>
            <w:vAlign w:val="bottom"/>
          </w:tcPr>
          <w:p>
            <w:pPr>
              <w:pStyle w:val="TableContents"/>
              <w:bidi w:val="0"/>
              <w:spacing w:before="0" w:after="283"/>
              <w:jc w:val="left"/>
              <w:rPr/>
            </w:pPr>
            <w:r>
              <w:rPr/>
              <w:t>  </w:t>
            </w:r>
          </w:p>
        </w:tc>
        <w:tc>
          <w:tcPr>
            <w:tcW w:w="7129" w:type="dxa"/>
            <w:tcBorders/>
          </w:tcPr>
          <w:p>
            <w:pPr>
              <w:pStyle w:val="TableContents"/>
              <w:bidi w:val="0"/>
              <w:spacing w:before="0" w:after="283"/>
              <w:jc w:val="left"/>
              <w:rPr/>
            </w:pPr>
            <w:r>
              <w:rPr/>
              <w:t>360-day year consisting of twelve 30-day months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96"/>
        <w:gridCol w:w="120"/>
        <w:gridCol w:w="7089"/>
      </w:tblGrid>
      <w:tr>
        <w:trPr/>
        <w:tc>
          <w:tcPr>
            <w:tcW w:w="29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Price to Public:</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100.205% of the principal reopening amount, plus accrued interest from May 15, 2026</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4.125% due July 15, 2029</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Benchmark Treasury Price / Yield:</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99-17+ / 4.291%</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50 basis points</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Reoffer Yield to Maturity:</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4.791%</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Accrued Interest Payable to Marriott International, Inc. by the Underwriters:</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283"/>
              <w:jc w:val="left"/>
              <w:rPr/>
            </w:pPr>
            <w:r>
              <w:rPr/>
              <w:t>Accrued interest from and including May 15, 2026 to but excluding the expected settlement date set forth below. Interest on the Series NN Notes offered hereby will accrue from and including May 15, 2026.</w:t>
            </w:r>
          </w:p>
        </w:tc>
      </w:tr>
      <w:tr>
        <w:trPr>
          <w:trHeight w:val="120" w:hRule="atLeast"/>
        </w:trPr>
        <w:tc>
          <w:tcPr>
            <w:tcW w:w="2996" w:type="dxa"/>
            <w:tcBorders/>
            <w:vAlign w:val="center"/>
          </w:tcPr>
          <w:p>
            <w:pPr>
              <w:pStyle w:val="TableContents"/>
              <w:bidi w:val="0"/>
              <w:spacing w:before="0" w:after="283"/>
              <w:jc w:val="left"/>
              <w:rPr>
                <w:sz w:val="4"/>
                <w:szCs w:val="4"/>
              </w:rPr>
            </w:pPr>
            <w:r>
              <w:rPr>
                <w:sz w:val="4"/>
                <w:szCs w:val="4"/>
              </w:rPr>
            </w:r>
          </w:p>
        </w:tc>
        <w:tc>
          <w:tcPr>
            <w:tcW w:w="7209" w:type="dxa"/>
            <w:gridSpan w:val="2"/>
            <w:tcBorders/>
            <w:vAlign w:val="center"/>
          </w:tcPr>
          <w:p>
            <w:pPr>
              <w:pStyle w:val="TableContents"/>
              <w:bidi w:val="0"/>
              <w:spacing w:before="0" w:after="283"/>
              <w:jc w:val="left"/>
              <w:rPr>
                <w:sz w:val="4"/>
                <w:szCs w:val="4"/>
              </w:rPr>
            </w:pPr>
            <w:r>
              <w:rPr>
                <w:sz w:val="4"/>
                <w:szCs w:val="4"/>
              </w:rPr>
            </w:r>
          </w:p>
        </w:tc>
      </w:tr>
      <w:tr>
        <w:trPr/>
        <w:tc>
          <w:tcPr>
            <w:tcW w:w="2996" w:type="dxa"/>
            <w:tcBorders/>
          </w:tcPr>
          <w:p>
            <w:pPr>
              <w:pStyle w:val="TableContents"/>
              <w:bidi w:val="0"/>
              <w:spacing w:before="0" w:after="283"/>
              <w:jc w:val="left"/>
              <w:rPr>
                <w:b/>
              </w:rPr>
            </w:pPr>
            <w:r>
              <w:rPr>
                <w:b/>
              </w:rPr>
              <w:t>Optional Redemption Provisions:</w:t>
            </w:r>
          </w:p>
        </w:tc>
        <w:tc>
          <w:tcPr>
            <w:tcW w:w="120" w:type="dxa"/>
            <w:tcBorders/>
            <w:vAlign w:val="bottom"/>
          </w:tcPr>
          <w:p>
            <w:pPr>
              <w:pStyle w:val="TableContents"/>
              <w:bidi w:val="0"/>
              <w:spacing w:before="0" w:after="283"/>
              <w:jc w:val="left"/>
              <w:rPr/>
            </w:pPr>
            <w:r>
              <w:rPr/>
              <w:t>  </w:t>
            </w:r>
          </w:p>
        </w:tc>
        <w:tc>
          <w:tcPr>
            <w:tcW w:w="7089" w:type="dxa"/>
            <w:tcBorders/>
          </w:tcPr>
          <w:p>
            <w:pPr>
              <w:pStyle w:val="TableContents"/>
              <w:bidi w:val="0"/>
              <w:spacing w:before="0" w:after="0"/>
              <w:jc w:val="left"/>
              <w:rPr>
                <w:rFonts w:ascii="Times New Roman" w:hAnsi="Times New Roman"/>
                <w:sz w:val="20"/>
              </w:rPr>
            </w:pPr>
            <w:r>
              <w:rPr>
                <w:rFonts w:ascii="Times New Roman" w:hAnsi="Times New Roman"/>
                <w:sz w:val="20"/>
              </w:rPr>
              <w:t>Prior to April 15, 2029 (one month prior to the maturity date of the Series NN Notes) (the “Series NN Par Call Date”), the Company may redeem the Series NN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NN Notes discounted to the redemption date (assuming the Series NN Notes matured on the Series NN Par Call Date) on a semi-annual basis (assuming a 360-day year consisting of twelve 30-day months) at the Treasury Rate plus 15 basis points less (b) interest accrued to the date of redemption, and (2) 100% of the principal amount of the Series NN Notes to be redeemed, plus, in either case, accrued and unpaid interest on the Series NN Notes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Series NN Par Call Date, the Company may redeem the Series NN Notes, in whole or in part, at any time and from time to time, at its option, at a redemption price equal to 100% of the principal amount of the Series NN Notes being redeemed plus accrued and unpaid interest on the Series NN Notes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86"/>
        <w:gridCol w:w="120"/>
        <w:gridCol w:w="7099"/>
      </w:tblGrid>
      <w:tr>
        <w:trPr/>
        <w:tc>
          <w:tcPr>
            <w:tcW w:w="29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9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Change of Control:</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Issuer repurchase offer required following certain changes of control as described in the Preliminary Prospectus Supplement.</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Trade Date:</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August 11, 2026</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Expected Settlement Date**:</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August 13, 2026 (T+2)</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CUSIP / ISIN:</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571903 BP7 / US571903BP73</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Denominations: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283"/>
              <w:jc w:val="left"/>
              <w:rPr/>
            </w:pPr>
            <w:r>
              <w:rPr/>
              <w:t>$2,000 and integral multiples of $1,000 in excess thereof</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Joint Book-Running Managers: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2986" w:type="dxa"/>
            <w:tcBorders/>
            <w:vAlign w:val="center"/>
          </w:tcPr>
          <w:p>
            <w:pPr>
              <w:pStyle w:val="TableContents"/>
              <w:bidi w:val="0"/>
              <w:spacing w:before="0" w:after="283"/>
              <w:jc w:val="left"/>
              <w:rPr>
                <w:sz w:val="4"/>
                <w:szCs w:val="4"/>
              </w:rPr>
            </w:pPr>
            <w:r>
              <w:rPr>
                <w:sz w:val="4"/>
                <w:szCs w:val="4"/>
              </w:rPr>
            </w:r>
          </w:p>
        </w:tc>
        <w:tc>
          <w:tcPr>
            <w:tcW w:w="7219" w:type="dxa"/>
            <w:gridSpan w:val="2"/>
            <w:tcBorders/>
            <w:vAlign w:val="center"/>
          </w:tcPr>
          <w:p>
            <w:pPr>
              <w:pStyle w:val="TableContents"/>
              <w:bidi w:val="0"/>
              <w:spacing w:before="0" w:after="283"/>
              <w:jc w:val="left"/>
              <w:rPr>
                <w:sz w:val="4"/>
                <w:szCs w:val="4"/>
              </w:rPr>
            </w:pPr>
            <w:r>
              <w:rPr>
                <w:sz w:val="4"/>
                <w:szCs w:val="4"/>
              </w:rPr>
            </w:r>
          </w:p>
        </w:tc>
      </w:tr>
      <w:tr>
        <w:trPr/>
        <w:tc>
          <w:tcPr>
            <w:tcW w:w="2986" w:type="dxa"/>
            <w:tcBorders/>
          </w:tcPr>
          <w:p>
            <w:pPr>
              <w:pStyle w:val="TableContents"/>
              <w:bidi w:val="0"/>
              <w:spacing w:before="0" w:after="283"/>
              <w:jc w:val="left"/>
              <w:rPr>
                <w:b/>
              </w:rPr>
            </w:pPr>
            <w:r>
              <w:rPr>
                <w:b/>
              </w:rPr>
              <w:t>Senior Co-Managers:</w:t>
            </w:r>
          </w:p>
        </w:tc>
        <w:tc>
          <w:tcPr>
            <w:tcW w:w="120" w:type="dxa"/>
            <w:tcBorders/>
            <w:vAlign w:val="bottom"/>
          </w:tcPr>
          <w:p>
            <w:pPr>
              <w:pStyle w:val="TableContents"/>
              <w:bidi w:val="0"/>
              <w:spacing w:before="0" w:after="283"/>
              <w:jc w:val="left"/>
              <w:rPr/>
            </w:pPr>
            <w:r>
              <w:rPr/>
              <w:t>  </w:t>
            </w:r>
          </w:p>
        </w:tc>
        <w:tc>
          <w:tcPr>
            <w:tcW w:w="7099" w:type="dxa"/>
            <w:tcBorders/>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UniCredit Capital Markets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5.650% Series YY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9"/>
        <w:gridCol w:w="120"/>
        <w:gridCol w:w="7136"/>
      </w:tblGrid>
      <w:tr>
        <w:trPr/>
        <w:tc>
          <w:tcPr>
            <w:tcW w:w="29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6" w:type="dxa"/>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Issuer:</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Marriott International, Inc. (the “Company”)</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Anticipated Ratings (Moody’s / S&amp;P)*:</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Baa2 / BBB</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Security: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5.650% Series YY Notes due 2036 (the “Series YY Notes”)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Aggregate Principal Amount:</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$1,000,000,000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Maturity Date:</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September 15, 2036</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Coupon: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5.650%</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Interest Payment Dates:</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March 15 and September 15, commencing on March 15, 2027</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Day Count Convention:</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360-day year consisting of twelve 30-day months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Price to Public:</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99.325% of the principal amount</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4.375% due May 15, 2036</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Benchmark Treasury Price / Yield:</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97-18 / 4.688%</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Spread to Benchmark Treasury: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105 basis points</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Yield to Maturity:</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5.738%</w:t>
            </w:r>
          </w:p>
        </w:tc>
      </w:tr>
      <w:tr>
        <w:trPr>
          <w:trHeight w:val="120" w:hRule="atLeast"/>
        </w:trPr>
        <w:tc>
          <w:tcPr>
            <w:tcW w:w="2949" w:type="dxa"/>
            <w:tcBorders/>
            <w:vAlign w:val="center"/>
          </w:tcPr>
          <w:p>
            <w:pPr>
              <w:pStyle w:val="TableContents"/>
              <w:bidi w:val="0"/>
              <w:spacing w:before="0" w:after="283"/>
              <w:jc w:val="left"/>
              <w:rPr>
                <w:sz w:val="4"/>
                <w:szCs w:val="4"/>
              </w:rPr>
            </w:pPr>
            <w:r>
              <w:rPr>
                <w:sz w:val="4"/>
                <w:szCs w:val="4"/>
              </w:rPr>
            </w:r>
          </w:p>
        </w:tc>
        <w:tc>
          <w:tcPr>
            <w:tcW w:w="7256" w:type="dxa"/>
            <w:gridSpan w:val="2"/>
            <w:tcBorders/>
            <w:vAlign w:val="center"/>
          </w:tcPr>
          <w:p>
            <w:pPr>
              <w:pStyle w:val="TableContents"/>
              <w:bidi w:val="0"/>
              <w:spacing w:before="0" w:after="283"/>
              <w:jc w:val="left"/>
              <w:rPr>
                <w:sz w:val="4"/>
                <w:szCs w:val="4"/>
              </w:rPr>
            </w:pPr>
            <w:r>
              <w:rPr>
                <w:sz w:val="4"/>
                <w:szCs w:val="4"/>
              </w:rPr>
            </w:r>
          </w:p>
        </w:tc>
      </w:tr>
      <w:tr>
        <w:trPr/>
        <w:tc>
          <w:tcPr>
            <w:tcW w:w="2949" w:type="dxa"/>
            <w:tcBorders/>
          </w:tcPr>
          <w:p>
            <w:pPr>
              <w:pStyle w:val="TableContents"/>
              <w:bidi w:val="0"/>
              <w:spacing w:before="0" w:after="283"/>
              <w:jc w:val="left"/>
              <w:rPr>
                <w:b/>
              </w:rPr>
            </w:pPr>
            <w:r>
              <w:rPr>
                <w:b/>
              </w:rPr>
              <w:t>Optional Redemption Provisions:</w:t>
            </w:r>
          </w:p>
        </w:tc>
        <w:tc>
          <w:tcPr>
            <w:tcW w:w="120" w:type="dxa"/>
            <w:tcBorders/>
            <w:vAlign w:val="bottom"/>
          </w:tcPr>
          <w:p>
            <w:pPr>
              <w:pStyle w:val="TableContents"/>
              <w:bidi w:val="0"/>
              <w:spacing w:before="0" w:after="283"/>
              <w:jc w:val="left"/>
              <w:rPr/>
            </w:pPr>
            <w:r>
              <w:rPr/>
              <w:t>  </w:t>
            </w:r>
          </w:p>
        </w:tc>
        <w:tc>
          <w:tcPr>
            <w:tcW w:w="7136" w:type="dxa"/>
            <w:tcBorders/>
          </w:tcPr>
          <w:p>
            <w:pPr>
              <w:pStyle w:val="TableContents"/>
              <w:bidi w:val="0"/>
              <w:spacing w:before="0" w:after="283"/>
              <w:jc w:val="left"/>
              <w:rPr/>
            </w:pPr>
            <w:r>
              <w:rPr/>
              <w:t>Prior to June 15, 2036 (three months prior to the maturity date of the Series YY Notes) (the “Series YY Par Call Date”), the Company may redeem the Series YY Notes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on the Series YY Notes discounted to the redemption date (assuming the Series YY Notes matured on the Series YY Par Call Date) on a semi-annual basis (assuming a 360-day year consisting of twelve 30-day months) at the Treasury Rate plus 20 basis points less (b) interest accrued to the date of redemption, and (2) 100% of the principal amount of the Series YY Notes to be redeemed, plus, in either case, accrued and unpaid interest on the Series YY Notes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93"/>
        <w:gridCol w:w="121"/>
        <w:gridCol w:w="7091"/>
      </w:tblGrid>
      <w:tr>
        <w:trPr/>
        <w:tc>
          <w:tcPr>
            <w:tcW w:w="299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09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On or after the Series YY Par Call Date, the Company may redeem the Series YY Notes, in whole or in part, at any time and from time to time, at its option, at a redemption price equal to 100% of the principal amount of the Series YY Notes being redeemed plus accrued and unpaid interest on the Series YY Notes to the redemption date.</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Change of Control:</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Issuer repurchase offer required following certain changes of control as described in the Preliminary Prospectus Supplement.</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Trade Date:</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August 11, 2026</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Expected Settlement Date**:</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August 13, 2026 (T+2)</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CUSIP / ISIN:</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571903 CA9 / US571903CA95</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Denominations: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283"/>
              <w:jc w:val="left"/>
              <w:rPr/>
            </w:pPr>
            <w:r>
              <w:rPr/>
              <w:t>$2,000 and integral multiples of $1,000 in excess thereof</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Joint Book-Running Managers: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Goldman Sachs &amp; Co.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2993" w:type="dxa"/>
            <w:tcBorders/>
            <w:vAlign w:val="center"/>
          </w:tcPr>
          <w:p>
            <w:pPr>
              <w:pStyle w:val="TableContents"/>
              <w:bidi w:val="0"/>
              <w:spacing w:before="0" w:after="283"/>
              <w:jc w:val="left"/>
              <w:rPr>
                <w:sz w:val="4"/>
                <w:szCs w:val="4"/>
              </w:rPr>
            </w:pPr>
            <w:r>
              <w:rPr>
                <w:sz w:val="4"/>
                <w:szCs w:val="4"/>
              </w:rPr>
            </w:r>
          </w:p>
        </w:tc>
        <w:tc>
          <w:tcPr>
            <w:tcW w:w="7212" w:type="dxa"/>
            <w:gridSpan w:val="2"/>
            <w:tcBorders/>
            <w:vAlign w:val="center"/>
          </w:tcPr>
          <w:p>
            <w:pPr>
              <w:pStyle w:val="TableContents"/>
              <w:bidi w:val="0"/>
              <w:spacing w:before="0" w:after="283"/>
              <w:jc w:val="left"/>
              <w:rPr>
                <w:sz w:val="4"/>
                <w:szCs w:val="4"/>
              </w:rPr>
            </w:pPr>
            <w:r>
              <w:rPr>
                <w:sz w:val="4"/>
                <w:szCs w:val="4"/>
              </w:rPr>
            </w:r>
          </w:p>
        </w:tc>
      </w:tr>
      <w:tr>
        <w:trPr/>
        <w:tc>
          <w:tcPr>
            <w:tcW w:w="2993" w:type="dxa"/>
            <w:tcBorders/>
          </w:tcPr>
          <w:p>
            <w:pPr>
              <w:pStyle w:val="TableContents"/>
              <w:bidi w:val="0"/>
              <w:spacing w:before="0" w:after="283"/>
              <w:jc w:val="left"/>
              <w:rPr>
                <w:b/>
              </w:rPr>
            </w:pPr>
            <w:r>
              <w:rPr>
                <w:b/>
              </w:rPr>
              <w:t>Senior Co-Managers:</w:t>
            </w:r>
          </w:p>
        </w:tc>
        <w:tc>
          <w:tcPr>
            <w:tcW w:w="121" w:type="dxa"/>
            <w:tcBorders/>
            <w:vAlign w:val="bottom"/>
          </w:tcPr>
          <w:p>
            <w:pPr>
              <w:pStyle w:val="TableContents"/>
              <w:bidi w:val="0"/>
              <w:spacing w:before="0" w:after="283"/>
              <w:jc w:val="left"/>
              <w:rPr/>
            </w:pPr>
            <w:r>
              <w:rPr/>
              <w:t>  </w:t>
            </w:r>
          </w:p>
        </w:tc>
        <w:tc>
          <w:tcPr>
            <w:tcW w:w="7091" w:type="dxa"/>
            <w:tcBorders/>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Capital One Securities, Inc.</w:t>
            </w:r>
          </w:p>
          <w:p>
            <w:pPr>
              <w:pStyle w:val="TableContents"/>
              <w:bidi w:val="0"/>
              <w:spacing w:before="0" w:after="0"/>
              <w:jc w:val="left"/>
              <w:rPr>
                <w:rFonts w:ascii="Times New Roman" w:hAnsi="Times New Roman"/>
                <w:sz w:val="20"/>
              </w:rPr>
            </w:pPr>
            <w:r>
              <w:rPr>
                <w:rFonts w:ascii="Times New Roman" w:hAnsi="Times New Roman"/>
                <w:sz w:val="20"/>
              </w:rPr>
              <w:t>HSBC Securities (USA) Inc.</w:t>
            </w:r>
          </w:p>
          <w:p>
            <w:pPr>
              <w:pStyle w:val="TableContents"/>
              <w:bidi w:val="0"/>
              <w:spacing w:before="0" w:after="0"/>
              <w:jc w:val="left"/>
              <w:rPr>
                <w:rFonts w:ascii="Times New Roman" w:hAnsi="Times New Roman"/>
                <w:sz w:val="20"/>
              </w:rPr>
            </w:pPr>
            <w:r>
              <w:rPr>
                <w:rFonts w:ascii="Times New Roman" w:hAnsi="Times New Roman"/>
                <w:sz w:val="20"/>
              </w:rPr>
              <w:t>ICBC Standard Bank Plc</w:t>
            </w:r>
          </w:p>
          <w:p>
            <w:pPr>
              <w:pStyle w:val="TableContents"/>
              <w:bidi w:val="0"/>
              <w:spacing w:before="0" w:after="0"/>
              <w:jc w:val="left"/>
              <w:rPr>
                <w:rFonts w:ascii="Times New Roman" w:hAnsi="Times New Roman"/>
                <w:sz w:val="20"/>
              </w:rPr>
            </w:pPr>
            <w:r>
              <w:rPr>
                <w:rFonts w:ascii="Times New Roman" w:hAnsi="Times New Roman"/>
                <w:sz w:val="20"/>
              </w:rPr>
              <w:t>Loop Capital Markets LLC</w:t>
            </w:r>
          </w:p>
          <w:p>
            <w:pPr>
              <w:pStyle w:val="TableContents"/>
              <w:bidi w:val="0"/>
              <w:spacing w:before="0" w:after="0"/>
              <w:jc w:val="left"/>
              <w:rPr>
                <w:rFonts w:ascii="Times New Roman" w:hAnsi="Times New Roman"/>
                <w:sz w:val="20"/>
              </w:rPr>
            </w:pPr>
            <w:r>
              <w:rPr>
                <w:rFonts w:ascii="Times New Roman" w:hAnsi="Times New Roman"/>
                <w:sz w:val="20"/>
              </w:rPr>
              <w:t>NatWest Markets Securities Inc.</w:t>
            </w:r>
          </w:p>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p>
            <w:pPr>
              <w:pStyle w:val="TableContents"/>
              <w:bidi w:val="0"/>
              <w:spacing w:before="0" w:after="0"/>
              <w:jc w:val="left"/>
              <w:rPr>
                <w:rFonts w:ascii="Times New Roman" w:hAnsi="Times New Roman"/>
                <w:sz w:val="20"/>
              </w:rPr>
            </w:pPr>
            <w:r>
              <w:rPr>
                <w:rFonts w:ascii="Times New Roman" w:hAnsi="Times New Roman"/>
                <w:sz w:val="20"/>
              </w:rPr>
              <w:t>Standard Chartered Bank</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UniCredit Capital Markets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expect to deliver the notes against payment for the notes on or about August 13, 2026, which will be the second business day following the date of the pricing of the notes (this settlement cycle being referred to as “T+2”). Under Rule 15c6-1 under the Securities Exchange Act of 1934, as amended, trades in the secondary market generally are required to settle in one business day, unless the parties to a trade expressly agree otherwise. Accordingly, purchasers who wish to trade their notes prior to the business day before settlement will be required, by virtue of the fact that the notes initially will settle in T+2, to specify alternative settlement arrangements to prevent a failed settlement. Purchasers of the notes who wish to trade their notes prior to the business day before settlement should consult their own advisors. </w:t>
      </w:r>
    </w:p>
    <w:p>
      <w:pPr>
        <w:pStyle w:val="TextBody"/>
        <w:bidi w:val="0"/>
        <w:spacing w:before="240" w:after="0"/>
        <w:jc w:val="left"/>
        <w:rPr>
          <w:rFonts w:ascii="Times New Roman" w:hAnsi="Times New Roman"/>
          <w:b/>
          <w:sz w:val="20"/>
        </w:rPr>
      </w:pPr>
      <w:r>
        <w:rPr>
          <w:rFonts w:ascii="Times New Roman" w:hAnsi="Times New Roman"/>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Times New Roman" w:hAnsi="Times New Roman"/>
          <w:b/>
          <w:sz w:val="20"/>
          <w:u w:val="single"/>
        </w:rPr>
        <w:t>www.sec.gov</w:t>
      </w:r>
      <w:r>
        <w:rPr>
          <w:rFonts w:ascii="Times New Roman" w:hAnsi="Times New Roman"/>
          <w:b/>
          <w:sz w:val="20"/>
        </w:rPr>
        <w:t xml:space="preserve">. Alternatively, the issuer, any underwriter or any dealer participating in the offering will arrange to send you the prospectus if you request it by calling J.P. Morgan Securities LLC at (collect) (212) 834-4533, PNC Capital Markets LLC at (855) 881-0697, Truist Securities, Inc. at 1-800-685-4786, or U.S. Bancorp Investments, Inc. at 877-558-2607.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1446</Words>
  <Characters>7599</Characters>
  <CharactersWithSpaces>9014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