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3, 2026 </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 </w:t>
      </w:r>
    </w:p>
    <w:p>
      <w:pPr>
        <w:pStyle w:val="TextBody"/>
        <w:bidi w:val="0"/>
        <w:spacing w:before="180" w:after="283"/>
        <w:jc w:val="center"/>
        <w:rPr/>
      </w:pPr>
      <w:r>
        <w:rPr/>
        <w:drawing>
          <wp:inline distT="0" distB="0" distL="0" distR="0">
            <wp:extent cx="13335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438150"/>
                    </a:xfrm>
                    <a:prstGeom prst="rect">
                      <a:avLst/>
                    </a:prstGeom>
                  </pic:spPr>
                </pic:pic>
              </a:graphicData>
            </a:graphic>
          </wp:inline>
        </w:drawing>
      </w:r>
      <w:bookmarkStart w:id="0" w:name="i-1"/>
      <w:bookmarkEnd w:id="0"/>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MARRIOTT INTERNATIONAL,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 </w:t>
      </w:r>
    </w:p>
    <w:tbl>
      <w:tblPr>
        <w:tblW w:w="6609" w:type="dxa"/>
        <w:jc w:val="center"/>
        <w:tblInd w:w="0" w:type="dxa"/>
        <w:tblLayout w:type="fixed"/>
        <w:tblCellMar>
          <w:top w:w="28" w:type="dxa"/>
          <w:left w:w="28" w:type="dxa"/>
          <w:bottom w:w="28" w:type="dxa"/>
          <w:right w:w="28" w:type="dxa"/>
        </w:tblCellMar>
      </w:tblPr>
      <w:tblGrid>
        <w:gridCol w:w="664"/>
        <w:gridCol w:w="581"/>
        <w:gridCol w:w="585"/>
        <w:gridCol w:w="250"/>
        <w:gridCol w:w="250"/>
        <w:gridCol w:w="251"/>
        <w:gridCol w:w="273"/>
        <w:gridCol w:w="273"/>
        <w:gridCol w:w="280"/>
        <w:gridCol w:w="109"/>
        <w:gridCol w:w="109"/>
        <w:gridCol w:w="109"/>
        <w:gridCol w:w="353"/>
        <w:gridCol w:w="353"/>
        <w:gridCol w:w="358"/>
        <w:gridCol w:w="109"/>
        <w:gridCol w:w="109"/>
        <w:gridCol w:w="109"/>
        <w:gridCol w:w="432"/>
        <w:gridCol w:w="432"/>
        <w:gridCol w:w="620"/>
      </w:tblGrid>
      <w:tr>
        <w:trPr/>
        <w:tc>
          <w:tcPr>
            <w:tcW w:w="66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1-13881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52-2055918</w:t>
            </w:r>
          </w:p>
        </w:tc>
      </w:tr>
      <w:tr>
        <w:trPr/>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7750 Wisconsin Avenue</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Bethesda</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20814</w:t>
            </w:r>
          </w:p>
        </w:tc>
      </w:tr>
      <w:tr>
        <w:trPr/>
        <w:tc>
          <w:tcPr>
            <w:tcW w:w="3407"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(301) 380-3000 </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916" w:type="dxa"/>
        <w:jc w:val="center"/>
        <w:tblInd w:w="0" w:type="dxa"/>
        <w:tblLayout w:type="fixed"/>
        <w:tblCellMar>
          <w:top w:w="28" w:type="dxa"/>
          <w:left w:w="28" w:type="dxa"/>
          <w:bottom w:w="28" w:type="dxa"/>
          <w:right w:w="28" w:type="dxa"/>
        </w:tblCellMar>
      </w:tblPr>
      <w:tblGrid>
        <w:gridCol w:w="1097"/>
        <w:gridCol w:w="963"/>
        <w:gridCol w:w="969"/>
        <w:gridCol w:w="109"/>
        <w:gridCol w:w="109"/>
        <w:gridCol w:w="109"/>
        <w:gridCol w:w="519"/>
        <w:gridCol w:w="519"/>
        <w:gridCol w:w="521"/>
        <w:gridCol w:w="109"/>
        <w:gridCol w:w="109"/>
        <w:gridCol w:w="109"/>
        <w:gridCol w:w="1074"/>
        <w:gridCol w:w="1074"/>
        <w:gridCol w:w="1526"/>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tbl>
      <w:tblPr>
        <w:tblW w:w="10205" w:type="dxa"/>
        <w:jc w:val="left"/>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bl>
    <w:tbl>
      <w:tblPr>
        <w:tblW w:w="10205" w:type="dxa"/>
        <w:jc w:val="left"/>
        <w:tblInd w:w="0" w:type="dxa"/>
        <w:tblLayout w:type="fixed"/>
        <w:tblCellMar>
          <w:top w:w="28" w:type="dxa"/>
          <w:left w:w="28" w:type="dxa"/>
          <w:bottom w:w="28" w:type="dxa"/>
          <w:right w:w="28" w:type="dxa"/>
        </w:tblCellMar>
      </w:tblPr>
      <w:tblGrid>
        <w:gridCol w:w="496"/>
        <w:gridCol w:w="436"/>
        <w:gridCol w:w="436"/>
        <w:gridCol w:w="2817"/>
        <w:gridCol w:w="2817"/>
        <w:gridCol w:w="2828"/>
        <w:gridCol w:w="109"/>
        <w:gridCol w:w="109"/>
        <w:gridCol w:w="157"/>
      </w:tblGrid>
      <w:tr>
        <w:trP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Results for the Quarter Ended June 30, 2026</w:t>
      </w:r>
    </w:p>
    <w:p>
      <w:pPr>
        <w:pStyle w:val="TextBody"/>
        <w:bidi w:val="0"/>
        <w:spacing w:lineRule="auto" w:line="288" w:before="100" w:after="283"/>
        <w:jc w:val="left"/>
        <w:rPr/>
      </w:pPr>
      <w:r>
        <w:rPr>
          <w:rFonts w:ascii="Times New Roman;serif" w:hAnsi="Times New Roman;serif"/>
          <w:b w:val="false"/>
          <w:color w:val="000000"/>
          <w:sz w:val="20"/>
        </w:rPr>
        <w:t>On August 3, 2026, Marriott International, Inc. (</w:t>
      </w:r>
      <w:r>
        <w:rPr>
          <w:color w:val="000000"/>
        </w:rPr>
        <w:t>“</w:t>
      </w:r>
      <w:r>
        <w:rPr>
          <w:rFonts w:ascii="Times New Roman;serif" w:hAnsi="Times New Roman;serif"/>
          <w:b w:val="false"/>
          <w:color w:val="000000"/>
          <w:sz w:val="20"/>
        </w:rPr>
        <w:t>Marriott</w:t>
      </w:r>
      <w:r>
        <w:rPr>
          <w:color w:val="000000"/>
        </w:rPr>
        <w:t>”</w:t>
      </w:r>
      <w:r>
        <w:rPr>
          <w:rFonts w:ascii="Times New Roman;serif" w:hAnsi="Times New Roman;serif"/>
          <w:b w:val="false"/>
          <w:color w:val="000000"/>
          <w:sz w:val="20"/>
        </w:rPr>
        <w:t>) is issuing a press release reporting financial results for the quarter ended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copy of Marriott’s press release is attached as Exhibit 99 and incorporated by reference.</w:t>
      </w:r>
    </w:p>
    <w:p>
      <w:pPr>
        <w:pStyle w:val="TextBody"/>
        <w:bidi w:val="0"/>
        <w:spacing w:before="0" w:after="0"/>
        <w:jc w:val="left"/>
        <w:rPr/>
      </w:pPr>
      <w:r>
        <w:rPr/>
      </w:r>
    </w:p>
    <w:p>
      <w:pPr>
        <w:pStyle w:val="TextBody"/>
        <w:bidi w:val="0"/>
        <w:spacing w:lineRule="auto" w:line="26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5503" w:type="dxa"/>
        <w:jc w:val="left"/>
        <w:tblInd w:w="0" w:type="dxa"/>
        <w:tblLayout w:type="fixed"/>
        <w:tblCellMar>
          <w:top w:w="28" w:type="dxa"/>
          <w:left w:w="28" w:type="dxa"/>
          <w:bottom w:w="28" w:type="dxa"/>
          <w:right w:w="28" w:type="dxa"/>
        </w:tblCellMar>
      </w:tblPr>
      <w:tblGrid>
        <w:gridCol w:w="951"/>
        <w:gridCol w:w="836"/>
        <w:gridCol w:w="836"/>
        <w:gridCol w:w="836"/>
        <w:gridCol w:w="836"/>
        <w:gridCol w:w="1208"/>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exhibits are furnished with this report:</w:t>
            </w:r>
          </w:p>
        </w:tc>
      </w:tr>
    </w:tbl>
    <w:tbl>
      <w:tblPr>
        <w:tblW w:w="8505" w:type="dxa"/>
        <w:jc w:val="left"/>
        <w:tblInd w:w="0" w:type="dxa"/>
        <w:tblLayout w:type="fixed"/>
        <w:tblCellMar>
          <w:top w:w="28" w:type="dxa"/>
          <w:left w:w="28" w:type="dxa"/>
          <w:bottom w:w="28" w:type="dxa"/>
          <w:right w:w="28" w:type="dxa"/>
        </w:tblCellMar>
      </w:tblPr>
      <w:tblGrid>
        <w:gridCol w:w="158"/>
        <w:gridCol w:w="138"/>
        <w:gridCol w:w="140"/>
        <w:gridCol w:w="2362"/>
        <w:gridCol w:w="2362"/>
        <w:gridCol w:w="3345"/>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2026q2xex99earningsrel.htm">
              <w:r>
                <w:rPr>
                  <w:rStyle w:val="InternetLink"/>
                  <w:rFonts w:ascii="Times New Roman;serif" w:hAnsi="Times New Roman;serif"/>
                  <w:b w:val="false"/>
                  <w:color w:val="000080"/>
                  <w:sz w:val="20"/>
                  <w:u w:val="single"/>
                </w:rPr>
                <w:t xml:space="preserve">Press release dated </w:t>
              </w:r>
            </w:hyperlink>
            <w:hyperlink w:anchor="mar-2026q2xex99earningsrel.htm">
              <w:r>
                <w:rPr>
                  <w:rStyle w:val="InternetLink"/>
                  <w:rFonts w:ascii="Times New Roman;serif" w:hAnsi="Times New Roman;serif"/>
                  <w:b w:val="false"/>
                  <w:color w:val="000080"/>
                  <w:sz w:val="20"/>
                  <w:u w:val="single"/>
                </w:rPr>
                <w:t xml:space="preserve">August </w:t>
              </w:r>
            </w:hyperlink>
            <w:hyperlink w:anchor="mar-2026q2xex99earningsrel.htm">
              <w:r>
                <w:rPr>
                  <w:rStyle w:val="InternetLink"/>
                  <w:rFonts w:ascii="Times New Roman;serif" w:hAnsi="Times New Roman;serif"/>
                  <w:b w:val="false"/>
                  <w:color w:val="000080"/>
                  <w:sz w:val="20"/>
                  <w:u w:val="single"/>
                </w:rPr>
                <w:t>3</w:t>
              </w:r>
            </w:hyperlink>
            <w:hyperlink w:anchor="mar-2026q2xex99earningsrel.htm">
              <w:r>
                <w:rPr>
                  <w:rStyle w:val="InternetLink"/>
                  <w:rFonts w:ascii="Times New Roman;serif" w:hAnsi="Times New Roman;serif"/>
                  <w:b w:val="false"/>
                  <w:color w:val="000080"/>
                  <w:sz w:val="20"/>
                  <w:u w:val="single"/>
                </w:rPr>
                <w:t xml:space="preserve">, 2026, reporting financial results for the quarter ended </w:t>
              </w:r>
            </w:hyperlink>
            <w:hyperlink w:anchor="mar-2026q2xex99earningsrel.htm">
              <w:r>
                <w:rPr>
                  <w:rStyle w:val="InternetLink"/>
                  <w:rFonts w:ascii="Times New Roman;serif" w:hAnsi="Times New Roman;serif"/>
                  <w:b w:val="false"/>
                  <w:color w:val="000080"/>
                  <w:sz w:val="20"/>
                  <w:u w:val="single"/>
                </w:rPr>
                <w:t>June 30</w:t>
              </w:r>
            </w:hyperlink>
            <w:hyperlink w:anchor="mar-2026q2xex99earningsrel.htm">
              <w:r>
                <w:rPr>
                  <w:rStyle w:val="InternetLink"/>
                  <w:rFonts w:ascii="Times New Roman;serif" w:hAnsi="Times New Roman;serif"/>
                  <w:b w:val="false"/>
                  <w:color w:val="000080"/>
                  <w:sz w:val="20"/>
                  <w:u w:val="single"/>
                </w:rPr>
                <w:t>, 2026.</w:t>
              </w:r>
            </w:hyperlink>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to this Current Report on Form 8-K, formatted in inline XBRL.</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07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109"/>
        <w:gridCol w:w="109"/>
        <w:gridCol w:w="109"/>
        <w:gridCol w:w="109"/>
        <w:gridCol w:w="109"/>
        <w:gridCol w:w="109"/>
        <w:gridCol w:w="361"/>
        <w:gridCol w:w="361"/>
        <w:gridCol w:w="361"/>
        <w:gridCol w:w="361"/>
        <w:gridCol w:w="361"/>
        <w:gridCol w:w="361"/>
        <w:gridCol w:w="1004"/>
        <w:gridCol w:w="1004"/>
        <w:gridCol w:w="142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MARRIOTT INTERNATIONAL,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Felitia O. Lee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Felitia O. Lee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pPr>
      <w:r>
        <w:rPr/>
        <w:drawing>
          <wp:inline distT="0" distB="0" distL="0" distR="0">
            <wp:extent cx="1266825" cy="428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66825" cy="428625"/>
                    </a:xfrm>
                    <a:prstGeom prst="rect">
                      <a:avLst/>
                    </a:prstGeom>
                  </pic:spPr>
                </pic:pic>
              </a:graphicData>
            </a:graphic>
          </wp:inline>
        </w:drawing>
      </w:r>
      <w:r>
        <w:rPr>
          <w:color w:val="000000"/>
        </w:rPr>
        <w:t>    </w:t>
      </w:r>
      <w:r>
        <w:rPr/>
        <w:drawing>
          <wp:inline distT="0" distB="0" distL="0" distR="0">
            <wp:extent cx="1123950" cy="2190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123950" cy="21907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sans-serif" w:hAnsi="sans-serif"/>
          <w:b/>
          <w:color w:val="000000"/>
          <w:sz w:val="28"/>
          <w:shd w:fill="FFFFFF" w:val="clear"/>
        </w:rPr>
      </w:pPr>
      <w:r>
        <w:rPr>
          <w:rFonts w:ascii="sans-serif" w:hAnsi="sans-serif"/>
          <w:b/>
          <w:color w:val="000000"/>
          <w:sz w:val="28"/>
          <w:shd w:fill="FFFFFF" w:val="clear"/>
        </w:rPr>
        <w:t>NEWS</w:t>
      </w:r>
    </w:p>
    <w:p>
      <w:pPr>
        <w:pStyle w:val="TextBody"/>
        <w:bidi w:val="0"/>
        <w:spacing w:before="0" w:after="0"/>
        <w:jc w:val="right"/>
        <w:rPr/>
      </w:pPr>
      <w:r>
        <w:rPr/>
      </w:r>
    </w:p>
    <w:p>
      <w:pPr>
        <w:pStyle w:val="TextBody"/>
        <w:bidi w:val="0"/>
        <w:spacing w:lineRule="auto" w:line="276" w:before="0" w:after="0"/>
        <w:jc w:val="center"/>
        <w:rPr>
          <w:rFonts w:ascii="sans-serif" w:hAnsi="sans-serif"/>
          <w:b/>
          <w:color w:val="000000"/>
          <w:sz w:val="24"/>
        </w:rPr>
      </w:pPr>
      <w:r>
        <w:rPr>
          <w:rFonts w:ascii="sans-serif" w:hAnsi="sans-serif"/>
          <w:b/>
          <w:color w:val="000000"/>
          <w:sz w:val="24"/>
        </w:rPr>
        <w:t>Marriott International Reports Second Quarter 2026 Results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sans-serif" w:hAnsi="sans-serif"/>
          <w:b/>
          <w:i/>
          <w:color w:val="000000"/>
          <w:sz w:val="24"/>
          <w:shd w:fill="FFFFFF" w:val="clear"/>
        </w:rPr>
        <w:t>Second quarter 2026 RevPAR</w:t>
      </w:r>
      <w:r>
        <w:rPr>
          <w:rFonts w:ascii="sans-serif" w:hAnsi="sans-serif"/>
          <w:b w:val="false"/>
          <w:color w:val="000000"/>
          <w:sz w:val="16"/>
        </w:rPr>
        <w:t>1</w:t>
      </w:r>
      <w:r>
        <w:rPr>
          <w:color w:val="000000"/>
          <w:shd w:fill="FFFFFF" w:val="clear"/>
        </w:rPr>
        <w:t xml:space="preserve"> </w:t>
      </w:r>
      <w:r>
        <w:rPr>
          <w:rFonts w:ascii="sans-serif" w:hAnsi="sans-serif"/>
          <w:b/>
          <w:i/>
          <w:color w:val="000000"/>
          <w:sz w:val="24"/>
          <w:shd w:fill="FFFFFF" w:val="clear"/>
        </w:rPr>
        <w:t>increased 3.4 percent worldwide, with 5.0 percent growth in the U.S. &amp; Canada and a 0.5 percent</w:t>
      </w:r>
      <w:r>
        <w:rPr>
          <w:color w:val="000000"/>
          <w:shd w:fill="FFFFFF" w:val="clear"/>
        </w:rPr>
        <w:t xml:space="preserve"> </w:t>
      </w:r>
      <w:r>
        <w:rPr>
          <w:rFonts w:ascii="sans-serif" w:hAnsi="sans-serif"/>
          <w:b/>
          <w:i/>
          <w:color w:val="000000"/>
          <w:sz w:val="24"/>
          <w:shd w:fill="FFFFFF" w:val="clear"/>
        </w:rPr>
        <w:t>decline in international markets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sans-serif" w:hAnsi="sans-serif"/>
          <w:b/>
          <w:i/>
          <w:color w:val="000000"/>
          <w:sz w:val="24"/>
          <w:shd w:fill="FFFFFF" w:val="clear"/>
        </w:rPr>
        <w:t xml:space="preserve">Second quarter reported diluted EPS totaled </w:t>
      </w:r>
      <w:r>
        <w:rPr>
          <w:rFonts w:ascii="sans-serif" w:hAnsi="sans-serif"/>
          <w:b/>
          <w:i/>
          <w:color w:val="000000"/>
          <w:sz w:val="24"/>
        </w:rPr>
        <w:t>$2.90</w:t>
      </w:r>
      <w:r>
        <w:rPr>
          <w:color w:val="000000"/>
          <w:shd w:fill="FFFFFF" w:val="clear"/>
        </w:rPr>
        <w:t xml:space="preserve"> </w:t>
      </w:r>
      <w:r>
        <w:rPr>
          <w:rFonts w:ascii="sans-serif" w:hAnsi="sans-serif"/>
          <w:b/>
          <w:i/>
          <w:color w:val="000000"/>
          <w:sz w:val="24"/>
          <w:shd w:fill="FFFFFF" w:val="clear"/>
        </w:rPr>
        <w:t xml:space="preserve">and Adjusted diluted EPS totaled </w:t>
      </w:r>
      <w:r>
        <w:rPr>
          <w:rFonts w:ascii="sans-serif" w:hAnsi="sans-serif"/>
          <w:b/>
          <w:i/>
          <w:color w:val="000000"/>
          <w:sz w:val="24"/>
        </w:rPr>
        <w:t>$3.19</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sans-serif" w:hAnsi="sans-serif"/>
          <w:b/>
          <w:i/>
          <w:color w:val="000000"/>
          <w:sz w:val="24"/>
          <w:shd w:fill="FFFFFF" w:val="clear"/>
        </w:rPr>
        <w:t xml:space="preserve">Second quarter reported net income totaled </w:t>
      </w:r>
      <w:r>
        <w:rPr>
          <w:rFonts w:ascii="sans-serif" w:hAnsi="sans-serif"/>
          <w:b/>
          <w:i/>
          <w:color w:val="000000"/>
          <w:sz w:val="24"/>
        </w:rPr>
        <w:t>$766 million</w:t>
      </w:r>
      <w:r>
        <w:rPr>
          <w:color w:val="000000"/>
          <w:shd w:fill="FFFFFF" w:val="clear"/>
        </w:rPr>
        <w:t xml:space="preserve"> </w:t>
      </w:r>
      <w:r>
        <w:rPr>
          <w:rFonts w:ascii="sans-serif" w:hAnsi="sans-serif"/>
          <w:b/>
          <w:i/>
          <w:color w:val="000000"/>
          <w:sz w:val="24"/>
          <w:shd w:fill="FFFFFF" w:val="clear"/>
        </w:rPr>
        <w:t xml:space="preserve">and Adjusted net income totaled </w:t>
      </w:r>
      <w:r>
        <w:rPr>
          <w:rFonts w:ascii="sans-serif" w:hAnsi="sans-serif"/>
          <w:b/>
          <w:i/>
          <w:color w:val="000000"/>
          <w:sz w:val="24"/>
        </w:rPr>
        <w:t>$844 million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shd w:fill="FFFFFF" w:val="clear"/>
        </w:rPr>
        <w:t>•</w:t>
      </w:r>
      <w:r>
        <w:rPr>
          <w:rFonts w:ascii="sans-serif" w:hAnsi="sans-serif"/>
          <w:b/>
          <w:i/>
          <w:color w:val="000000"/>
          <w:sz w:val="24"/>
          <w:shd w:fill="FFFFFF" w:val="clear"/>
        </w:rPr>
        <w:t xml:space="preserve">Second quarter Adjusted </w:t>
      </w:r>
      <w:r>
        <w:rPr>
          <w:rFonts w:ascii="sans-serif" w:hAnsi="sans-serif"/>
          <w:b/>
          <w:i/>
          <w:color w:val="000000"/>
          <w:sz w:val="24"/>
        </w:rPr>
        <w:t>EBITDA</w:t>
      </w:r>
      <w:r>
        <w:rPr>
          <w:color w:val="000000"/>
          <w:shd w:fill="FFFFFF" w:val="clear"/>
        </w:rPr>
        <w:t xml:space="preserve"> </w:t>
      </w:r>
      <w:r>
        <w:rPr>
          <w:rFonts w:ascii="sans-serif" w:hAnsi="sans-serif"/>
          <w:b/>
          <w:i/>
          <w:color w:val="000000"/>
          <w:sz w:val="24"/>
          <w:shd w:fill="FFFFFF" w:val="clear"/>
        </w:rPr>
        <w:t xml:space="preserve">totaled </w:t>
      </w:r>
      <w:r>
        <w:rPr>
          <w:rFonts w:ascii="sans-serif" w:hAnsi="sans-serif"/>
          <w:b/>
          <w:i/>
          <w:color w:val="000000"/>
          <w:sz w:val="24"/>
        </w:rPr>
        <w:t>$1,592 million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The company added roughly 17,900 net rooms globally during the quarter and net rooms grew 4.5 percent from the end of the second quarter of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At the end of the quarter, Marriott’s worldwide development pipeline reached a new record and totaled nearly 4,200 properties and approximately 629,000 rooms, with 44 percent of pipeline rooms under construction including hotels that are pending conversion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 xml:space="preserve">The company repurchased 3.0 million shares of common stock for $1.1 billion in the </w:t>
      </w:r>
      <w:r>
        <w:rPr>
          <w:rFonts w:ascii="sans-serif" w:hAnsi="sans-serif"/>
          <w:b/>
          <w:i/>
          <w:color w:val="000000"/>
          <w:sz w:val="24"/>
          <w:shd w:fill="FFFFFF" w:val="clear"/>
        </w:rPr>
        <w:t>2026 second quarter</w:t>
      </w:r>
      <w:r>
        <w:rPr>
          <w:rFonts w:ascii="sans-serif" w:hAnsi="sans-serif"/>
          <w:b/>
          <w:i/>
          <w:color w:val="000000"/>
          <w:sz w:val="24"/>
        </w:rPr>
        <w:t>. Year-to-date through July 29, the company has returned approximately $2.6 billion to shareholders through dividends and share repurchases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4"/>
        </w:rPr>
        <w:t>Fo</w:t>
      </w:r>
      <w:r>
        <w:rPr>
          <w:rFonts w:ascii="sans-serif" w:hAnsi="sans-serif"/>
          <w:b w:val="false"/>
          <w:color w:val="000000"/>
          <w:sz w:val="24"/>
          <w:shd w:fill="FFFFFF" w:val="clear"/>
        </w:rPr>
        <w:t xml:space="preserve">r a summary of second quarter 2026 highlights, please visit: </w:t>
      </w:r>
      <w:r>
        <w:rPr>
          <w:rFonts w:ascii="sans-serif" w:hAnsi="sans-serif"/>
          <w:b w:val="false"/>
          <w:color w:val="000000"/>
          <w:sz w:val="24"/>
          <w:u w:val="single"/>
        </w:rPr>
        <w:t>https://news.marriott.com/static-assets/component-resources/newscenter/earnings/2026/2026-q2-earnings-infographic.pdf</w:t>
      </w:r>
    </w:p>
    <w:p>
      <w:pPr>
        <w:pStyle w:val="TextBody"/>
        <w:bidi w:val="0"/>
        <w:spacing w:before="0" w:after="0"/>
        <w:jc w:val="center"/>
        <w:rPr/>
      </w:pPr>
      <w:r>
        <w:rPr/>
      </w:r>
    </w:p>
    <w:p>
      <w:pPr>
        <w:pStyle w:val="TextBody"/>
        <w:bidi w:val="0"/>
        <w:spacing w:lineRule="auto" w:line="360" w:before="0" w:after="0"/>
        <w:jc w:val="left"/>
        <w:rPr/>
      </w:pPr>
      <w:r>
        <w:rPr>
          <w:rFonts w:ascii="sans-serif" w:hAnsi="sans-serif"/>
          <w:b w:val="false"/>
          <w:color w:val="000000"/>
          <w:sz w:val="24"/>
        </w:rPr>
        <w:t>BE</w:t>
      </w:r>
      <w:r>
        <w:rPr>
          <w:rFonts w:ascii="sans-serif" w:hAnsi="sans-serif"/>
          <w:b w:val="false"/>
          <w:color w:val="000000"/>
          <w:sz w:val="24"/>
          <w:shd w:fill="FFFFFF" w:val="clear"/>
        </w:rPr>
        <w:t>THESDA, MD – August 3, 2026 - Marriott International, Inc. (Nasdaq: MAR) today reported second quarter 2026 resul</w:t>
      </w:r>
      <w:r>
        <w:rPr>
          <w:rFonts w:ascii="sans-serif" w:hAnsi="sans-serif"/>
          <w:b w:val="false"/>
          <w:color w:val="000000"/>
          <w:sz w:val="24"/>
        </w:rPr>
        <w:t>ts.</w:t>
      </w:r>
    </w:p>
    <w:p>
      <w:pPr>
        <w:pStyle w:val="TextBody"/>
        <w:bidi w:val="0"/>
        <w:spacing w:before="0" w:after="0"/>
        <w:jc w:val="left"/>
        <w:rPr/>
      </w:pPr>
      <w:r>
        <w:rPr/>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Anthony Capuano, President and Chief Executive Officer, said, “We delivered another quarter of excellent results, reflecting strong travel demand, the power of our brands, and sustained development momentum. Global RevPAR increased 3.4 percent in the second quarter, with continued ADR strength. In the U.S. &amp; Canada, RevPAR rose 5 percent, driven by broad-based increases across chain scales and customer segments.</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sans-serif" w:hAnsi="sans-serif"/>
          <w:b w:val="false"/>
          <w:color w:val="000000"/>
          <w:sz w:val="24"/>
        </w:rPr>
        <w:t xml:space="preserve">International RevPAR declined 0.5 percent in the quarter, as headwinds from the conflict in the </w:t>
      </w:r>
    </w:p>
    <w:p>
      <w:pPr>
        <w:pStyle w:val="TextBody"/>
        <w:bidi w:val="0"/>
        <w:spacing w:lineRule="auto" w:line="268"/>
        <w:jc w:val="left"/>
        <w:rPr/>
      </w:pPr>
      <w:r>
        <w:rPr>
          <w:rFonts w:ascii="sans-serif" w:hAnsi="sans-serif"/>
          <w:b w:val="false"/>
          <w:color w:val="000000"/>
          <w:sz w:val="13"/>
        </w:rPr>
        <w:t>1</w:t>
      </w:r>
      <w:r>
        <w:rPr>
          <w:rFonts w:ascii="sans-serif" w:hAnsi="sans-serif"/>
          <w:b w:val="false"/>
          <w:color w:val="000000"/>
          <w:sz w:val="20"/>
        </w:rPr>
        <w:t>All occupancy, Average Daily Rate (ADR) and Revenue per Available Room (RevPAR) statistics and estimates are systemwide constant dollar.</w:t>
      </w:r>
      <w:r>
        <w:rPr>
          <w:color w:val="000000"/>
        </w:rPr>
        <w:t xml:space="preserve"> </w:t>
      </w:r>
      <w:r>
        <w:rPr>
          <w:rFonts w:ascii="sans-serif" w:hAnsi="sans-serif"/>
          <w:b w:val="false"/>
          <w:color w:val="000000"/>
          <w:sz w:val="20"/>
        </w:rPr>
        <w:t>Unless otherwise stated, all changes refer to year-over-year changes for the comparable period. Occupancy, ADR and RevPAR comparisons between 2026 and 2025 reflect properties that are comparable in both years.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Middle East more than offset solid RevPAR growth across our other international regions. In EMEA, RevPAR declined over 5 percent, with an increase in Europe outweighed by a 43 percent decline in the Middle East. APEC RevPAR increased over 5 percent, supported by solid leisure demand and robust intra-regional travel, while Greater China RevPAR increased over 3 percent, driven by strong performance across our luxury portfolio and key markets like Hong Kong, Taiwan and Hainan. With the outperformance in the second quarter and strong broad-based demand generally expected to continue, we are raising our full year expectation to 3 to 3.5 percent global RevPAR growth.</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sans-serif" w:hAnsi="sans-serif"/>
          <w:b w:val="false"/>
          <w:color w:val="000000"/>
          <w:sz w:val="24"/>
        </w:rPr>
        <w:t>Development activity remained strong, with record global signings in the first six months of the year. Our industry-leading global pipeline grew to approximately 629,000 rooms at quarter-end, up nearly 7 percent from the year-ago quarter. Conversions remained an important driver of growth, representing over a third of signings and 40 percent of openings in the first half of the year.</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sans-serif" w:hAnsi="sans-serif"/>
          <w:b w:val="false"/>
          <w:color w:val="000000"/>
          <w:sz w:val="24"/>
        </w:rPr>
        <w:t>The Marriott Bonvoy loyalty program, which grew to more than 295 million members at quarter-end, continues to drive demand, deepen member engagement and create value across our global portfolio. We recently executed new long-term agreements for our co-branded credit card program in the U.S. with JPMorgan Chase and American Express. These agreements further strengthen Marriott Bonvoy and deliver incremental value to our hotel owners, our cardholders and loyalty program members, and our shareholders.</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sans-serif" w:hAnsi="sans-serif"/>
          <w:b w:val="false"/>
          <w:color w:val="000000"/>
          <w:sz w:val="24"/>
        </w:rPr>
        <w:t>With our global scale, powerful portfolio of brands, industry-leading Marriott Bonvoy loyalty program, and dedicated associates, we are well positioned to meet the evolving needs of travelers seeking exceptional stays and memorable experiences. Supported by our robust pipeline and disciplined execution, we remain confident in our ability to deliver sustainable, long-term growth.”</w:t>
      </w:r>
    </w:p>
    <w:p>
      <w:pPr>
        <w:pStyle w:val="TextBody"/>
        <w:bidi w:val="0"/>
        <w:spacing w:before="0" w:after="0"/>
        <w:jc w:val="left"/>
        <w:rPr/>
      </w:pPr>
      <w:r>
        <w:rPr/>
      </w:r>
    </w:p>
    <w:p>
      <w:pPr>
        <w:pStyle w:val="TextBody"/>
        <w:bidi w:val="0"/>
        <w:spacing w:lineRule="auto" w:line="360" w:before="0" w:after="0"/>
        <w:jc w:val="left"/>
        <w:rPr>
          <w:rFonts w:ascii="sans-serif" w:hAnsi="sans-serif"/>
          <w:b/>
          <w:color w:val="000000"/>
          <w:sz w:val="24"/>
          <w:u w:val="single"/>
        </w:rPr>
      </w:pPr>
      <w:r>
        <w:rPr>
          <w:rFonts w:ascii="sans-serif" w:hAnsi="sans-serif"/>
          <w:b/>
          <w:color w:val="000000"/>
          <w:sz w:val="24"/>
          <w:u w:val="single"/>
        </w:rPr>
        <w:t>Second Quarter 2026 Results</w:t>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Franchise and base management fees totaled $1,366 million in the 2026 second quarter, a 14 percent increase compared to franchise and base management fees of $1,200 million in the year-ago quarter. The increase was primarily driven by higher co-branded credit card fees, rooms growth and higher RevPAR.</w:t>
      </w:r>
    </w:p>
    <w:p>
      <w:pPr>
        <w:pStyle w:val="TextBody"/>
        <w:bidi w:val="0"/>
        <w:spacing w:before="0" w:after="0"/>
        <w:jc w:val="left"/>
        <w:rPr/>
      </w:pPr>
      <w:r>
        <w:rPr/>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Incentive management fees totaled $212 million in the 2026 second quarter, compared to $200 million in the 2025 second quarter, driven by strong year-over-year growth in the U.S. &amp; Canada, partially offset by declines in EMEA. Managed hotels in international markets contributed over half of the incentive fees earned in the quarter.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360" w:before="0" w:after="0"/>
        <w:jc w:val="left"/>
        <w:rPr/>
      </w:pPr>
      <w:r>
        <w:rPr>
          <w:rFonts w:ascii="sans-serif" w:hAnsi="sans-serif"/>
          <w:b w:val="false"/>
          <w:color w:val="000000"/>
          <w:sz w:val="24"/>
        </w:rPr>
        <w:t>Owned, leased, and other revenue, net of owned, leased, and other expense</w:t>
      </w:r>
      <w:r>
        <w:rPr>
          <w:rFonts w:ascii="sans-serif" w:hAnsi="sans-serif"/>
          <w:b w:val="false"/>
          <w:color w:val="000000"/>
          <w:sz w:val="16"/>
        </w:rPr>
        <w:t>2</w:t>
      </w:r>
      <w:r>
        <w:rPr>
          <w:rFonts w:ascii="sans-serif" w:hAnsi="sans-serif"/>
          <w:b w:val="false"/>
          <w:color w:val="000000"/>
          <w:sz w:val="24"/>
        </w:rPr>
        <w:t>, totaled $49 million in the 2026 second quarter, compared to $78 million in the 2025 second quarter. The decline primarily reflected a $27 million property-related litigation accrual ($20 million after-tax impact and $0.08 per share after-tax) as well as lower termination fees.</w:t>
      </w:r>
    </w:p>
    <w:p>
      <w:pPr>
        <w:pStyle w:val="TextBody"/>
        <w:bidi w:val="0"/>
        <w:spacing w:before="0" w:after="0"/>
        <w:jc w:val="left"/>
        <w:rPr/>
      </w:pPr>
      <w:r>
        <w:rPr/>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Depreciation, amortization, and other expenses totaled $115 million in the 2026 second quarter, compared to $53 million in the year-ago quarter. The increase was driven by a $68 million impairment charge recorded in connection with our sale of a U.S. &amp; Canada hotel, which is excluded from our Adjusted results.</w:t>
      </w:r>
    </w:p>
    <w:p>
      <w:pPr>
        <w:pStyle w:val="TextBody"/>
        <w:bidi w:val="0"/>
        <w:spacing w:before="0" w:after="0"/>
        <w:jc w:val="left"/>
        <w:rPr/>
      </w:pPr>
      <w:r>
        <w:rPr/>
      </w:r>
    </w:p>
    <w:p>
      <w:pPr>
        <w:pStyle w:val="TextBody"/>
        <w:bidi w:val="0"/>
        <w:spacing w:lineRule="auto" w:line="360" w:before="0" w:after="0"/>
        <w:jc w:val="left"/>
        <w:rPr/>
      </w:pPr>
      <w:r>
        <w:rPr>
          <w:rFonts w:ascii="sans-serif" w:hAnsi="sans-serif"/>
          <w:b w:val="false"/>
          <w:color w:val="000000"/>
          <w:sz w:val="24"/>
        </w:rPr>
        <w:t>General and administrative expenses</w:t>
      </w:r>
      <w:r>
        <w:rPr>
          <w:rFonts w:ascii="sans-serif" w:hAnsi="sans-serif"/>
          <w:b w:val="false"/>
          <w:color w:val="000000"/>
          <w:sz w:val="16"/>
        </w:rPr>
        <w:t>2</w:t>
      </w:r>
      <w:r>
        <w:rPr>
          <w:color w:val="000000"/>
        </w:rPr>
        <w:t xml:space="preserve"> </w:t>
      </w:r>
      <w:r>
        <w:rPr>
          <w:rFonts w:ascii="sans-serif" w:hAnsi="sans-serif"/>
          <w:b w:val="false"/>
          <w:color w:val="000000"/>
          <w:sz w:val="24"/>
        </w:rPr>
        <w:t>for the 2026 second quarter totaled $220 million, compared to $210 million in the year-ago quarter, reflecting higher compensation costs, driven in part by timing.</w:t>
      </w:r>
    </w:p>
    <w:p>
      <w:pPr>
        <w:pStyle w:val="TextBody"/>
        <w:bidi w:val="0"/>
        <w:spacing w:before="0" w:after="0"/>
        <w:jc w:val="left"/>
        <w:rPr/>
      </w:pPr>
      <w:r>
        <w:rPr/>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Interest expense, net, totaled $201 million in the 2026 second quarter, compared to $191 million in the year-ago quarter. The increase was primarily due to higher interest expense associated with higher debt balances, partially offset by higher interest income.</w:t>
      </w:r>
    </w:p>
    <w:p>
      <w:pPr>
        <w:pStyle w:val="TextBody"/>
        <w:bidi w:val="0"/>
        <w:spacing w:before="0" w:after="0"/>
        <w:jc w:val="left"/>
        <w:rPr/>
      </w:pPr>
      <w:r>
        <w:rPr/>
      </w:r>
    </w:p>
    <w:p>
      <w:pPr>
        <w:pStyle w:val="TextBody"/>
        <w:bidi w:val="0"/>
        <w:spacing w:lineRule="auto" w:line="360" w:before="0" w:after="0"/>
        <w:jc w:val="left"/>
        <w:rPr/>
      </w:pPr>
      <w:r>
        <w:rPr>
          <w:rFonts w:ascii="sans-serif" w:hAnsi="sans-serif"/>
          <w:b w:val="false"/>
          <w:color w:val="000000"/>
          <w:sz w:val="24"/>
        </w:rPr>
        <w:t xml:space="preserve">In the 2026 second quarter, the provision for income taxes totaled </w:t>
      </w:r>
      <w:r>
        <w:rPr>
          <w:rFonts w:ascii="sans-serif" w:hAnsi="sans-serif"/>
          <w:b w:val="false"/>
          <w:color w:val="000000"/>
          <w:sz w:val="24"/>
          <w:shd w:fill="FFFFFF" w:val="clear"/>
        </w:rPr>
        <w:t>$278 million</w:t>
      </w:r>
      <w:r>
        <w:rPr>
          <w:rFonts w:ascii="sans-serif" w:hAnsi="sans-serif"/>
          <w:b w:val="false"/>
          <w:color w:val="000000"/>
          <w:sz w:val="24"/>
        </w:rPr>
        <w:t xml:space="preserve">, compared to </w:t>
      </w:r>
      <w:r>
        <w:rPr>
          <w:rFonts w:ascii="sans-serif" w:hAnsi="sans-serif"/>
          <w:b w:val="false"/>
          <w:color w:val="000000"/>
          <w:sz w:val="24"/>
          <w:shd w:fill="FFFFFF" w:val="clear"/>
        </w:rPr>
        <w:t>$291 million</w:t>
      </w:r>
      <w:r>
        <w:rPr>
          <w:color w:val="000000"/>
        </w:rPr>
        <w:t xml:space="preserve"> </w:t>
      </w:r>
      <w:r>
        <w:rPr>
          <w:rFonts w:ascii="sans-serif" w:hAnsi="sans-serif"/>
          <w:b w:val="false"/>
          <w:color w:val="000000"/>
          <w:sz w:val="24"/>
        </w:rPr>
        <w:t>in the 2025 second quarter.</w:t>
      </w:r>
    </w:p>
    <w:p>
      <w:pPr>
        <w:pStyle w:val="TextBody"/>
        <w:bidi w:val="0"/>
        <w:spacing w:before="0" w:after="0"/>
        <w:jc w:val="left"/>
        <w:rPr/>
      </w:pPr>
      <w:r>
        <w:rPr/>
      </w:r>
    </w:p>
    <w:p>
      <w:pPr>
        <w:pStyle w:val="TextBody"/>
        <w:bidi w:val="0"/>
        <w:spacing w:lineRule="auto" w:line="360" w:before="0" w:after="0"/>
        <w:jc w:val="left"/>
        <w:rPr/>
      </w:pPr>
      <w:r>
        <w:rPr>
          <w:rFonts w:ascii="sans-serif" w:hAnsi="sans-serif"/>
          <w:b w:val="false"/>
          <w:color w:val="000000"/>
          <w:sz w:val="24"/>
        </w:rPr>
        <w:t>Ma</w:t>
      </w:r>
      <w:r>
        <w:rPr>
          <w:rFonts w:ascii="sans-serif" w:hAnsi="sans-serif"/>
          <w:b w:val="false"/>
          <w:color w:val="000000"/>
          <w:sz w:val="24"/>
          <w:shd w:fill="FFFFFF" w:val="clear"/>
        </w:rPr>
        <w:t>rriott’s reported operating income totaled $1,229 million in the 2026 second quarter, compared to 2025 second quarter reported operating income of $1,236 million. Reported net income totaled $766 million in the 2026 second quarter, flat compared to 2025 second quarter reported net income of $763 million. Reported diluted earnings per share (EPS) totaled $2.90 in the quarter, compared to reported diluted EPS of $2.78 in the year-ago quarter.</w:t>
      </w:r>
    </w:p>
    <w:p>
      <w:pPr>
        <w:pStyle w:val="TextBody"/>
        <w:bidi w:val="0"/>
        <w:spacing w:before="0" w:after="0"/>
        <w:jc w:val="left"/>
        <w:rPr/>
      </w:pPr>
      <w:r>
        <w:rPr/>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Adjusted operating income in the 2026 second quarter totaled $1,329 million, compared to 2025 second quarter Adjusted operating income of $1,186 million. Second quarter 2026 Adjusted net income totaled $844 million, compared to 2025 second quarter Adjusted net income of $728 million. Adjusted diluted EPS in the 2026 second quarter totaled $3.19, compared to Adjusted diluted EPS of $2.65 in the year-ago quarter.</w:t>
      </w:r>
    </w:p>
    <w:p>
      <w:pPr>
        <w:pStyle w:val="TextBody"/>
        <w:bidi w:val="0"/>
        <w:spacing w:before="0" w:after="0"/>
        <w:jc w:val="left"/>
        <w:rPr/>
      </w:pPr>
      <w:r>
        <w:rPr/>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Second quarter 2026 Adjusted results excluded cost reimbursement revenue, reimbursed expenses, restructuring and merger-related recoveries/charges, and other expenses, and certain impairment charges. See the press release schedules for the calculation of Adjusted results and the manner in which the Adjusted measures are determined in this press release.</w:t>
      </w:r>
    </w:p>
    <w:p>
      <w:pPr>
        <w:pStyle w:val="TextBody"/>
        <w:bidi w:val="0"/>
        <w:spacing w:lineRule="auto" w:line="268"/>
        <w:jc w:val="left"/>
        <w:rPr/>
      </w:pPr>
      <w:r>
        <w:rPr>
          <w:rFonts w:ascii="sans-serif" w:hAnsi="sans-serif"/>
          <w:b w:val="false"/>
          <w:color w:val="000000"/>
          <w:sz w:val="13"/>
        </w:rPr>
        <w:t>2</w:t>
      </w:r>
      <w:r>
        <w:rPr>
          <w:rFonts w:ascii="sans-serif" w:hAnsi="sans-serif"/>
          <w:b w:val="false"/>
          <w:color w:val="000000"/>
          <w:sz w:val="20"/>
        </w:rPr>
        <w:t>In the 2025 fourth quarter, to enhance understanding of the company’s general and administrative costs, we reclassified amounts attributable to other expenses previously reported under the “General, administrative, and other” caption to the “Owned, leased, and other expense” caption of our Income Statements. Please see the Income Statement Reclassification section of this press release for additional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left"/>
        <w:rPr/>
      </w:pPr>
      <w:r>
        <w:rPr>
          <w:rFonts w:ascii="sans-serif" w:hAnsi="sans-serif"/>
          <w:b w:val="false"/>
          <w:color w:val="000000"/>
          <w:sz w:val="24"/>
        </w:rPr>
        <w:t xml:space="preserve">Adjusted </w:t>
      </w:r>
      <w:r>
        <w:rPr>
          <w:rFonts w:ascii="sans-serif" w:hAnsi="sans-serif"/>
          <w:b w:val="false"/>
          <w:color w:val="000000"/>
          <w:sz w:val="24"/>
          <w:shd w:fill="FFFFFF" w:val="clear"/>
        </w:rPr>
        <w:t>earnings before interest, taxes, depreciation, and amortization</w:t>
      </w:r>
      <w:r>
        <w:rPr>
          <w:color w:val="000000"/>
        </w:rPr>
        <w:t xml:space="preserve"> </w:t>
      </w:r>
      <w:r>
        <w:rPr>
          <w:rFonts w:ascii="sans-serif" w:hAnsi="sans-serif"/>
          <w:b w:val="false"/>
          <w:color w:val="000000"/>
          <w:sz w:val="24"/>
        </w:rPr>
        <w:t xml:space="preserve">(EBITDA) totaled $1,592 million in the 2026 second quarter, a 13 percent </w:t>
      </w:r>
      <w:r>
        <w:rPr>
          <w:rFonts w:ascii="sans-serif" w:hAnsi="sans-serif"/>
          <w:b w:val="false"/>
          <w:color w:val="000000"/>
          <w:sz w:val="24"/>
          <w:shd w:fill="FFFFFF" w:val="clear"/>
        </w:rPr>
        <w:t>increase compared to second quarter 2025 Adjusted EBITDA of $1,415 million. S</w:t>
      </w:r>
      <w:r>
        <w:rPr>
          <w:rFonts w:ascii="sans-serif" w:hAnsi="sans-serif"/>
          <w:b w:val="false"/>
          <w:color w:val="000000"/>
          <w:sz w:val="24"/>
        </w:rPr>
        <w:t xml:space="preserve">ee the press release schedules for the </w:t>
      </w:r>
      <w:r>
        <w:rPr>
          <w:rFonts w:ascii="sans-serif" w:hAnsi="sans-serif"/>
          <w:b w:val="false"/>
          <w:color w:val="000000"/>
          <w:sz w:val="24"/>
          <w:shd w:fill="FFFFFF" w:val="clear"/>
        </w:rPr>
        <w:t>Adjusted EBITDA calculation.</w:t>
      </w:r>
    </w:p>
    <w:p>
      <w:pPr>
        <w:pStyle w:val="TextBody"/>
        <w:bidi w:val="0"/>
        <w:spacing w:before="0" w:after="0"/>
        <w:jc w:val="left"/>
        <w:rPr/>
      </w:pPr>
      <w:r>
        <w:rPr/>
      </w:r>
    </w:p>
    <w:p>
      <w:pPr>
        <w:pStyle w:val="TextBody"/>
        <w:bidi w:val="0"/>
        <w:spacing w:lineRule="auto" w:line="360" w:before="0" w:after="0"/>
        <w:jc w:val="left"/>
        <w:rPr>
          <w:rFonts w:ascii="sans-serif" w:hAnsi="sans-serif"/>
          <w:b/>
          <w:color w:val="000000"/>
          <w:sz w:val="24"/>
          <w:u w:val="single"/>
        </w:rPr>
      </w:pPr>
      <w:r>
        <w:rPr>
          <w:rFonts w:ascii="sans-serif" w:hAnsi="sans-serif"/>
          <w:b/>
          <w:color w:val="000000"/>
          <w:sz w:val="24"/>
          <w:u w:val="single"/>
        </w:rPr>
        <w:t>Income Statement Reclassification</w:t>
      </w:r>
    </w:p>
    <w:p>
      <w:pPr>
        <w:pStyle w:val="TextBody"/>
        <w:bidi w:val="0"/>
        <w:spacing w:lineRule="auto" w:line="360" w:before="0" w:after="0"/>
        <w:jc w:val="left"/>
        <w:rPr/>
      </w:pPr>
      <w:r>
        <w:rPr>
          <w:rFonts w:ascii="sans-serif" w:hAnsi="sans-serif"/>
          <w:b w:val="false"/>
          <w:color w:val="000000"/>
          <w:sz w:val="24"/>
        </w:rPr>
        <w:t>In the 2025 fourth quarter, to enhance understanding of the company’s general and administrative costs, we reclassified amounts attributable to other expenses previously reported under the “General, administrative, and other” caption to the “Owned, leased, and other expense” caption of our Income Statements.</w:t>
      </w:r>
      <w:r>
        <w:rPr>
          <w:color w:val="000000"/>
        </w:rPr>
        <w:t xml:space="preserve"> </w:t>
      </w:r>
      <w:r>
        <w:rPr>
          <w:rFonts w:ascii="sans-serif" w:hAnsi="sans-serif"/>
          <w:b w:val="false"/>
          <w:color w:val="000000"/>
          <w:sz w:val="24"/>
        </w:rPr>
        <w:t>The expenses that were reclassified from “General, administrative, and other” are certain costs associated with our property-related fee revenues, such as guarantee expense, provision for credit losses, and certain brand-related or property-related expenses, as well as costs associated with certain third-party agreements. Please refer to the Expense Captions - As Reclassified section in the press release schedules for information about the affected expense captions, as reclassified, for each quarter and the full fiscal year of 2025.</w:t>
      </w:r>
    </w:p>
    <w:p>
      <w:pPr>
        <w:pStyle w:val="TextBody"/>
        <w:bidi w:val="0"/>
        <w:spacing w:before="0" w:after="0"/>
        <w:jc w:val="left"/>
        <w:rPr/>
      </w:pPr>
      <w:r>
        <w:rPr/>
      </w:r>
    </w:p>
    <w:p>
      <w:pPr>
        <w:pStyle w:val="TextBody"/>
        <w:bidi w:val="0"/>
        <w:spacing w:lineRule="auto" w:line="360" w:before="0" w:after="0"/>
        <w:jc w:val="left"/>
        <w:rPr>
          <w:rFonts w:ascii="sans-serif" w:hAnsi="sans-serif"/>
          <w:b/>
          <w:color w:val="000000"/>
          <w:sz w:val="24"/>
          <w:u w:val="single"/>
        </w:rPr>
      </w:pPr>
      <w:r>
        <w:rPr>
          <w:rFonts w:ascii="sans-serif" w:hAnsi="sans-serif"/>
          <w:b/>
          <w:color w:val="000000"/>
          <w:sz w:val="24"/>
          <w:u w:val="single"/>
        </w:rPr>
        <w:t>Selected Performance Information</w:t>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The company added roughly 17,900 net rooms during the quarter, including approximately 11,000 net rooms in international markets. At the end of the quarter, Marriott’s global system totaled over 10,000 properties, with nearly 1,814,000 rooms.</w:t>
      </w:r>
    </w:p>
    <w:p>
      <w:pPr>
        <w:pStyle w:val="TextBody"/>
        <w:bidi w:val="0"/>
        <w:spacing w:before="0" w:after="0"/>
        <w:jc w:val="left"/>
        <w:rPr/>
      </w:pPr>
      <w:r>
        <w:rPr/>
      </w:r>
    </w:p>
    <w:p>
      <w:pPr>
        <w:pStyle w:val="TextBody"/>
        <w:bidi w:val="0"/>
        <w:spacing w:lineRule="auto" w:line="360" w:before="0" w:after="0"/>
        <w:jc w:val="left"/>
        <w:rPr/>
      </w:pPr>
      <w:r>
        <w:rPr>
          <w:rFonts w:ascii="sans-serif" w:hAnsi="sans-serif"/>
          <w:b w:val="false"/>
          <w:color w:val="000000"/>
          <w:sz w:val="24"/>
        </w:rPr>
        <w:t>At the end of the quarter, the company’s worldwide development pipeline totaled 4,186 properties with approximately</w:t>
      </w:r>
      <w:r>
        <w:rPr>
          <w:color w:val="000000"/>
        </w:rPr>
        <w:t xml:space="preserve"> </w:t>
      </w:r>
      <w:r>
        <w:rPr>
          <w:rFonts w:ascii="sans-serif" w:hAnsi="sans-serif"/>
          <w:b w:val="false"/>
          <w:color w:val="000000"/>
          <w:sz w:val="24"/>
        </w:rPr>
        <w:t>629,000 rooms, including 253 properties with over 34,000 rooms approved for development but not yet subject to signed contracts. The quarter-end pipeline included 1,757 properties with over 279,000 rooms under construction, including hotels that are in the process of converting to our system. Over half of the rooms in the quarter-end pipeline were located in international markets.</w:t>
      </w:r>
    </w:p>
    <w:p>
      <w:pPr>
        <w:pStyle w:val="TextBody"/>
        <w:bidi w:val="0"/>
        <w:spacing w:before="0" w:after="0"/>
        <w:jc w:val="left"/>
        <w:rPr/>
      </w:pPr>
      <w:r>
        <w:rPr/>
      </w:r>
    </w:p>
    <w:p>
      <w:pPr>
        <w:pStyle w:val="TextBody"/>
        <w:bidi w:val="0"/>
        <w:spacing w:lineRule="auto" w:line="360" w:before="0" w:after="0"/>
        <w:jc w:val="left"/>
        <w:rPr/>
      </w:pPr>
      <w:r>
        <w:rPr>
          <w:rFonts w:ascii="sans-serif" w:hAnsi="sans-serif"/>
          <w:b w:val="false"/>
          <w:color w:val="000000"/>
          <w:sz w:val="24"/>
        </w:rPr>
        <w:t xml:space="preserve">In the 2026 second quarter, worldwide RevPAR increased 3.4 percent (a 3.9 percent increase using actual dollars) compared to the 2025 second quarter. RevPAR in the U.S. &amp; Canada increased </w:t>
      </w:r>
      <w:r>
        <w:rPr>
          <w:rFonts w:ascii="sans-serif" w:hAnsi="sans-serif"/>
          <w:b w:val="false"/>
          <w:color w:val="000000"/>
          <w:sz w:val="24"/>
          <w:shd w:fill="FFFFFF" w:val="clear"/>
        </w:rPr>
        <w:t>5.0 percent</w:t>
      </w:r>
      <w:r>
        <w:rPr>
          <w:color w:val="000000"/>
        </w:rPr>
        <w:t xml:space="preserve"> </w:t>
      </w:r>
      <w:r>
        <w:rPr>
          <w:rFonts w:ascii="sans-serif" w:hAnsi="sans-serif"/>
          <w:b w:val="false"/>
          <w:color w:val="000000"/>
          <w:sz w:val="24"/>
        </w:rPr>
        <w:t>(a 5.1 percent increase using actual dollars), and RevPAR in international markets declined 0.5 percent (a 1.0 percent increase using actual dollars) compared to the 2025 second quarter.</w:t>
      </w:r>
    </w:p>
    <w:p>
      <w:pPr>
        <w:pStyle w:val="TextBody"/>
        <w:bidi w:val="0"/>
        <w:spacing w:before="0" w:after="0"/>
        <w:jc w:val="left"/>
        <w:rPr/>
      </w:pPr>
      <w:r>
        <w:rPr/>
      </w:r>
    </w:p>
    <w:p>
      <w:pPr>
        <w:pStyle w:val="TextBody"/>
        <w:bidi w:val="0"/>
        <w:spacing w:lineRule="auto" w:line="360" w:before="0" w:after="0"/>
        <w:jc w:val="left"/>
        <w:rPr/>
      </w:pPr>
      <w:r>
        <w:rPr>
          <w:rFonts w:ascii="sans-serif" w:hAnsi="sans-serif"/>
          <w:b/>
          <w:color w:val="000000"/>
          <w:sz w:val="24"/>
          <w:u w:val="single"/>
        </w:rPr>
        <w:t>Balance S</w:t>
      </w:r>
      <w:r>
        <w:rPr>
          <w:rFonts w:ascii="sans-serif" w:hAnsi="sans-serif"/>
          <w:b/>
          <w:color w:val="000000"/>
          <w:sz w:val="24"/>
          <w:u w:val="single"/>
          <w:shd w:fill="FFFFFF" w:val="clear"/>
        </w:rPr>
        <w:t>heet &amp; Common Stock</w:t>
      </w:r>
    </w:p>
    <w:p>
      <w:pPr>
        <w:pStyle w:val="TextBody"/>
        <w:bidi w:val="0"/>
        <w:spacing w:lineRule="auto" w:line="360" w:before="0" w:after="0"/>
        <w:jc w:val="left"/>
        <w:rPr/>
      </w:pPr>
      <w:r>
        <w:rPr>
          <w:rFonts w:ascii="sans-serif" w:hAnsi="sans-serif"/>
          <w:b w:val="false"/>
          <w:color w:val="000000"/>
          <w:sz w:val="24"/>
        </w:rPr>
        <w:t>At the end of the quarter</w:t>
      </w:r>
      <w:r>
        <w:rPr>
          <w:rFonts w:ascii="sans-serif" w:hAnsi="sans-serif"/>
          <w:b w:val="false"/>
          <w:color w:val="000000"/>
          <w:sz w:val="24"/>
          <w:shd w:fill="FFFFFF" w:val="clear"/>
        </w:rPr>
        <w:t>, Marriott’s total debt was $16.9 billion and cash and equivalents totaled $0.5 billion, compared to $16.2 billion in d</w:t>
      </w:r>
      <w:r>
        <w:rPr>
          <w:rFonts w:ascii="sans-serif" w:hAnsi="sans-serif"/>
          <w:b w:val="false"/>
          <w:color w:val="000000"/>
          <w:sz w:val="24"/>
        </w:rPr>
        <w:t>ebt and $0.4 billion of cash and equivalents at year-end 2025.</w:t>
      </w:r>
    </w:p>
    <w:p>
      <w:pPr>
        <w:pStyle w:val="TextBody"/>
        <w:bidi w:val="0"/>
        <w:spacing w:before="0" w:after="0"/>
        <w:jc w:val="left"/>
        <w:rPr/>
      </w:pPr>
      <w:r>
        <w:rPr/>
      </w:r>
    </w:p>
    <w:p>
      <w:pPr>
        <w:pStyle w:val="TextBody"/>
        <w:bidi w:val="0"/>
        <w:spacing w:lineRule="auto" w:line="360"/>
        <w:jc w:val="left"/>
        <w:rPr>
          <w:rFonts w:ascii="sans-serif" w:hAnsi="sans-serif"/>
          <w:b w:val="false"/>
          <w:color w:val="000000"/>
          <w:sz w:val="24"/>
        </w:rPr>
      </w:pPr>
      <w:r>
        <w:rPr>
          <w:rFonts w:ascii="sans-serif" w:hAnsi="sans-serif"/>
          <w:b w:val="false"/>
          <w:color w:val="000000"/>
          <w:sz w:val="24"/>
        </w:rPr>
        <w:t>The company repurchased 3.0 million shares of common stock in the 2026 second quarter for $1.1 billion. Year-to-date through July 29, the company has repurchased 6.2 million shares for $2.2 billion.</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u w:val="single"/>
          <w:shd w:fill="FFFFFF" w:val="clear"/>
        </w:rPr>
      </w:pPr>
      <w:r>
        <w:rPr>
          <w:rFonts w:ascii="sans-serif" w:hAnsi="sans-serif"/>
          <w:b/>
          <w:color w:val="000000"/>
          <w:sz w:val="24"/>
          <w:u w:val="single"/>
          <w:shd w:fill="FFFFFF" w:val="clear"/>
        </w:rPr>
        <w:t>Company Outlook</w:t>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The company's updated outlook generally assumes the continuation of the current macroeconomic environment. The outlook includes the expected partial year incremental impact of the new terms of our recently executed agreements with JPMorgan Chase and American Express for our U.S. co-branded credit card program.</w:t>
      </w:r>
    </w:p>
    <w:p>
      <w:pPr>
        <w:pStyle w:val="TextBody"/>
        <w:bidi w:val="0"/>
        <w:spacing w:before="0" w:after="0"/>
        <w:jc w:val="left"/>
        <w:rPr/>
      </w:pPr>
      <w:r>
        <w:rPr/>
      </w:r>
    </w:p>
    <w:tbl>
      <w:tblPr>
        <w:tblW w:w="9479" w:type="dxa"/>
        <w:jc w:val="left"/>
        <w:tblInd w:w="0" w:type="dxa"/>
        <w:tblLayout w:type="fixed"/>
        <w:tblCellMar>
          <w:top w:w="28" w:type="dxa"/>
          <w:left w:w="28" w:type="dxa"/>
          <w:bottom w:w="28" w:type="dxa"/>
          <w:right w:w="28" w:type="dxa"/>
        </w:tblCellMar>
      </w:tblPr>
      <w:tblGrid>
        <w:gridCol w:w="1347"/>
        <w:gridCol w:w="1184"/>
        <w:gridCol w:w="1188"/>
        <w:gridCol w:w="1059"/>
        <w:gridCol w:w="1059"/>
        <w:gridCol w:w="1062"/>
        <w:gridCol w:w="754"/>
        <w:gridCol w:w="754"/>
        <w:gridCol w:w="1072"/>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548D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548DD4"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FFFFFF"/>
                <w:sz w:val="24"/>
              </w:rPr>
            </w:pPr>
            <w:r>
              <w:rPr>
                <w:rFonts w:ascii="sans-serif" w:hAnsi="sans-serif"/>
                <w:b/>
                <w:color w:val="FFFFFF"/>
                <w:sz w:val="24"/>
              </w:rPr>
              <w:t>Third Quarter 2026</w:t>
            </w:r>
          </w:p>
          <w:p>
            <w:pPr>
              <w:pStyle w:val="TableContents"/>
              <w:bidi w:val="0"/>
              <w:spacing w:lineRule="auto" w:line="268" w:before="0" w:after="0"/>
              <w:jc w:val="left"/>
              <w:rPr>
                <w:rFonts w:ascii="sans-serif" w:hAnsi="sans-serif"/>
                <w:b/>
                <w:color w:val="FFFFFF"/>
                <w:sz w:val="24"/>
                <w:u w:val="single"/>
              </w:rPr>
            </w:pPr>
            <w:r>
              <w:rPr>
                <w:rFonts w:ascii="sans-serif" w:hAnsi="sans-serif"/>
                <w:b/>
                <w:color w:val="FFFFFF"/>
                <w:sz w:val="24"/>
                <w:u w:val="single"/>
              </w:rPr>
              <w:t>vs. Third Quarter 2025</w:t>
            </w:r>
          </w:p>
        </w:tc>
        <w:tc>
          <w:tcPr>
            <w:tcW w:w="2580" w:type="dxa"/>
            <w:gridSpan w:val="3"/>
            <w:tcBorders/>
            <w:shd w:fill="548DD4"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FFFFFF"/>
                <w:sz w:val="24"/>
              </w:rPr>
            </w:pPr>
            <w:r>
              <w:rPr>
                <w:rFonts w:ascii="sans-serif" w:hAnsi="sans-serif"/>
                <w:b/>
                <w:color w:val="FFFFFF"/>
                <w:sz w:val="24"/>
              </w:rPr>
              <w:t>Full Year 2026</w:t>
            </w:r>
          </w:p>
          <w:p>
            <w:pPr>
              <w:pStyle w:val="TableContents"/>
              <w:bidi w:val="0"/>
              <w:spacing w:lineRule="auto" w:line="268" w:before="0" w:after="0"/>
              <w:jc w:val="left"/>
              <w:rPr>
                <w:rFonts w:ascii="sans-serif" w:hAnsi="sans-serif"/>
                <w:b/>
                <w:color w:val="FFFFFF"/>
                <w:sz w:val="24"/>
                <w:u w:val="single"/>
              </w:rPr>
            </w:pPr>
            <w:r>
              <w:rPr>
                <w:rFonts w:ascii="sans-serif" w:hAnsi="sans-serif"/>
                <w:b/>
                <w:color w:val="FFFFFF"/>
                <w:sz w:val="24"/>
                <w:u w:val="single"/>
              </w:rPr>
              <w:t>vs. Full Year 2025</w:t>
            </w:r>
          </w:p>
        </w:tc>
      </w:tr>
      <w:tr>
        <w:trPr/>
        <w:tc>
          <w:tcPr>
            <w:tcW w:w="37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color w:val="000000"/>
                <w:sz w:val="24"/>
              </w:rPr>
            </w:pPr>
            <w:r>
              <w:rPr>
                <w:rFonts w:ascii="sans-serif" w:hAnsi="sans-serif"/>
                <w:b/>
                <w:color w:val="000000"/>
                <w:sz w:val="24"/>
              </w:rPr>
              <w:t>Worldwide RevPAR growth</w:t>
            </w:r>
          </w:p>
        </w:tc>
        <w:tc>
          <w:tcPr>
            <w:tcW w:w="318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3.5% to 4.0%</w:t>
            </w:r>
          </w:p>
        </w:tc>
        <w:tc>
          <w:tcPr>
            <w:tcW w:w="258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3.0% to 3.5%</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180"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bl>
    <w:tbl>
      <w:tblPr>
        <w:tblW w:w="5831"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851"/>
        <w:gridCol w:w="851"/>
        <w:gridCol w:w="1208"/>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548D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548D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548DD4"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color w:val="FFFFFF"/>
                <w:sz w:val="24"/>
              </w:rPr>
            </w:pPr>
            <w:r>
              <w:rPr>
                <w:rFonts w:ascii="sans-serif" w:hAnsi="sans-serif"/>
                <w:b/>
                <w:color w:val="FFFFFF"/>
                <w:sz w:val="24"/>
              </w:rPr>
              <w:t>Year-End 2026</w:t>
            </w:r>
          </w:p>
          <w:p>
            <w:pPr>
              <w:pStyle w:val="TableContents"/>
              <w:bidi w:val="0"/>
              <w:spacing w:lineRule="auto" w:line="268" w:before="0" w:after="0"/>
              <w:jc w:val="left"/>
              <w:rPr>
                <w:rFonts w:ascii="sans-serif" w:hAnsi="sans-serif"/>
                <w:b/>
                <w:color w:val="FFFFFF"/>
                <w:sz w:val="24"/>
                <w:u w:val="single"/>
              </w:rPr>
            </w:pPr>
            <w:r>
              <w:rPr>
                <w:rFonts w:ascii="sans-serif" w:hAnsi="sans-serif"/>
                <w:b/>
                <w:color w:val="FFFFFF"/>
                <w:sz w:val="24"/>
                <w:u w:val="single"/>
              </w:rPr>
              <w:t>vs. Year-End 2025</w:t>
            </w:r>
          </w:p>
        </w:tc>
      </w:tr>
      <w:tr>
        <w:trPr/>
        <w:tc>
          <w:tcPr>
            <w:tcW w:w="2594" w:type="dxa"/>
            <w:gridSpan w:val="3"/>
            <w:tcBorders/>
            <w:shd w:fill="C6D9F1" w:val="clear"/>
            <w:tcMar>
              <w:top w:w="0" w:type="dxa"/>
              <w:left w:w="0" w:type="dxa"/>
              <w:bottom w:w="0" w:type="dxa"/>
              <w:right w:w="0" w:type="dxa"/>
            </w:tcMar>
            <w:vAlign w:val="center"/>
          </w:tcPr>
          <w:p>
            <w:pPr>
              <w:pStyle w:val="TableContents"/>
              <w:bidi w:val="0"/>
              <w:spacing w:lineRule="auto" w:line="300" w:before="0" w:after="0"/>
              <w:jc w:val="left"/>
              <w:rPr>
                <w:rFonts w:ascii="sans-serif" w:hAnsi="sans-serif"/>
                <w:b/>
                <w:color w:val="000000"/>
                <w:sz w:val="24"/>
              </w:rPr>
            </w:pPr>
            <w:r>
              <w:rPr>
                <w:rFonts w:ascii="sans-serif" w:hAnsi="sans-serif"/>
                <w:b/>
                <w:color w:val="000000"/>
                <w:sz w:val="24"/>
              </w:rPr>
              <w:t>Net rooms growth</w:t>
            </w:r>
          </w:p>
        </w:tc>
        <w:tc>
          <w:tcPr>
            <w:tcW w:w="32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Low end of 4.5% to 5%</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59"/>
        <w:gridCol w:w="1963"/>
        <w:gridCol w:w="1968"/>
        <w:gridCol w:w="699"/>
        <w:gridCol w:w="699"/>
        <w:gridCol w:w="701"/>
        <w:gridCol w:w="546"/>
        <w:gridCol w:w="481"/>
        <w:gridCol w:w="689"/>
      </w:tblGrid>
      <w:tr>
        <w:trPr/>
        <w:tc>
          <w:tcPr>
            <w:tcW w:w="245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548DD4"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color w:val="FFFFFF"/>
                <w:sz w:val="24"/>
              </w:rPr>
            </w:pPr>
            <w:r>
              <w:rPr>
                <w:rFonts w:ascii="sans-serif" w:hAnsi="sans-serif"/>
                <w:b/>
                <w:color w:val="FFFFFF"/>
                <w:sz w:val="24"/>
              </w:rPr>
              <w:t>($ in millions, except EPS)</w:t>
            </w:r>
          </w:p>
        </w:tc>
        <w:tc>
          <w:tcPr>
            <w:tcW w:w="2099" w:type="dxa"/>
            <w:gridSpan w:val="3"/>
            <w:tcBorders/>
            <w:shd w:fill="548DD4"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color w:val="FFFFFF"/>
                <w:sz w:val="24"/>
                <w:u w:val="single"/>
              </w:rPr>
            </w:pPr>
            <w:r>
              <w:rPr>
                <w:rFonts w:ascii="sans-serif" w:hAnsi="sans-serif"/>
                <w:b/>
                <w:color w:val="FFFFFF"/>
                <w:sz w:val="24"/>
                <w:u w:val="single"/>
              </w:rPr>
              <w:t>Third Quarter 2026</w:t>
            </w:r>
          </w:p>
        </w:tc>
        <w:tc>
          <w:tcPr>
            <w:tcW w:w="1716" w:type="dxa"/>
            <w:gridSpan w:val="3"/>
            <w:tcBorders/>
            <w:shd w:fill="548DD4" w:val="clear"/>
            <w:tcMar>
              <w:top w:w="0" w:type="dxa"/>
              <w:left w:w="0" w:type="dxa"/>
              <w:bottom w:w="0" w:type="dxa"/>
              <w:right w:w="0" w:type="dxa"/>
            </w:tcMar>
            <w:vAlign w:val="center"/>
          </w:tcPr>
          <w:p>
            <w:pPr>
              <w:pStyle w:val="TableContents"/>
              <w:bidi w:val="0"/>
              <w:spacing w:lineRule="auto" w:line="300" w:before="0" w:after="0"/>
              <w:jc w:val="left"/>
              <w:rPr>
                <w:rFonts w:ascii="sans-serif" w:hAnsi="sans-serif"/>
                <w:b/>
                <w:color w:val="FFFFFF"/>
                <w:sz w:val="24"/>
                <w:u w:val="single"/>
              </w:rPr>
            </w:pPr>
            <w:r>
              <w:rPr>
                <w:rFonts w:ascii="sans-serif" w:hAnsi="sans-serif"/>
                <w:b/>
                <w:color w:val="FFFFFF"/>
                <w:sz w:val="24"/>
                <w:u w:val="single"/>
              </w:rPr>
              <w:t>Full Year 2026</w:t>
            </w:r>
          </w:p>
        </w:tc>
      </w:tr>
      <w:tr>
        <w:trPr/>
        <w:tc>
          <w:tcPr>
            <w:tcW w:w="6390"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Gross fee revenues</w:t>
            </w:r>
          </w:p>
        </w:tc>
        <w:tc>
          <w:tcPr>
            <w:tcW w:w="2099"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$1,474 to $1,483</w:t>
            </w:r>
          </w:p>
        </w:tc>
        <w:tc>
          <w:tcPr>
            <w:tcW w:w="1716"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$6,025 to $6,055</w:t>
            </w:r>
          </w:p>
        </w:tc>
      </w:tr>
      <w:tr>
        <w:trPr/>
        <w:tc>
          <w:tcPr>
            <w:tcW w:w="639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Owned, leased, and other revenue, net of owned, leased, and other expense</w:t>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$30 to $40</w:t>
            </w:r>
          </w:p>
        </w:tc>
        <w:tc>
          <w:tcPr>
            <w:tcW w:w="171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$175 to $185</w:t>
            </w:r>
          </w:p>
        </w:tc>
      </w:tr>
      <w:tr>
        <w:trPr/>
        <w:tc>
          <w:tcPr>
            <w:tcW w:w="6390" w:type="dxa"/>
            <w:gridSpan w:val="3"/>
            <w:tcBorders/>
            <w:shd w:fill="C6D9F1"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4"/>
              </w:rPr>
            </w:pPr>
            <w:r>
              <w:rPr>
                <w:rFonts w:ascii="sans-serif" w:hAnsi="sans-serif"/>
                <w:b w:val="false"/>
                <w:color w:val="000000"/>
                <w:sz w:val="24"/>
              </w:rPr>
              <w:t>General and administrative expenses</w:t>
            </w:r>
          </w:p>
        </w:tc>
        <w:tc>
          <w:tcPr>
            <w:tcW w:w="2099"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$220 to $210</w:t>
            </w:r>
          </w:p>
        </w:tc>
        <w:tc>
          <w:tcPr>
            <w:tcW w:w="1716" w:type="dxa"/>
            <w:gridSpan w:val="3"/>
            <w:tcBorders/>
            <w:shd w:fill="C6D9F1" w:val="clear"/>
            <w:tcMar>
              <w:top w:w="0" w:type="dxa"/>
              <w:left w:w="0" w:type="dxa"/>
              <w:bottom w:w="0" w:type="dxa"/>
              <w:right w:w="0" w:type="dxa"/>
            </w:tcMar>
            <w:vAlign w:val="center"/>
          </w:tcPr>
          <w:p>
            <w:pPr>
              <w:pStyle w:val="TableContents"/>
              <w:bidi w:val="0"/>
              <w:spacing w:lineRule="auto" w:line="300" w:before="0" w:after="0"/>
              <w:jc w:val="left"/>
              <w:rPr>
                <w:rFonts w:ascii="sans-serif" w:hAnsi="sans-serif"/>
                <w:b w:val="false"/>
                <w:color w:val="000000"/>
                <w:sz w:val="24"/>
              </w:rPr>
            </w:pPr>
            <w:r>
              <w:rPr>
                <w:rFonts w:ascii="sans-serif" w:hAnsi="sans-serif"/>
                <w:b w:val="false"/>
                <w:color w:val="000000"/>
                <w:sz w:val="24"/>
              </w:rPr>
              <w:t>$895 to $875</w:t>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color w:val="000000"/>
                <w:sz w:val="24"/>
              </w:rPr>
              <w:t>Adjusted EBITDA</w:t>
            </w:r>
            <w:r>
              <w:rPr>
                <w:rFonts w:ascii="sans-serif" w:hAnsi="sans-serif"/>
                <w:b w:val="false"/>
                <w:color w:val="000000"/>
                <w:sz w:val="16"/>
              </w:rPr>
              <w:t>1,2</w:t>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$1,439 to $1,468</w:t>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$5,965 to $6,025</w:t>
            </w:r>
          </w:p>
        </w:tc>
      </w:tr>
      <w:tr>
        <w:trPr/>
        <w:tc>
          <w:tcPr>
            <w:tcW w:w="6390" w:type="dxa"/>
            <w:gridSpan w:val="3"/>
            <w:tcBorders/>
            <w:shd w:fill="C6D9F1"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color w:val="000000"/>
                <w:sz w:val="24"/>
              </w:rPr>
              <w:t>Adjusted EPS – diluted</w:t>
            </w:r>
            <w:r>
              <w:rPr>
                <w:rFonts w:ascii="sans-serif" w:hAnsi="sans-serif"/>
                <w:b w:val="false"/>
                <w:color w:val="000000"/>
                <w:sz w:val="16"/>
              </w:rPr>
              <w:t>2,3</w:t>
            </w:r>
          </w:p>
        </w:tc>
        <w:tc>
          <w:tcPr>
            <w:tcW w:w="2099"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$2.74 to $2.82</w:t>
            </w:r>
          </w:p>
        </w:tc>
        <w:tc>
          <w:tcPr>
            <w:tcW w:w="1716"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$11.64 to $11.81</w:t>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color w:val="000000"/>
                <w:sz w:val="24"/>
              </w:rPr>
              <w:t>Adjusted effective tax rate</w:t>
            </w:r>
            <w:r>
              <w:rPr>
                <w:rFonts w:ascii="sans-serif" w:hAnsi="sans-serif"/>
                <w:b w:val="false"/>
                <w:color w:val="000000"/>
                <w:sz w:val="16"/>
              </w:rPr>
              <w:t>2</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Approx. 26.7%</w:t>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rFonts w:ascii="sans-serif" w:hAnsi="sans-serif"/>
                <w:b w:val="false"/>
                <w:color w:val="000000"/>
                <w:sz w:val="24"/>
              </w:rPr>
            </w:pPr>
            <w:r>
              <w:rPr>
                <w:rFonts w:ascii="sans-serif" w:hAnsi="sans-serif"/>
                <w:b w:val="false"/>
                <w:color w:val="000000"/>
                <w:sz w:val="24"/>
              </w:rPr>
              <w:t>26.0% to 26.5%</w:t>
            </w:r>
          </w:p>
        </w:tc>
      </w:tr>
      <w:tr>
        <w:trPr/>
        <w:tc>
          <w:tcPr>
            <w:tcW w:w="6390" w:type="dxa"/>
            <w:gridSpan w:val="3"/>
            <w:tcBorders/>
            <w:shd w:fill="C6D9F1"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color w:val="000000"/>
                <w:sz w:val="24"/>
              </w:rPr>
              <w:t>Investment spending</w:t>
            </w:r>
            <w:r>
              <w:rPr>
                <w:rFonts w:ascii="sans-serif" w:hAnsi="sans-serif"/>
                <w:b w:val="false"/>
                <w:color w:val="000000"/>
                <w:sz w:val="16"/>
              </w:rPr>
              <w:t>4</w:t>
            </w:r>
          </w:p>
        </w:tc>
        <w:tc>
          <w:tcPr>
            <w:tcW w:w="2099"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6D9F1"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$1,250 to $1,350</w:t>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pPr>
            <w:r>
              <w:rPr>
                <w:rFonts w:ascii="sans-serif" w:hAnsi="sans-serif"/>
                <w:b w:val="false"/>
                <w:color w:val="000000"/>
                <w:sz w:val="24"/>
              </w:rPr>
              <w:t>Capital return to shareholders</w:t>
            </w:r>
            <w:r>
              <w:rPr>
                <w:rFonts w:ascii="sans-serif" w:hAnsi="sans-serif"/>
                <w:b w:val="false"/>
                <w:color w:val="000000"/>
                <w:sz w:val="16"/>
              </w:rPr>
              <w:t>5</w:t>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sans-serif" w:hAnsi="sans-serif"/>
                <w:b w:val="false"/>
                <w:color w:val="000000"/>
                <w:sz w:val="24"/>
              </w:rPr>
            </w:pPr>
            <w:r>
              <w:rPr>
                <w:rFonts w:ascii="sans-serif" w:hAnsi="sans-serif"/>
                <w:b w:val="false"/>
                <w:color w:val="000000"/>
                <w:sz w:val="24"/>
              </w:rPr>
              <w:t>Over $4,500</w:t>
            </w:r>
          </w:p>
        </w:tc>
      </w:tr>
    </w:tbl>
    <w:p>
      <w:pPr>
        <w:pStyle w:val="TextBody"/>
        <w:bidi w:val="0"/>
        <w:spacing w:lineRule="auto" w:line="276" w:before="0" w:after="0"/>
        <w:jc w:val="left"/>
        <w:rPr/>
      </w:pPr>
      <w:r>
        <w:rPr>
          <w:rFonts w:ascii="sans-serif" w:hAnsi="sans-serif"/>
          <w:b w:val="false"/>
          <w:color w:val="000000"/>
          <w:sz w:val="13"/>
          <w:shd w:fill="FFFFFF" w:val="clear"/>
        </w:rPr>
        <w:t>1</w:t>
      </w:r>
      <w:r>
        <w:rPr>
          <w:rFonts w:ascii="sans-serif" w:hAnsi="sans-serif"/>
          <w:b w:val="false"/>
          <w:color w:val="000000"/>
          <w:sz w:val="20"/>
          <w:shd w:fill="FFFFFF" w:val="clear"/>
        </w:rPr>
        <w:t xml:space="preserve">See </w:t>
      </w:r>
      <w:r>
        <w:rPr>
          <w:rFonts w:ascii="sans-serif" w:hAnsi="sans-serif"/>
          <w:b w:val="false"/>
          <w:color w:val="000000"/>
          <w:sz w:val="20"/>
        </w:rPr>
        <w:t>the press release schedules</w:t>
      </w:r>
      <w:r>
        <w:rPr>
          <w:color w:val="000000"/>
          <w:shd w:fill="FFFFFF" w:val="clear"/>
        </w:rPr>
        <w:t xml:space="preserve"> </w:t>
      </w:r>
      <w:r>
        <w:rPr>
          <w:rFonts w:ascii="sans-serif" w:hAnsi="sans-serif"/>
          <w:b w:val="false"/>
          <w:color w:val="000000"/>
          <w:sz w:val="20"/>
          <w:shd w:fill="FFFFFF" w:val="clear"/>
        </w:rPr>
        <w:t>for the Adjusted EBITDA calculations.</w:t>
      </w:r>
    </w:p>
    <w:p>
      <w:pPr>
        <w:pStyle w:val="TextBody"/>
        <w:bidi w:val="0"/>
        <w:spacing w:lineRule="auto" w:line="268" w:before="0" w:after="0"/>
        <w:jc w:val="left"/>
        <w:rPr/>
      </w:pPr>
      <w:r>
        <w:rPr>
          <w:rFonts w:ascii="sans-serif" w:hAnsi="sans-serif"/>
          <w:b w:val="false"/>
          <w:color w:val="000000"/>
          <w:sz w:val="13"/>
        </w:rPr>
        <w:t>2</w:t>
      </w:r>
      <w:r>
        <w:rPr>
          <w:rFonts w:ascii="sans-serif" w:hAnsi="sans-serif"/>
          <w:b w:val="false"/>
          <w:color w:val="000000"/>
          <w:sz w:val="20"/>
        </w:rPr>
        <w:t>Adjusted EBITDA,</w:t>
      </w:r>
      <w:r>
        <w:rPr>
          <w:color w:val="000000"/>
        </w:rPr>
        <w:t xml:space="preserve"> </w:t>
      </w:r>
      <w:r>
        <w:rPr>
          <w:rFonts w:ascii="sans-serif" w:hAnsi="sans-serif"/>
          <w:b w:val="false"/>
          <w:color w:val="000000"/>
          <w:sz w:val="20"/>
        </w:rPr>
        <w:t>Adjusted EPS – diluted, and Adjusted effective tax rate for third quarter and full year 2026 do not include cost reimbursement revenue, reimbursed expenses, and restructuring and merger-related recoveries/charges, and other expenses, each of which the company cannot forecast with sufficient accuracy and without unreasonable efforts, and which may be significant. Our outlook includes the impact of our sale of a U.S. &amp; Canada hotel and our investment in Lefay, each of which occurred in the 2026 second quarter. Our outlook excludes any other potential asset sales or property or brand acquisitions that may occur during the year, each of which the company cannot forecast with sufficient accuracy and without unreasonable efforts, and which may be significant. In addition, our full year 2026 outlook excludes the 2026 first half adjustments related to the Sonder termination of $2 million, an adjustment to a gain on an asset disposition of $(8) million, and an impairment charge of $(68) million recorded in connection with our sale of a U.S. &amp; Canada hotel.</w:t>
      </w:r>
    </w:p>
    <w:p>
      <w:pPr>
        <w:pStyle w:val="TextBody"/>
        <w:bidi w:val="0"/>
        <w:spacing w:lineRule="auto" w:line="276" w:before="0" w:after="0"/>
        <w:jc w:val="left"/>
        <w:rPr/>
      </w:pPr>
      <w:r>
        <w:rPr>
          <w:rFonts w:ascii="sans-serif" w:hAnsi="sans-serif"/>
          <w:b w:val="false"/>
          <w:color w:val="000000"/>
          <w:sz w:val="13"/>
        </w:rPr>
        <w:t>3</w:t>
      </w:r>
      <w:r>
        <w:rPr>
          <w:rFonts w:ascii="sans-serif" w:hAnsi="sans-serif"/>
          <w:b w:val="false"/>
          <w:color w:val="000000"/>
          <w:sz w:val="20"/>
        </w:rPr>
        <w:t>Assumes the level of capital return to shareholders noted above.</w:t>
      </w:r>
    </w:p>
    <w:p>
      <w:pPr>
        <w:pStyle w:val="TextBody"/>
        <w:bidi w:val="0"/>
        <w:spacing w:lineRule="auto" w:line="268" w:before="0" w:after="0"/>
        <w:jc w:val="left"/>
        <w:rPr/>
      </w:pPr>
      <w:r>
        <w:rPr>
          <w:rFonts w:ascii="sans-serif" w:hAnsi="sans-serif"/>
          <w:b w:val="false"/>
          <w:color w:val="000000"/>
          <w:sz w:val="13"/>
        </w:rPr>
        <w:t>4</w:t>
      </w:r>
      <w:r>
        <w:rPr>
          <w:rFonts w:ascii="sans-serif" w:hAnsi="sans-serif"/>
          <w:b w:val="false"/>
          <w:color w:val="000000"/>
          <w:sz w:val="20"/>
        </w:rPr>
        <w:t>Investment spending includes contract acquisition costs, capital and technology expenditures, renovations at owned and leased hotels, loan advances, and other investing activities (including our investment in Lefay, which occurred in the 2026 second quarter), but excluding any potential property or brand acquisitions, which we cannot forecast with sufficient accuracy and which may be significant.</w:t>
      </w:r>
    </w:p>
    <w:p>
      <w:pPr>
        <w:pStyle w:val="TextBody"/>
        <w:bidi w:val="0"/>
        <w:spacing w:lineRule="auto" w:line="268"/>
        <w:jc w:val="left"/>
        <w:rPr/>
      </w:pPr>
      <w:r>
        <w:rPr>
          <w:rFonts w:ascii="sans-serif" w:hAnsi="sans-serif"/>
          <w:b w:val="false"/>
          <w:color w:val="000000"/>
          <w:sz w:val="13"/>
        </w:rPr>
        <w:t>5</w:t>
      </w:r>
      <w:r>
        <w:rPr>
          <w:rFonts w:ascii="sans-serif" w:hAnsi="sans-serif"/>
          <w:b w:val="false"/>
          <w:color w:val="000000"/>
          <w:sz w:val="20"/>
        </w:rPr>
        <w:t>Assumes the level of investment spending noted above and that no other asset sales, property acquisitions or brand acquisitions occur during the year.</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360" w:before="0" w:after="0"/>
        <w:jc w:val="left"/>
        <w:rPr/>
      </w:pPr>
      <w:r>
        <w:rPr>
          <w:rFonts w:ascii="sans-serif" w:hAnsi="sans-serif"/>
          <w:b w:val="false"/>
          <w:color w:val="000000"/>
          <w:sz w:val="24"/>
        </w:rPr>
        <w:t xml:space="preserve">Marriott International, Inc. (Nasdaq: MAR) will conduct its quarterly earnings review for the investment community and news media on Monday, August 3, 2026, at 8:30 a.m. Eastern Time (ET). The conference call will be webcast simultaneously via Marriott’s investor relations website at </w:t>
      </w:r>
      <w:r>
        <w:rPr>
          <w:rFonts w:ascii="sans-serif" w:hAnsi="sans-serif"/>
          <w:b w:val="false"/>
          <w:color w:val="000000"/>
          <w:sz w:val="24"/>
          <w:u w:val="single"/>
        </w:rPr>
        <w:t>www.marriott.com/investor</w:t>
      </w:r>
      <w:r>
        <w:rPr>
          <w:color w:val="000000"/>
        </w:rPr>
        <w:t xml:space="preserve"> </w:t>
      </w:r>
      <w:r>
        <w:rPr>
          <w:rFonts w:ascii="sans-serif" w:hAnsi="sans-serif"/>
          <w:b w:val="false"/>
          <w:color w:val="000000"/>
          <w:sz w:val="24"/>
        </w:rPr>
        <w:t>(click on “Events &amp; Presentations” and click on the quarterly conference call link). A replay will be available at that same website until August 3, 2027.</w:t>
      </w:r>
    </w:p>
    <w:p>
      <w:pPr>
        <w:pStyle w:val="TextBody"/>
        <w:bidi w:val="0"/>
        <w:spacing w:before="0" w:after="0"/>
        <w:jc w:val="left"/>
        <w:rPr/>
      </w:pPr>
      <w:r>
        <w:rPr/>
      </w:r>
    </w:p>
    <w:p>
      <w:pPr>
        <w:pStyle w:val="TextBody"/>
        <w:bidi w:val="0"/>
        <w:spacing w:lineRule="auto" w:line="360" w:before="0" w:after="0"/>
        <w:jc w:val="left"/>
        <w:rPr>
          <w:rFonts w:ascii="sans-serif" w:hAnsi="sans-serif"/>
          <w:b w:val="false"/>
          <w:color w:val="000000"/>
          <w:sz w:val="24"/>
        </w:rPr>
      </w:pPr>
      <w:r>
        <w:rPr>
          <w:rFonts w:ascii="sans-serif" w:hAnsi="sans-serif"/>
          <w:b w:val="false"/>
          <w:color w:val="000000"/>
          <w:sz w:val="24"/>
        </w:rPr>
        <w:t>The telephone dial-in number for the conference call is US Toll Free: 800-267-6316, or Global: +1 203-518-9783. The conference ID is MAR2Q26.</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u w:val="single"/>
        </w:rPr>
        <w:t>Note on forward-looking statements:</w:t>
      </w:r>
      <w:r>
        <w:rPr>
          <w:color w:val="000000"/>
        </w:rPr>
        <w:t xml:space="preserve"> </w:t>
      </w:r>
      <w:r>
        <w:rPr>
          <w:rFonts w:ascii="sans-serif" w:hAnsi="sans-serif"/>
          <w:b w:val="false"/>
          <w:color w:val="000000"/>
          <w:sz w:val="24"/>
        </w:rPr>
        <w:t>All statements in this press release and the accompanying schedules are made as of August 3, 2026. We undertake no obligation to publicly update or revise these statements, whether as a result of new information, future events or otherwise. This press release and the accompanying schedules contain "forward-looking statements" within the meaning of federal securities laws, including statements related to our RevPAR, rooms growth and other financial metric estimates, outlook and assumptions; shareholder returns; our growth prospects; our development pipeline; our Marriott Bonvoy loyalty program; property performance; our expectations about the current macroeconomic environment; our expectations about our co-branded credit card program; and similar statements concerning anticipated future events and expectations that are not historical facts. We caution you that these statements are not guarantees of future performance and are subject to numerous evolving risks and uncertainties that we may not be able to accurately predict or assess, including the risk factors that we describe in our U.S. Securities and Exchange Commission filings, including our most recent Annual Report on Form</w:t>
      </w:r>
      <w:r>
        <w:rPr>
          <w:color w:val="1C1C1C"/>
        </w:rPr>
        <w:t xml:space="preserve"> </w:t>
      </w:r>
      <w:r>
        <w:rPr>
          <w:rFonts w:ascii="sans-serif" w:hAnsi="sans-serif"/>
          <w:b w:val="false"/>
          <w:color w:val="1C1C1C"/>
          <w:sz w:val="24"/>
        </w:rPr>
        <w:t>10-K or Quarterly Report on Form 10-Q. Any of these factors could cause actual results to differ materially from the expectations we express or imply in this press release.</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shd w:fill="FFFFFF" w:val="clear"/>
        </w:rPr>
        <w:t>Marriott International, Inc.</w:t>
      </w:r>
      <w:r>
        <w:rPr>
          <w:color w:val="000000"/>
          <w:shd w:fill="FFFFFF" w:val="clear"/>
        </w:rPr>
        <w:t xml:space="preserve"> </w:t>
      </w:r>
      <w:r>
        <w:rPr>
          <w:rFonts w:ascii="sans-serif" w:hAnsi="sans-serif"/>
          <w:b w:val="false"/>
          <w:color w:val="000000"/>
          <w:sz w:val="24"/>
          <w:shd w:fill="FFFFFF" w:val="clear"/>
        </w:rPr>
        <w:t xml:space="preserve">(Nasdaq: MAR) is based in Bethesda, Maryland, USA, and encompasses a portfolio </w:t>
      </w:r>
      <w:r>
        <w:rPr>
          <w:rFonts w:ascii="sans-serif" w:hAnsi="sans-serif"/>
          <w:b w:val="false"/>
          <w:color w:val="000000"/>
          <w:sz w:val="24"/>
        </w:rPr>
        <w:t>of</w:t>
      </w:r>
      <w:r>
        <w:rPr>
          <w:color w:val="000000"/>
          <w:shd w:fill="FFFFFF" w:val="clear"/>
        </w:rPr>
        <w:t xml:space="preserve"> </w:t>
      </w:r>
      <w:r>
        <w:rPr>
          <w:rFonts w:ascii="sans-serif" w:hAnsi="sans-serif"/>
          <w:b w:val="false"/>
          <w:color w:val="000000"/>
          <w:sz w:val="24"/>
          <w:shd w:fill="FFFFFF" w:val="clear"/>
        </w:rPr>
        <w:t>compelling brands across luxury, premium, select, midscale, extended stay, and all-inclusive, with over 10,000 properties in 148 countries and territories, as of June 30, 2026. Marriott franchises, operates, and licenses hotel, residential, timeshare, yacht, outdoor, and other lodging products all around the world. The company offers Marriott Bonvoy®, its highly awarded travel platform. Fo</w:t>
      </w:r>
      <w:r>
        <w:rPr>
          <w:rFonts w:ascii="sans-serif" w:hAnsi="sans-serif"/>
          <w:b w:val="false"/>
          <w:color w:val="000000"/>
          <w:sz w:val="24"/>
        </w:rPr>
        <w:t xml:space="preserve">r more information, please visit our website at </w:t>
      </w:r>
      <w:r>
        <w:rPr>
          <w:rFonts w:ascii="sans-serif" w:hAnsi="sans-serif"/>
          <w:b w:val="false"/>
          <w:color w:val="000000"/>
          <w:sz w:val="24"/>
          <w:u w:val="single"/>
        </w:rPr>
        <w:t>www.marriott.com</w:t>
      </w:r>
      <w:r>
        <w:rPr>
          <w:rFonts w:ascii="sans-serif" w:hAnsi="sans-serif"/>
          <w:b w:val="false"/>
          <w:color w:val="000000"/>
          <w:sz w:val="24"/>
        </w:rPr>
        <w:t xml:space="preserve">, and for the latest company news, visit </w:t>
      </w:r>
      <w:r>
        <w:rPr>
          <w:rFonts w:ascii="sans-serif" w:hAnsi="sans-serif"/>
          <w:b w:val="false"/>
          <w:color w:val="000000"/>
          <w:sz w:val="24"/>
          <w:u w:val="single"/>
        </w:rPr>
        <w:t>www.marriottnewscenter.com</w:t>
      </w:r>
      <w:r>
        <w:rPr>
          <w:rFonts w:ascii="sans-serif" w:hAnsi="sans-serif"/>
          <w:b w:val="false"/>
          <w:color w:val="000000"/>
          <w:sz w:val="24"/>
        </w:rPr>
        <w:t xml:space="preserve">. </w:t>
      </w:r>
      <w:r>
        <w:rPr>
          <w:rFonts w:ascii="sans-serif" w:hAnsi="sans-serif"/>
          <w:b w:val="false"/>
          <w:color w:val="000000"/>
          <w:sz w:val="24"/>
          <w:shd w:fill="F9F9F9" w:val="clear"/>
        </w:rPr>
        <w:t>I</w:t>
      </w:r>
      <w:r>
        <w:rPr>
          <w:rFonts w:ascii="sans-serif" w:hAnsi="sans-serif"/>
          <w:b w:val="false"/>
          <w:color w:val="000000"/>
          <w:sz w:val="24"/>
        </w:rPr>
        <w:t xml:space="preserve">n addition, connect with us on </w:t>
      </w:r>
      <w:r>
        <w:rPr>
          <w:rFonts w:ascii="sans-serif" w:hAnsi="sans-serif"/>
          <w:b w:val="false"/>
          <w:color w:val="000000"/>
          <w:sz w:val="24"/>
          <w:u w:val="single"/>
        </w:rPr>
        <w:t>Facebook</w:t>
      </w:r>
      <w:r>
        <w:rPr>
          <w:color w:val="000000"/>
        </w:rPr>
        <w:t xml:space="preserve"> </w:t>
      </w:r>
      <w:r>
        <w:rPr>
          <w:rFonts w:ascii="sans-serif" w:hAnsi="sans-serif"/>
          <w:b w:val="false"/>
          <w:color w:val="000000"/>
          <w:sz w:val="24"/>
        </w:rPr>
        <w:t xml:space="preserve">and @MarriottIntl on </w:t>
      </w:r>
      <w:r>
        <w:rPr>
          <w:rFonts w:ascii="sans-serif" w:hAnsi="sans-serif"/>
          <w:b w:val="false"/>
          <w:color w:val="000000"/>
          <w:sz w:val="24"/>
          <w:u w:val="single"/>
        </w:rPr>
        <w:t>X</w:t>
      </w:r>
      <w:r>
        <w:rPr>
          <w:color w:val="000000"/>
        </w:rPr>
        <w:t xml:space="preserve"> </w:t>
      </w:r>
      <w:r>
        <w:rPr>
          <w:rFonts w:ascii="sans-serif" w:hAnsi="sans-serif"/>
          <w:b w:val="false"/>
          <w:color w:val="000000"/>
          <w:sz w:val="24"/>
        </w:rPr>
        <w:t xml:space="preserve">and </w:t>
      </w:r>
      <w:r>
        <w:rPr>
          <w:rFonts w:ascii="sans-serif" w:hAnsi="sans-serif"/>
          <w:b w:val="false"/>
          <w:color w:val="000000"/>
          <w:sz w:val="24"/>
          <w:u w:val="single"/>
        </w:rPr>
        <w:t>Instagram</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68"/>
        <w:jc w:val="left"/>
        <w:rPr/>
      </w:pPr>
      <w:r>
        <w:rPr>
          <w:rFonts w:ascii="sans-serif" w:hAnsi="sans-serif"/>
          <w:b w:val="false"/>
          <w:color w:val="000000"/>
          <w:sz w:val="24"/>
        </w:rPr>
        <w:t xml:space="preserve">Marriott encourages investors, the media, and others interested in the company to review and subscribe to the information Marriott posts on its investor relations website at </w:t>
      </w:r>
      <w:r>
        <w:rPr>
          <w:rFonts w:ascii="sans-serif" w:hAnsi="sans-serif"/>
          <w:b w:val="false"/>
          <w:color w:val="000000"/>
          <w:sz w:val="24"/>
          <w:u w:val="single"/>
        </w:rPr>
        <w:t>www.marriott.com/investor</w:t>
      </w:r>
      <w:r>
        <w:rPr>
          <w:color w:val="000000"/>
        </w:rPr>
        <w:t xml:space="preserve"> </w:t>
      </w:r>
      <w:r>
        <w:rPr>
          <w:rFonts w:ascii="sans-serif" w:hAnsi="sans-serif"/>
          <w:b w:val="false"/>
          <w:color w:val="000000"/>
          <w:sz w:val="24"/>
        </w:rPr>
        <w:t xml:space="preserve">or Marriott’s news center website at </w:t>
      </w:r>
      <w:r>
        <w:rPr>
          <w:rFonts w:ascii="sans-serif" w:hAnsi="sans-serif"/>
          <w:b w:val="false"/>
          <w:color w:val="000000"/>
          <w:sz w:val="24"/>
          <w:u w:val="single"/>
        </w:rPr>
        <w:t>www.marriottnewscenter.com</w:t>
      </w:r>
      <w:r>
        <w:rPr>
          <w:rFonts w:ascii="sans-serif" w:hAnsi="sans-serif"/>
          <w:b w:val="false"/>
          <w:color w:val="000000"/>
          <w:sz w:val="24"/>
        </w:rPr>
        <w:t>, which may be material. The contents of these websites are not incorporated by reference into this press release or any report or document Marriott files with the U.S. Securities and Exchange Commission, and any references to the websites are intended to be inactive textual references only.</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tbl>
      <w:tblPr>
        <w:tblW w:w="8789" w:type="dxa"/>
        <w:jc w:val="left"/>
        <w:tblInd w:w="0" w:type="dxa"/>
        <w:tblLayout w:type="fixed"/>
        <w:tblCellMar>
          <w:top w:w="28" w:type="dxa"/>
          <w:left w:w="28" w:type="dxa"/>
          <w:bottom w:w="28" w:type="dxa"/>
          <w:right w:w="28" w:type="dxa"/>
        </w:tblCellMar>
      </w:tblPr>
      <w:tblGrid>
        <w:gridCol w:w="2813"/>
        <w:gridCol w:w="2472"/>
        <w:gridCol w:w="3504"/>
      </w:tblGrid>
      <w:tr>
        <w:trPr/>
        <w:tc>
          <w:tcPr>
            <w:tcW w:w="2813"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sans-serif" w:hAnsi="sans-serif"/>
                <w:b/>
                <w:color w:val="000000"/>
                <w:sz w:val="24"/>
              </w:rPr>
            </w:pPr>
            <w:r>
              <w:rPr>
                <w:rFonts w:ascii="sans-serif" w:hAnsi="sans-serif"/>
                <w:b/>
                <w:color w:val="000000"/>
                <w:sz w:val="24"/>
              </w:rPr>
              <w:t>MEDIA &amp; INVESTOR RELATIONS CONTACTS:</w:t>
            </w:r>
          </w:p>
        </w:tc>
      </w:tr>
      <w:tr>
        <w:trPr/>
        <w:tc>
          <w:tcPr>
            <w:tcW w:w="87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4"/>
              </w:rPr>
            </w:pPr>
            <w:r>
              <w:rPr>
                <w:rFonts w:ascii="sans-serif" w:hAnsi="sans-serif"/>
                <w:b w:val="false"/>
                <w:color w:val="000000"/>
                <w:sz w:val="24"/>
              </w:rPr>
              <w:t>Melissa Froehlich Flood</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Senior Vice President, Global Corporate Communications &amp; Public Policy</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Marriott International</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u w:val="single"/>
              </w:rPr>
            </w:pPr>
            <w:r>
              <w:rPr>
                <w:rFonts w:ascii="sans-serif" w:hAnsi="sans-serif"/>
                <w:b w:val="false"/>
                <w:color w:val="000000"/>
                <w:sz w:val="24"/>
                <w:u w:val="single"/>
              </w:rPr>
              <w:t>newsroom@marriott.com</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Jackie Burka McConagha</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Senior Vice President, Investor Relations</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Marriott International</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u w:val="single"/>
              </w:rPr>
            </w:pPr>
            <w:r>
              <w:rPr>
                <w:rFonts w:ascii="sans-serif" w:hAnsi="sans-serif"/>
                <w:b w:val="false"/>
                <w:color w:val="000000"/>
                <w:sz w:val="24"/>
                <w:u w:val="single"/>
              </w:rPr>
              <w:t>jackie.mcconagha@marriott.com</w:t>
            </w:r>
          </w:p>
        </w:tc>
      </w:tr>
      <w:tr>
        <w:trPr/>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Pilar Fernandez</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Senior Director, Investor Relations</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4"/>
              </w:rPr>
            </w:pPr>
            <w:r>
              <w:rPr>
                <w:rFonts w:ascii="sans-serif" w:hAnsi="sans-serif"/>
                <w:b w:val="false"/>
                <w:color w:val="000000"/>
                <w:sz w:val="24"/>
              </w:rPr>
              <w:t>Marriott International</w:t>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u w:val="single"/>
              </w:rPr>
            </w:pPr>
            <w:r>
              <w:rPr>
                <w:rFonts w:ascii="sans-serif" w:hAnsi="sans-serif"/>
                <w:b w:val="false"/>
                <w:color w:val="000000"/>
                <w:sz w:val="24"/>
                <w:u w:val="single"/>
              </w:rPr>
              <w:t>pilar.fernandez@marriott.com</w:t>
            </w:r>
          </w:p>
        </w:tc>
      </w:tr>
    </w:tbl>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IRPR#1</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Tables follow</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tbl>
      <w:tblPr>
        <w:tblW w:w="7422" w:type="dxa"/>
        <w:jc w:val="center"/>
        <w:tblInd w:w="0" w:type="dxa"/>
        <w:tblLayout w:type="fixed"/>
        <w:tblCellMar>
          <w:top w:w="28" w:type="dxa"/>
          <w:left w:w="28" w:type="dxa"/>
          <w:bottom w:w="28" w:type="dxa"/>
          <w:right w:w="28" w:type="dxa"/>
        </w:tblCellMar>
      </w:tblPr>
      <w:tblGrid>
        <w:gridCol w:w="2062"/>
        <w:gridCol w:w="1811"/>
        <w:gridCol w:w="1811"/>
        <w:gridCol w:w="506"/>
        <w:gridCol w:w="506"/>
        <w:gridCol w:w="726"/>
      </w:tblGrid>
      <w:tr>
        <w:trPr/>
        <w:tc>
          <w:tcPr>
            <w:tcW w:w="206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4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MARRIOTT INTERNATIONAL, INC.</w:t>
            </w:r>
          </w:p>
        </w:tc>
      </w:tr>
      <w:tr>
        <w:trPr/>
        <w:tc>
          <w:tcPr>
            <w:tcW w:w="74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PRESS RELEASE SCHEDULES</w:t>
            </w:r>
          </w:p>
        </w:tc>
      </w:tr>
      <w:tr>
        <w:trPr/>
        <w:tc>
          <w:tcPr>
            <w:tcW w:w="74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OF CONTENTS</w:t>
            </w:r>
          </w:p>
        </w:tc>
      </w:tr>
      <w:tr>
        <w:trPr/>
        <w:tc>
          <w:tcPr>
            <w:tcW w:w="742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QUARTER 2, 2026</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Consolidated Statements of Income</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10">
              <w:r>
                <w:rPr>
                  <w:rStyle w:val="InternetLink"/>
                  <w:rFonts w:ascii="Arial;sans-serif" w:hAnsi="Arial;sans-serif"/>
                  <w:b w:val="false"/>
                  <w:color w:val="000080"/>
                  <w:sz w:val="20"/>
                  <w:u w:val="single"/>
                </w:rPr>
                <w:t>A-</w:t>
              </w:r>
            </w:hyperlink>
            <w:hyperlink w:anchor="i9053801e904345fe994f8acf086645db_10">
              <w:r>
                <w:rPr>
                  <w:rStyle w:val="InternetLink"/>
                  <w:rFonts w:ascii="Arial;sans-serif" w:hAnsi="Arial;sans-serif"/>
                  <w:b w:val="false"/>
                  <w:color w:val="000080"/>
                  <w:sz w:val="20"/>
                  <w:u w:val="single"/>
                </w:rPr>
                <w:t>2</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Financial Measures</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16">
              <w:r>
                <w:rPr>
                  <w:rStyle w:val="InternetLink"/>
                  <w:rFonts w:ascii="Arial;sans-serif" w:hAnsi="Arial;sans-serif"/>
                  <w:b w:val="false"/>
                  <w:color w:val="000080"/>
                  <w:sz w:val="20"/>
                  <w:u w:val="single"/>
                </w:rPr>
                <w:t>A-</w:t>
              </w:r>
            </w:hyperlink>
            <w:hyperlink w:anchor="i9053801e904345fe994f8acf086645db_16">
              <w:r>
                <w:rPr>
                  <w:rStyle w:val="InternetLink"/>
                  <w:rFonts w:ascii="Arial;sans-serif" w:hAnsi="Arial;sans-serif"/>
                  <w:b w:val="false"/>
                  <w:color w:val="000080"/>
                  <w:sz w:val="20"/>
                  <w:u w:val="single"/>
                </w:rPr>
                <w:t>4</w:t>
              </w:r>
            </w:hyperlink>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Expense Captions - As Reclassified</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22">
              <w:r>
                <w:rPr>
                  <w:rStyle w:val="InternetLink"/>
                  <w:rFonts w:ascii="Arial;sans-serif" w:hAnsi="Arial;sans-serif"/>
                  <w:b w:val="false"/>
                  <w:color w:val="000080"/>
                  <w:sz w:val="20"/>
                  <w:u w:val="single"/>
                </w:rPr>
                <w:t>A-</w:t>
              </w:r>
            </w:hyperlink>
            <w:hyperlink w:anchor="i9053801e904345fe994f8acf086645db_22">
              <w:r>
                <w:rPr>
                  <w:rStyle w:val="InternetLink"/>
                  <w:rFonts w:ascii="Arial;sans-serif" w:hAnsi="Arial;sans-serif"/>
                  <w:b w:val="false"/>
                  <w:color w:val="000080"/>
                  <w:sz w:val="20"/>
                  <w:u w:val="single"/>
                </w:rPr>
                <w:t>5</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Lodging Products by Ownership Type</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25">
              <w:r>
                <w:rPr>
                  <w:rStyle w:val="InternetLink"/>
                  <w:rFonts w:ascii="Arial;sans-serif" w:hAnsi="Arial;sans-serif"/>
                  <w:b w:val="false"/>
                  <w:color w:val="000080"/>
                  <w:sz w:val="20"/>
                  <w:u w:val="single"/>
                </w:rPr>
                <w:t>A-</w:t>
              </w:r>
            </w:hyperlink>
            <w:hyperlink w:anchor="i9053801e904345fe994f8acf086645db_25">
              <w:r>
                <w:rPr>
                  <w:rStyle w:val="InternetLink"/>
                  <w:rFonts w:ascii="Arial;sans-serif" w:hAnsi="Arial;sans-serif"/>
                  <w:b w:val="false"/>
                  <w:color w:val="000080"/>
                  <w:sz w:val="20"/>
                  <w:u w:val="single"/>
                </w:rPr>
                <w:t>6</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Lodging Products by Tier</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28">
              <w:r>
                <w:rPr>
                  <w:rStyle w:val="InternetLink"/>
                  <w:rFonts w:ascii="Arial;sans-serif" w:hAnsi="Arial;sans-serif"/>
                  <w:b w:val="false"/>
                  <w:color w:val="000080"/>
                  <w:sz w:val="20"/>
                  <w:u w:val="single"/>
                </w:rPr>
                <w:t>A-</w:t>
              </w:r>
            </w:hyperlink>
            <w:hyperlink w:anchor="i9053801e904345fe994f8acf086645db_28">
              <w:r>
                <w:rPr>
                  <w:rStyle w:val="InternetLink"/>
                  <w:rFonts w:ascii="Arial;sans-serif" w:hAnsi="Arial;sans-serif"/>
                  <w:b w:val="false"/>
                  <w:color w:val="000080"/>
                  <w:sz w:val="20"/>
                  <w:u w:val="single"/>
                </w:rPr>
                <w:t>8</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Key Lodging Statistics</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31">
              <w:r>
                <w:rPr>
                  <w:rStyle w:val="InternetLink"/>
                  <w:rFonts w:ascii="Arial;sans-serif" w:hAnsi="Arial;sans-serif"/>
                  <w:b w:val="false"/>
                  <w:color w:val="000080"/>
                  <w:sz w:val="20"/>
                  <w:u w:val="single"/>
                </w:rPr>
                <w:t>A-</w:t>
              </w:r>
            </w:hyperlink>
            <w:hyperlink w:anchor="i9053801e904345fe994f8acf086645db_31">
              <w:r>
                <w:rPr>
                  <w:rStyle w:val="InternetLink"/>
                  <w:rFonts w:ascii="Arial;sans-serif" w:hAnsi="Arial;sans-serif"/>
                  <w:b w:val="false"/>
                  <w:color w:val="000080"/>
                  <w:sz w:val="20"/>
                  <w:u w:val="single"/>
                </w:rPr>
                <w:t>10</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43">
              <w:r>
                <w:rPr>
                  <w:rStyle w:val="InternetLink"/>
                  <w:rFonts w:ascii="Arial;sans-serif" w:hAnsi="Arial;sans-serif"/>
                  <w:b w:val="false"/>
                  <w:color w:val="000080"/>
                  <w:sz w:val="20"/>
                  <w:u w:val="single"/>
                </w:rPr>
                <w:t>A-</w:t>
              </w:r>
            </w:hyperlink>
            <w:hyperlink w:anchor="i9053801e904345fe994f8acf086645db_43">
              <w:r>
                <w:rPr>
                  <w:rStyle w:val="InternetLink"/>
                  <w:rFonts w:ascii="Arial;sans-serif" w:hAnsi="Arial;sans-serif"/>
                  <w:b w:val="false"/>
                  <w:color w:val="000080"/>
                  <w:sz w:val="20"/>
                  <w:u w:val="single"/>
                </w:rPr>
                <w:t>14</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Forecast - Third Quarter 2026</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46">
              <w:r>
                <w:rPr>
                  <w:rStyle w:val="InternetLink"/>
                  <w:rFonts w:ascii="Arial;sans-serif" w:hAnsi="Arial;sans-serif"/>
                  <w:b w:val="false"/>
                  <w:color w:val="000080"/>
                  <w:sz w:val="20"/>
                  <w:u w:val="single"/>
                </w:rPr>
                <w:t>A-</w:t>
              </w:r>
            </w:hyperlink>
            <w:hyperlink w:anchor="i9053801e904345fe994f8acf086645db_46">
              <w:r>
                <w:rPr>
                  <w:rStyle w:val="InternetLink"/>
                  <w:rFonts w:ascii="Arial;sans-serif" w:hAnsi="Arial;sans-serif"/>
                  <w:b w:val="false"/>
                  <w:color w:val="000080"/>
                  <w:sz w:val="20"/>
                  <w:u w:val="single"/>
                </w:rPr>
                <w:t>15</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Forecast - Full Year 2026</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52">
              <w:r>
                <w:rPr>
                  <w:rStyle w:val="InternetLink"/>
                  <w:rFonts w:ascii="Arial;sans-serif" w:hAnsi="Arial;sans-serif"/>
                  <w:b w:val="false"/>
                  <w:color w:val="000080"/>
                  <w:sz w:val="20"/>
                  <w:u w:val="single"/>
                </w:rPr>
                <w:t>A-</w:t>
              </w:r>
            </w:hyperlink>
            <w:hyperlink w:anchor="i9053801e904345fe994f8acf086645db_52">
              <w:r>
                <w:rPr>
                  <w:rStyle w:val="InternetLink"/>
                  <w:rFonts w:ascii="Arial;sans-serif" w:hAnsi="Arial;sans-serif"/>
                  <w:b w:val="false"/>
                  <w:color w:val="000080"/>
                  <w:sz w:val="20"/>
                  <w:u w:val="single"/>
                </w:rPr>
                <w:t>16</w:t>
              </w:r>
            </w:hyperlink>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Explanation of Non-GAAP Financial and Performance Measures</w:t>
            </w:r>
          </w:p>
        </w:tc>
        <w:tc>
          <w:tcPr>
            <w:tcW w:w="17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53801e904345fe994f8acf086645db_55">
              <w:r>
                <w:rPr>
                  <w:rStyle w:val="InternetLink"/>
                  <w:rFonts w:ascii="Arial;sans-serif" w:hAnsi="Arial;sans-serif"/>
                  <w:b w:val="false"/>
                  <w:color w:val="000080"/>
                  <w:sz w:val="20"/>
                  <w:u w:val="single"/>
                </w:rPr>
                <w:t>A-</w:t>
              </w:r>
            </w:hyperlink>
            <w:hyperlink w:anchor="i9053801e904345fe994f8acf086645db_55">
              <w:r>
                <w:rPr>
                  <w:rStyle w:val="InternetLink"/>
                  <w:rFonts w:ascii="Arial;sans-serif" w:hAnsi="Arial;sans-serif"/>
                  <w:b w:val="false"/>
                  <w:color w:val="000080"/>
                  <w:sz w:val="20"/>
                  <w:u w:val="single"/>
                </w:rPr>
                <w:t>17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28"/>
        <w:gridCol w:w="1193"/>
        <w:gridCol w:w="1201"/>
        <w:gridCol w:w="164"/>
        <w:gridCol w:w="164"/>
        <w:gridCol w:w="164"/>
        <w:gridCol w:w="397"/>
        <w:gridCol w:w="1128"/>
        <w:gridCol w:w="220"/>
        <w:gridCol w:w="164"/>
        <w:gridCol w:w="164"/>
        <w:gridCol w:w="164"/>
        <w:gridCol w:w="424"/>
        <w:gridCol w:w="1012"/>
        <w:gridCol w:w="236"/>
        <w:gridCol w:w="164"/>
        <w:gridCol w:w="164"/>
        <w:gridCol w:w="164"/>
        <w:gridCol w:w="404"/>
        <w:gridCol w:w="404"/>
        <w:gridCol w:w="582"/>
      </w:tblGrid>
      <w:tr>
        <w:trPr/>
        <w:tc>
          <w:tcPr>
            <w:tcW w:w="152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MARRIOTT INTERNATIONAL,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CONSOLIDATED STATEMENTS OF INCOME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SECOND QUARTER 2026 AND 2025</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in millions except per share amounts, unaudited)</w:t>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Better/(Worse)</w:t>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vs. 2025</w:t>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Franchise fees</w:t>
            </w:r>
            <w:r>
              <w:rPr>
                <w:rFonts w:ascii="Arial;sans-serif" w:hAnsi="Arial;sans-serif"/>
                <w:b w:val="false"/>
                <w:color w:val="000000"/>
                <w:sz w:val="10"/>
              </w:rPr>
              <w:t>1</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management fees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Incentive management fees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fee revenues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1,578</w:t>
            </w:r>
            <w:r>
              <w:rPr>
                <w:color w:val="000000"/>
              </w:rPr>
              <w:t>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1,400</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Contract investment amortization</w:t>
            </w:r>
            <w:r>
              <w:rPr>
                <w:rFonts w:ascii="Arial;sans-serif" w:hAnsi="Arial;sans-serif"/>
                <w:b w:val="false"/>
                <w:color w:val="000000"/>
                <w:sz w:val="10"/>
              </w:rPr>
              <w:t>2</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fee revenues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1,547</w:t>
            </w:r>
            <w:r>
              <w:rPr>
                <w:color w:val="000000"/>
              </w:rPr>
              <w:t>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1,371</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Owned, leased, and other revenue</w:t>
            </w:r>
            <w:r>
              <w:rPr>
                <w:rFonts w:ascii="Arial;sans-serif" w:hAnsi="Arial;sans-serif"/>
                <w:b w:val="false"/>
                <w:color w:val="000000"/>
                <w:sz w:val="10"/>
              </w:rPr>
              <w:t>3</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reimbursement revenue</w:t>
            </w:r>
            <w:r>
              <w:rPr>
                <w:rFonts w:ascii="Arial;sans-serif" w:hAnsi="Arial;sans-serif"/>
                <w:b w:val="false"/>
                <w:color w:val="000000"/>
                <w:sz w:val="10"/>
              </w:rPr>
              <w:t>4</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7,071</w:t>
            </w:r>
            <w:r>
              <w:rPr>
                <w:color w:val="000000"/>
              </w:rPr>
              <w:t>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6,744</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Owned, leased, and other expense</w:t>
            </w:r>
            <w:r>
              <w:rPr>
                <w:rFonts w:ascii="Arial;sans-serif" w:hAnsi="Arial;sans-serif"/>
                <w:b w:val="false"/>
                <w:color w:val="000000"/>
                <w:sz w:val="10"/>
              </w:rPr>
              <w:t>5</w:t>
            </w:r>
            <w:r>
              <w:rPr>
                <w:rFonts w:ascii="Arial;sans-serif" w:hAnsi="Arial;sans-serif"/>
                <w:b w:val="false"/>
                <w:color w:val="000000"/>
                <w:sz w:val="16"/>
              </w:rPr>
              <w:t>*</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Depreciation, amortization, and other</w:t>
            </w:r>
            <w:r>
              <w:rPr>
                <w:rFonts w:ascii="Arial;sans-serif" w:hAnsi="Arial;sans-serif"/>
                <w:b w:val="false"/>
                <w:color w:val="000000"/>
                <w:sz w:val="10"/>
              </w:rPr>
              <w:t>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General and administrative</w:t>
            </w:r>
            <w:r>
              <w:rPr>
                <w:rFonts w:ascii="Arial;sans-serif" w:hAnsi="Arial;sans-serif"/>
                <w:b w:val="false"/>
                <w:color w:val="000000"/>
                <w:sz w:val="10"/>
              </w:rPr>
              <w:t>7</w:t>
            </w:r>
            <w:r>
              <w:rPr>
                <w:rFonts w:ascii="Arial;sans-serif" w:hAnsi="Arial;sans-serif"/>
                <w:b w:val="false"/>
                <w:color w:val="000000"/>
                <w:sz w:val="16"/>
              </w:rPr>
              <w:t>*</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merger-related (recoveries) charges, and other</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Reimbursed expenses</w:t>
            </w:r>
            <w:r>
              <w:rPr>
                <w:rFonts w:ascii="Arial;sans-serif" w:hAnsi="Arial;sans-serif"/>
                <w:b w:val="false"/>
                <w:color w:val="000000"/>
                <w:sz w:val="10"/>
              </w:rPr>
              <w:t>4</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5,842</w:t>
            </w:r>
            <w:r>
              <w:rPr>
                <w:color w:val="000000"/>
              </w:rPr>
              <w:t> </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5,508</w:t>
            </w:r>
            <w:r>
              <w:rPr>
                <w:color w:val="000000"/>
              </w:rPr>
              <w:t> </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1,229</w:t>
            </w: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Gains and other income, net</w:t>
            </w:r>
            <w:r>
              <w:rPr>
                <w:rFonts w:ascii="Arial;sans-serif" w:hAnsi="Arial;sans-serif"/>
                <w:b w:val="false"/>
                <w:color w:val="000000"/>
                <w:sz w:val="10"/>
              </w:rPr>
              <w:t>8</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in earnings</w:t>
            </w:r>
            <w:r>
              <w:rPr>
                <w:rFonts w:ascii="Arial;sans-serif" w:hAnsi="Arial;sans-serif"/>
                <w:b w:val="false"/>
                <w:color w:val="000000"/>
                <w:sz w:val="10"/>
              </w:rPr>
              <w:t>9</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1,044</w:t>
            </w: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1,054</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2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w:t>
            </w: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763</w:t>
            </w: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w:t>
            </w:r>
            <w:r>
              <w:rPr>
                <w:color w:val="000000"/>
              </w:rPr>
              <w:t>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basic</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Basic shares (in millions)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Diluted shares (in millions)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w:t>
            </w:r>
            <w:r>
              <w:rPr>
                <w:color w:val="000000"/>
              </w:rPr>
              <w:t xml:space="preserve"> </w:t>
            </w:r>
            <w:r>
              <w:rPr>
                <w:rFonts w:ascii="Arial;sans-serif" w:hAnsi="Arial;sans-serif"/>
                <w:b w:val="false"/>
                <w:color w:val="000000"/>
                <w:sz w:val="16"/>
              </w:rPr>
              <w:t>The 2025 second quarter reflects the reclassification of $35 million of other expenses previously reported under the “General, administrative, and other” caption to the “Owned, leased, and other expense” caption of our Income Statements to conform to our current presentation.</w:t>
            </w:r>
          </w:p>
        </w:tc>
      </w:tr>
      <w:tr>
        <w:trPr/>
        <w:tc>
          <w:tcPr>
            <w:tcW w:w="3922" w:type="dxa"/>
            <w:gridSpan w:val="3"/>
            <w:tcBorders/>
            <w:vAlign w:val="center"/>
          </w:tcPr>
          <w:p>
            <w:pPr>
              <w:pStyle w:val="TableContents"/>
              <w:bidi w:val="0"/>
              <w:spacing w:before="0" w:after="283"/>
              <w:jc w:val="left"/>
              <w:rPr>
                <w:sz w:val="4"/>
                <w:szCs w:val="4"/>
              </w:rPr>
            </w:pPr>
            <w:r>
              <w:rPr>
                <w:sz w:val="4"/>
                <w:szCs w:val="4"/>
              </w:rPr>
            </w:r>
          </w:p>
        </w:tc>
        <w:tc>
          <w:tcPr>
            <w:tcW w:w="6283" w:type="dxa"/>
            <w:gridSpan w:val="18"/>
            <w:tcBorders/>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Franchise fees</w:t>
            </w:r>
            <w:r>
              <w:rPr>
                <w:color w:val="000000"/>
              </w:rPr>
              <w:t xml:space="preserve"> </w:t>
            </w:r>
            <w:r>
              <w:rPr>
                <w:rFonts w:ascii="Arial;sans-serif" w:hAnsi="Arial;sans-serif"/>
                <w:b w:val="false"/>
                <w:color w:val="000000"/>
                <w:sz w:val="16"/>
              </w:rPr>
              <w:t>include fees from our franchise and license agreements for lodging properties (including our timeshare properties), application and relicensing fees, co-branded credit card fees, residential branding fees, and other brand-related fees.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2 </w:t>
            </w:r>
            <w:r>
              <w:rPr>
                <w:rFonts w:ascii="Arial;sans-serif" w:hAnsi="Arial;sans-serif"/>
                <w:b w:val="false"/>
                <w:i/>
                <w:color w:val="000000"/>
                <w:sz w:val="16"/>
              </w:rPr>
              <w:t xml:space="preserve">Contract investment amortization </w:t>
            </w:r>
            <w:r>
              <w:rPr>
                <w:rFonts w:ascii="Arial;sans-serif" w:hAnsi="Arial;sans-serif"/>
                <w:b w:val="false"/>
                <w:color w:val="000000"/>
                <w:sz w:val="16"/>
              </w:rPr>
              <w:t>includes amortization of capitalized costs to obtain contracts with customers and any related impairments.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3 </w:t>
            </w:r>
            <w:r>
              <w:rPr>
                <w:rFonts w:ascii="Arial;sans-serif" w:hAnsi="Arial;sans-serif"/>
                <w:b w:val="false"/>
                <w:i/>
                <w:color w:val="000000"/>
                <w:sz w:val="16"/>
              </w:rPr>
              <w:t xml:space="preserve">Owned, leased, and other revenue </w:t>
            </w:r>
            <w:r>
              <w:rPr>
                <w:rFonts w:ascii="Arial;sans-serif" w:hAnsi="Arial;sans-serif"/>
                <w:b w:val="false"/>
                <w:color w:val="000000"/>
                <w:sz w:val="16"/>
              </w:rPr>
              <w:t>includes revenue from the properties we own or lease, termination fees, and other revenue.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4 </w:t>
            </w:r>
            <w:r>
              <w:rPr>
                <w:rFonts w:ascii="Arial;sans-serif" w:hAnsi="Arial;sans-serif"/>
                <w:b w:val="false"/>
                <w:i/>
                <w:color w:val="000000"/>
                <w:sz w:val="16"/>
              </w:rPr>
              <w:t>Cost reimbursement revenue</w:t>
            </w:r>
            <w:r>
              <w:rPr>
                <w:color w:val="000000"/>
              </w:rPr>
              <w:t xml:space="preserve"> </w:t>
            </w:r>
            <w:r>
              <w:rPr>
                <w:rFonts w:ascii="Arial;sans-serif" w:hAnsi="Arial;sans-serif"/>
                <w:b w:val="false"/>
                <w:color w:val="000000"/>
                <w:sz w:val="16"/>
              </w:rPr>
              <w:t xml:space="preserve">includes reimbursements from hotel owners and certain other counterparties for property-level and centralized programs and services that we operate for their benefit. </w:t>
            </w:r>
            <w:r>
              <w:rPr>
                <w:rFonts w:ascii="Arial;sans-serif" w:hAnsi="Arial;sans-serif"/>
                <w:b w:val="false"/>
                <w:i/>
                <w:color w:val="000000"/>
                <w:sz w:val="16"/>
              </w:rPr>
              <w:t>Reimbursed expenses</w:t>
            </w:r>
            <w:r>
              <w:rPr>
                <w:color w:val="000000"/>
              </w:rPr>
              <w:t xml:space="preserve"> </w:t>
            </w:r>
            <w:r>
              <w:rPr>
                <w:rFonts w:ascii="Arial;sans-serif" w:hAnsi="Arial;sans-serif"/>
                <w:b w:val="false"/>
                <w:color w:val="000000"/>
                <w:sz w:val="16"/>
              </w:rPr>
              <w:t>include costs incurred by Marriott for certain property-level operating expenses and centralized programs and services that we operate for the benefit of our hotel owners and certain other counterparties.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5 </w:t>
            </w:r>
            <w:r>
              <w:rPr>
                <w:rFonts w:ascii="Arial;sans-serif" w:hAnsi="Arial;sans-serif"/>
                <w:b w:val="false"/>
                <w:i/>
                <w:color w:val="000000"/>
                <w:sz w:val="16"/>
              </w:rPr>
              <w:t>Owned, leased, and other expense</w:t>
            </w:r>
            <w:r>
              <w:rPr>
                <w:color w:val="000000"/>
              </w:rPr>
              <w:t xml:space="preserve"> </w:t>
            </w:r>
            <w:r>
              <w:rPr>
                <w:rFonts w:ascii="Arial;sans-serif" w:hAnsi="Arial;sans-serif"/>
                <w:b w:val="false"/>
                <w:color w:val="000000"/>
                <w:sz w:val="16"/>
              </w:rPr>
              <w:t>includes operating expenses related to our owned or leased hotels, including lease payments and pre-opening expenses, and other expenses, such as expenses related to our Global Design services, certain costs associated with our property-related fee revenues (such as guarantee expense, provision for credit losses, and certain brand-related or property-related expenses), and costs associated with certain third-party agreements.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6 </w:t>
            </w:r>
            <w:r>
              <w:rPr>
                <w:rFonts w:ascii="Arial;sans-serif" w:hAnsi="Arial;sans-serif"/>
                <w:b w:val="false"/>
                <w:i/>
                <w:color w:val="000000"/>
                <w:sz w:val="16"/>
              </w:rPr>
              <w:t xml:space="preserve">Depreciation, amortization, and other </w:t>
            </w:r>
            <w:r>
              <w:rPr>
                <w:rFonts w:ascii="Arial;sans-serif" w:hAnsi="Arial;sans-serif"/>
                <w:b w:val="false"/>
                <w:color w:val="000000"/>
                <w:sz w:val="16"/>
              </w:rPr>
              <w:t>expenses include depreciation for fixed assets, amortization of acquired contracts, software, and other definite-lived intangible assets, and any related impairments, accelerations, or write-offs.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7 </w:t>
            </w:r>
            <w:r>
              <w:rPr>
                <w:rFonts w:ascii="Arial;sans-serif" w:hAnsi="Arial;sans-serif"/>
                <w:b w:val="false"/>
                <w:i/>
                <w:color w:val="000000"/>
                <w:sz w:val="16"/>
              </w:rPr>
              <w:t xml:space="preserve">General and administrative </w:t>
            </w:r>
            <w:r>
              <w:rPr>
                <w:rFonts w:ascii="Arial;sans-serif" w:hAnsi="Arial;sans-serif"/>
                <w:b w:val="false"/>
                <w:color w:val="000000"/>
                <w:sz w:val="16"/>
              </w:rPr>
              <w:t>expenses include our corporate and business segments overhead costs and general expenses.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8 </w:t>
            </w:r>
            <w:r>
              <w:rPr>
                <w:rFonts w:ascii="Arial;sans-serif" w:hAnsi="Arial;sans-serif"/>
                <w:b w:val="false"/>
                <w:i/>
                <w:color w:val="000000"/>
                <w:sz w:val="16"/>
              </w:rPr>
              <w:t xml:space="preserve">Gains and other income, net </w:t>
            </w:r>
            <w:r>
              <w:rPr>
                <w:rFonts w:ascii="Arial;sans-serif" w:hAnsi="Arial;sans-serif"/>
                <w:b w:val="false"/>
                <w:color w:val="000000"/>
                <w:sz w:val="16"/>
              </w:rPr>
              <w:t>includes gains and losses on the sale of real estate, the sale of joint venture interests and other investments, and adjustments from other equity investments.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9 </w:t>
            </w:r>
            <w:r>
              <w:rPr>
                <w:rFonts w:ascii="Arial;sans-serif" w:hAnsi="Arial;sans-serif"/>
                <w:b w:val="false"/>
                <w:i/>
                <w:color w:val="000000"/>
                <w:sz w:val="16"/>
              </w:rPr>
              <w:t xml:space="preserve">Equity in earnings </w:t>
            </w:r>
            <w:r>
              <w:rPr>
                <w:rFonts w:ascii="Arial;sans-serif" w:hAnsi="Arial;sans-serif"/>
                <w:b w:val="false"/>
                <w:color w:val="000000"/>
                <w:sz w:val="16"/>
              </w:rPr>
              <w:t>includes our equity in earnings or losses of unconsolidated equity method investments.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37"/>
        <w:gridCol w:w="1200"/>
        <w:gridCol w:w="1208"/>
        <w:gridCol w:w="176"/>
        <w:gridCol w:w="176"/>
        <w:gridCol w:w="176"/>
        <w:gridCol w:w="366"/>
        <w:gridCol w:w="1071"/>
        <w:gridCol w:w="202"/>
        <w:gridCol w:w="176"/>
        <w:gridCol w:w="176"/>
        <w:gridCol w:w="176"/>
        <w:gridCol w:w="366"/>
        <w:gridCol w:w="1071"/>
        <w:gridCol w:w="202"/>
        <w:gridCol w:w="176"/>
        <w:gridCol w:w="176"/>
        <w:gridCol w:w="176"/>
        <w:gridCol w:w="406"/>
        <w:gridCol w:w="406"/>
        <w:gridCol w:w="586"/>
      </w:tblGrid>
      <w:tr>
        <w:trPr/>
        <w:tc>
          <w:tcPr>
            <w:tcW w:w="153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MARRIOTT INTERNATIONAL,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CONSOLIDATED STATEMENTS OF INCOME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SECOND QUARTER YEAR-TO-DATE 2026 AND 2025</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in millions except per share amounts, unaudited)</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Better/(Worse)</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vs. 2025</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Franchise fees</w:t>
            </w:r>
            <w:r>
              <w:rPr>
                <w:rFonts w:ascii="Arial;sans-serif" w:hAnsi="Arial;sans-serif"/>
                <w:b w:val="false"/>
                <w:color w:val="000000"/>
                <w:sz w:val="10"/>
              </w:rPr>
              <w:t>1</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management fees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Incentive management fees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fee revenues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3,011</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2,675</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Contract investment amortization</w:t>
            </w:r>
            <w:r>
              <w:rPr>
                <w:rFonts w:ascii="Arial;sans-serif" w:hAnsi="Arial;sans-serif"/>
                <w:b w:val="false"/>
                <w:color w:val="000000"/>
                <w:sz w:val="10"/>
              </w:rPr>
              <w:t>2</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fee revenues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2,945</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2,618</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Owned, leased, and other revenue</w:t>
            </w:r>
            <w:r>
              <w:rPr>
                <w:rFonts w:ascii="Arial;sans-serif" w:hAnsi="Arial;sans-serif"/>
                <w:b w:val="false"/>
                <w:color w:val="000000"/>
                <w:sz w:val="10"/>
              </w:rPr>
              <w:t>3</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Cost reimbursement revenue</w:t>
            </w:r>
            <w:r>
              <w:rPr>
                <w:rFonts w:ascii="Arial;sans-serif" w:hAnsi="Arial;sans-serif"/>
                <w:b w:val="false"/>
                <w:color w:val="000000"/>
                <w:sz w:val="10"/>
              </w:rPr>
              <w:t>4</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13,725</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13,007</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Owned, leased, and other expense</w:t>
            </w:r>
            <w:r>
              <w:rPr>
                <w:rFonts w:ascii="Arial;sans-serif" w:hAnsi="Arial;sans-serif"/>
                <w:b w:val="false"/>
                <w:color w:val="000000"/>
                <w:sz w:val="10"/>
              </w:rPr>
              <w:t>5</w:t>
            </w:r>
            <w:r>
              <w:rPr>
                <w:rFonts w:ascii="Arial;sans-serif" w:hAnsi="Arial;sans-serif"/>
                <w:b w:val="false"/>
                <w:color w:val="000000"/>
                <w:sz w:val="16"/>
              </w:rPr>
              <w: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Depreciation, amortization, and other</w:t>
            </w:r>
            <w:r>
              <w:rPr>
                <w:rFonts w:ascii="Arial;sans-serif" w:hAnsi="Arial;sans-serif"/>
                <w:b w:val="false"/>
                <w:color w:val="000000"/>
                <w:sz w:val="10"/>
              </w:rPr>
              <w:t>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General and administrative</w:t>
            </w:r>
            <w:r>
              <w:rPr>
                <w:rFonts w:ascii="Arial;sans-serif" w:hAnsi="Arial;sans-serif"/>
                <w:b w:val="false"/>
                <w:color w:val="000000"/>
                <w:sz w:val="10"/>
              </w:rPr>
              <w:t>7</w:t>
            </w:r>
            <w:r>
              <w:rPr>
                <w:rFonts w:ascii="Arial;sans-serif" w:hAnsi="Arial;sans-serif"/>
                <w:b w:val="false"/>
                <w:color w:val="000000"/>
                <w:sz w:val="16"/>
              </w:rPr>
              <w: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merger-related (recoveries) charges, and other</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Reimbursed expenses</w:t>
            </w:r>
            <w:r>
              <w:rPr>
                <w:rFonts w:ascii="Arial;sans-serif" w:hAnsi="Arial;sans-serif"/>
                <w:b w:val="false"/>
                <w:color w:val="000000"/>
                <w:sz w:val="10"/>
              </w:rPr>
              <w:t>4</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11,432</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10,823</w:t>
            </w:r>
            <w:r>
              <w:rPr>
                <w:color w:val="000000"/>
              </w:rPr>
              <w:t> </w:t>
            </w:r>
          </w:p>
        </w:tc>
        <w:tc>
          <w:tcPr>
            <w:tcW w:w="2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2,293</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2,184</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Gains and other income, net</w:t>
            </w:r>
            <w:r>
              <w:rPr>
                <w:rFonts w:ascii="Arial;sans-serif" w:hAnsi="Arial;sans-serif"/>
                <w:b w:val="false"/>
                <w:color w:val="000000"/>
                <w:sz w:val="10"/>
              </w:rPr>
              <w:t>8</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in earnings</w:t>
            </w:r>
            <w:r>
              <w:rPr>
                <w:rFonts w:ascii="Arial;sans-serif" w:hAnsi="Arial;sans-serif"/>
                <w:b w:val="false"/>
                <w:color w:val="000000"/>
                <w:sz w:val="10"/>
              </w:rPr>
              <w:t>9</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1,902</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1,818</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1,414</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1,428</w:t>
            </w: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basic</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 diluted</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shares (in millions)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shares (in millions)</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The 2025 first half reflects the reclassification of $71 million of other expenses previously reported under the “General, administrative, and other” caption to the “Owned, leased, and other expense” caption of our Income Statements to conform to our current presentation.</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Franchise fees</w:t>
            </w:r>
            <w:r>
              <w:rPr>
                <w:color w:val="000000"/>
              </w:rPr>
              <w:t xml:space="preserve"> </w:t>
            </w:r>
            <w:r>
              <w:rPr>
                <w:rFonts w:ascii="Arial;sans-serif" w:hAnsi="Arial;sans-serif"/>
                <w:b w:val="false"/>
                <w:color w:val="000000"/>
                <w:sz w:val="16"/>
              </w:rPr>
              <w:t>include fees from our franchise and license agreements for lodging properties (including our timeshare properties), application and relicensing fees, co-branded credit card fees, residential branding fees, and other brand-related fees.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2 </w:t>
            </w:r>
            <w:r>
              <w:rPr>
                <w:rFonts w:ascii="Arial;sans-serif" w:hAnsi="Arial;sans-serif"/>
                <w:b w:val="false"/>
                <w:i/>
                <w:color w:val="000000"/>
                <w:sz w:val="16"/>
              </w:rPr>
              <w:t xml:space="preserve">Contract investment amortization </w:t>
            </w:r>
            <w:r>
              <w:rPr>
                <w:rFonts w:ascii="Arial;sans-serif" w:hAnsi="Arial;sans-serif"/>
                <w:b w:val="false"/>
                <w:color w:val="000000"/>
                <w:sz w:val="16"/>
              </w:rPr>
              <w:t>includes amortization of capitalized costs to obtain contracts with customers and any related impairments.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3 </w:t>
            </w:r>
            <w:r>
              <w:rPr>
                <w:rFonts w:ascii="Arial;sans-serif" w:hAnsi="Arial;sans-serif"/>
                <w:b w:val="false"/>
                <w:i/>
                <w:color w:val="000000"/>
                <w:sz w:val="16"/>
              </w:rPr>
              <w:t xml:space="preserve">Owned, leased, and other revenue </w:t>
            </w:r>
            <w:r>
              <w:rPr>
                <w:rFonts w:ascii="Arial;sans-serif" w:hAnsi="Arial;sans-serif"/>
                <w:b w:val="false"/>
                <w:color w:val="000000"/>
                <w:sz w:val="16"/>
              </w:rPr>
              <w:t>includes revenue from the properties we own or lease, termination fees, and other revenue.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4 </w:t>
            </w:r>
            <w:r>
              <w:rPr>
                <w:rFonts w:ascii="Arial;sans-serif" w:hAnsi="Arial;sans-serif"/>
                <w:b w:val="false"/>
                <w:i/>
                <w:color w:val="000000"/>
                <w:sz w:val="16"/>
              </w:rPr>
              <w:t>Cost reimbursement revenue</w:t>
            </w:r>
            <w:r>
              <w:rPr>
                <w:color w:val="000000"/>
              </w:rPr>
              <w:t xml:space="preserve"> </w:t>
            </w:r>
            <w:r>
              <w:rPr>
                <w:rFonts w:ascii="Arial;sans-serif" w:hAnsi="Arial;sans-serif"/>
                <w:b w:val="false"/>
                <w:color w:val="000000"/>
                <w:sz w:val="16"/>
              </w:rPr>
              <w:t xml:space="preserve">includes reimbursements from hotel owners and certain other counterparties for property-level and centralized programs and services that we operate for their benefit. </w:t>
            </w:r>
            <w:r>
              <w:rPr>
                <w:rFonts w:ascii="Arial;sans-serif" w:hAnsi="Arial;sans-serif"/>
                <w:b w:val="false"/>
                <w:i/>
                <w:color w:val="000000"/>
                <w:sz w:val="16"/>
              </w:rPr>
              <w:t>Reimbursed expenses</w:t>
            </w:r>
            <w:r>
              <w:rPr>
                <w:color w:val="000000"/>
              </w:rPr>
              <w:t xml:space="preserve"> </w:t>
            </w:r>
            <w:r>
              <w:rPr>
                <w:rFonts w:ascii="Arial;sans-serif" w:hAnsi="Arial;sans-serif"/>
                <w:b w:val="false"/>
                <w:color w:val="000000"/>
                <w:sz w:val="16"/>
              </w:rPr>
              <w:t>include costs incurred by Marriott for certain property-level operating expenses and centralized programs and services that we operate for the benefit of our hotel owners and certain other counterparties.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5 </w:t>
            </w:r>
            <w:r>
              <w:rPr>
                <w:rFonts w:ascii="Arial;sans-serif" w:hAnsi="Arial;sans-serif"/>
                <w:b w:val="false"/>
                <w:i/>
                <w:color w:val="000000"/>
                <w:sz w:val="16"/>
              </w:rPr>
              <w:t>Owned, leased, and other expense</w:t>
            </w:r>
            <w:r>
              <w:rPr>
                <w:color w:val="000000"/>
              </w:rPr>
              <w:t xml:space="preserve"> </w:t>
            </w:r>
            <w:r>
              <w:rPr>
                <w:rFonts w:ascii="Arial;sans-serif" w:hAnsi="Arial;sans-serif"/>
                <w:b w:val="false"/>
                <w:color w:val="000000"/>
                <w:sz w:val="16"/>
              </w:rPr>
              <w:t>includes operating expenses related to our owned or leased hotels, including lease payments and pre-opening expenses, and other expenses, such as expenses related to our Global Design services, certain costs associated with our property-related fee revenues (such as guarantee expense, provision for credit losses, and certain brand-related or property-related expenses), and costs associated with certain third-party agreements.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6 </w:t>
            </w:r>
            <w:r>
              <w:rPr>
                <w:rFonts w:ascii="Arial;sans-serif" w:hAnsi="Arial;sans-serif"/>
                <w:b w:val="false"/>
                <w:i/>
                <w:color w:val="000000"/>
                <w:sz w:val="16"/>
              </w:rPr>
              <w:t xml:space="preserve">Depreciation, amortization, and other </w:t>
            </w:r>
            <w:r>
              <w:rPr>
                <w:rFonts w:ascii="Arial;sans-serif" w:hAnsi="Arial;sans-serif"/>
                <w:b w:val="false"/>
                <w:color w:val="000000"/>
                <w:sz w:val="16"/>
              </w:rPr>
              <w:t>expenses include depreciation for fixed assets, amortization of acquired contracts, software, and other definite-lived intangible assets, and any related impairments, accelerations, or write-offs.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7 </w:t>
            </w:r>
            <w:r>
              <w:rPr>
                <w:rFonts w:ascii="Arial;sans-serif" w:hAnsi="Arial;sans-serif"/>
                <w:b w:val="false"/>
                <w:i/>
                <w:color w:val="000000"/>
                <w:sz w:val="16"/>
              </w:rPr>
              <w:t xml:space="preserve">General and administrative </w:t>
            </w:r>
            <w:r>
              <w:rPr>
                <w:rFonts w:ascii="Arial;sans-serif" w:hAnsi="Arial;sans-serif"/>
                <w:b w:val="false"/>
                <w:color w:val="000000"/>
                <w:sz w:val="16"/>
              </w:rPr>
              <w:t>expenses include our corporate and business segments overhead costs and general expenses.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8 </w:t>
            </w:r>
            <w:r>
              <w:rPr>
                <w:rFonts w:ascii="Arial;sans-serif" w:hAnsi="Arial;sans-serif"/>
                <w:b w:val="false"/>
                <w:i/>
                <w:color w:val="000000"/>
                <w:sz w:val="16"/>
              </w:rPr>
              <w:t xml:space="preserve">Gains and other income, net </w:t>
            </w:r>
            <w:r>
              <w:rPr>
                <w:rFonts w:ascii="Arial;sans-serif" w:hAnsi="Arial;sans-serif"/>
                <w:b w:val="false"/>
                <w:color w:val="000000"/>
                <w:sz w:val="16"/>
              </w:rPr>
              <w:t>includes gains and losses on the sale of real estate, the sale of joint venture interests and other investments, and adjustments from other equity investments.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0"/>
              </w:rPr>
              <w:t xml:space="preserve">9 </w:t>
            </w:r>
            <w:r>
              <w:rPr>
                <w:rFonts w:ascii="Arial;sans-serif" w:hAnsi="Arial;sans-serif"/>
                <w:b w:val="false"/>
                <w:i/>
                <w:color w:val="000000"/>
                <w:sz w:val="16"/>
              </w:rPr>
              <w:t xml:space="preserve">Equity in earnings </w:t>
            </w:r>
            <w:r>
              <w:rPr>
                <w:rFonts w:ascii="Arial;sans-serif" w:hAnsi="Arial;sans-serif"/>
                <w:b w:val="false"/>
                <w:color w:val="000000"/>
                <w:sz w:val="16"/>
              </w:rPr>
              <w:t>includes our equity in earnings or losses of unconsolidated equity method investments.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A-3</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9"/>
        <w:gridCol w:w="470"/>
        <w:gridCol w:w="263"/>
        <w:gridCol w:w="236"/>
        <w:gridCol w:w="670"/>
        <w:gridCol w:w="308"/>
        <w:gridCol w:w="131"/>
        <w:gridCol w:w="131"/>
        <w:gridCol w:w="131"/>
        <w:gridCol w:w="236"/>
        <w:gridCol w:w="670"/>
        <w:gridCol w:w="308"/>
        <w:gridCol w:w="131"/>
        <w:gridCol w:w="131"/>
        <w:gridCol w:w="131"/>
        <w:gridCol w:w="361"/>
        <w:gridCol w:w="247"/>
        <w:gridCol w:w="131"/>
        <w:gridCol w:w="131"/>
        <w:gridCol w:w="131"/>
        <w:gridCol w:w="131"/>
        <w:gridCol w:w="236"/>
        <w:gridCol w:w="778"/>
        <w:gridCol w:w="308"/>
        <w:gridCol w:w="131"/>
        <w:gridCol w:w="131"/>
        <w:gridCol w:w="131"/>
        <w:gridCol w:w="236"/>
        <w:gridCol w:w="778"/>
        <w:gridCol w:w="308"/>
        <w:gridCol w:w="131"/>
        <w:gridCol w:w="131"/>
        <w:gridCol w:w="131"/>
        <w:gridCol w:w="361"/>
        <w:gridCol w:w="247"/>
        <w:gridCol w:w="199"/>
      </w:tblGrid>
      <w:tr>
        <w:trPr/>
        <w:tc>
          <w:tcPr>
            <w:tcW w:w="8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MARRIOTT INTERNATIONAL,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FINANCIAL MEASURES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in millions except per share amounts)</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following table presents our reconciliations of Adjusted operating income, Adjusted operating income margin, Adjusted net income, and Adjusted diluted earnings per share to the most directly comparable GAAP measure. Adjusted total revenues is used in the determination of Adjusted operating income margin.</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Better/</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June 30,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Better/</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(Worse)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(Worse)</w:t>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 as reported</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7,071 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6,744 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13,725 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13,007 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Cost reimbursement revenue</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(5,058)</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total revenues</w:t>
            </w:r>
            <w:r>
              <w:rPr>
                <w:color w:val="000000"/>
              </w:rPr>
              <w:t>†</w:t>
            </w:r>
          </w:p>
        </w:tc>
        <w:tc>
          <w:tcPr>
            <w:tcW w:w="9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3,823 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3,420 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 as reported</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2,184 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Cost reimbursement revenue</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(5,058)</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Reimbursed expenses</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10,036 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9,596 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(Less): Restructuring and merger-related (recoveries) charges, and other</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Asset impairment charge</w:t>
            </w:r>
            <w:r>
              <w:rPr>
                <w:rFonts w:ascii="Arial;sans-serif" w:hAnsi="Arial;sans-serif"/>
                <w:b w:val="false"/>
                <w:color w:val="000000"/>
                <w:sz w:val="10"/>
              </w:rPr>
              <w:t>1</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Adjustments related to Sonder Termination</w:t>
            </w:r>
            <w:r>
              <w:rPr>
                <w:rFonts w:ascii="Arial;sans-serif" w:hAnsi="Arial;sans-serif"/>
                <w:b w:val="false"/>
                <w:color w:val="000000"/>
                <w:sz w:val="10"/>
              </w:rPr>
              <w:t>2</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operating income</w:t>
            </w:r>
            <w:r>
              <w:rPr>
                <w:color w:val="000000"/>
              </w:rPr>
              <w:t>†</w:t>
            </w:r>
          </w:p>
        </w:tc>
        <w:tc>
          <w:tcPr>
            <w:tcW w:w="9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1,329</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1,186</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2,487</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2,202</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margin</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operating income margin</w:t>
            </w:r>
            <w:r>
              <w:rPr>
                <w:color w:val="000000"/>
              </w:rPr>
              <w:t>†</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as reported</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Cost reimbursement revenue</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(5,058)</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(9,587)</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Reimbursed expenses</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5,100 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10,036 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9,596 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(Less): Restructuring and merger-related (recoveries) charges, and other</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Asset impairment charge</w:t>
            </w:r>
            <w:r>
              <w:rPr>
                <w:rFonts w:ascii="Arial;sans-serif" w:hAnsi="Arial;sans-serif"/>
                <w:b w:val="false"/>
                <w:color w:val="000000"/>
                <w:sz w:val="10"/>
              </w:rPr>
              <w:t>1</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Less: Adjustments related to Sonder Termination</w:t>
            </w:r>
            <w:r>
              <w:rPr>
                <w:rFonts w:ascii="Arial;sans-serif" w:hAnsi="Arial;sans-serif"/>
                <w:b w:val="false"/>
                <w:color w:val="000000"/>
                <w:sz w:val="10"/>
              </w:rPr>
              <w:t>2</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Add: Adjustment to gain on investee’s asset disposition</w:t>
            </w:r>
            <w:r>
              <w:rPr>
                <w:rFonts w:ascii="Arial;sans-serif" w:hAnsi="Arial;sans-serif"/>
                <w:b w:val="false"/>
                <w:color w:val="000000"/>
                <w:sz w:val="10"/>
              </w:rPr>
              <w:t>3</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effect of above adjustments</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Income tax special items</w:t>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net income</w:t>
            </w:r>
            <w:r>
              <w:rPr>
                <w:color w:val="000000"/>
              </w:rPr>
              <w:t>†</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1,570</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1,373</w:t>
            </w:r>
            <w:r>
              <w:rPr>
                <w:color w:val="000000"/>
              </w:rPr>
              <w:t> </w:t>
            </w:r>
          </w:p>
        </w:tc>
        <w:tc>
          <w:tcPr>
            <w:tcW w:w="3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share, as reported</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5.17</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diluted earnings per share</w:t>
            </w:r>
            <w:r>
              <w:rPr>
                <w:color w:val="000000"/>
              </w:rPr>
              <w:t>†</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2.65</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19</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16"/>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Impairment related to our sale of a U.S. &amp; Canada hotel reported in Depreciation, amortization, and other.</w:t>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 xml:space="preserve">Adjustments related to the termination of our licensing agreement with Sonder Holdings Inc. (the “Sonder Termination”) reported in Owned, leased, and other expense. </w:t>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3 </w:t>
            </w:r>
            <w:r>
              <w:rPr>
                <w:rFonts w:ascii="Arial;sans-serif" w:hAnsi="Arial;sans-serif"/>
                <w:b w:val="false"/>
                <w:color w:val="000000"/>
                <w:sz w:val="16"/>
              </w:rPr>
              <w:t xml:space="preserve">Adjustment to gain on investee’s asset disposition reported in Equity in earnings.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9"/>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502"/>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MARRIOTT INTERNATIONAL, INC.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EXPENSE CAPTIONS - AS RECLASSIFIED </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QUARTERLY AND FULL YEAR 2025</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in millions)</w:t>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6"/>
              </w:rPr>
            </w:pPr>
            <w:r>
              <w:rPr>
                <w:rFonts w:ascii="Arial;sans-serif" w:hAnsi="Arial;sans-serif"/>
                <w:b w:val="false"/>
                <w:color w:val="000000"/>
                <w:sz w:val="16"/>
              </w:rPr>
              <w:t>In the 2025 fourth quarter, to enhance understanding of the company’s general and administrative costs, we reclassified amounts attributable to other expenses previously reported under the “General, administrative, and other” caption to the “Owned, leased, and other expense” caption of our Income Statements. The expenses that were reclassified from “General, administrative, and other” are certain costs associated with our property-related fee revenues, such as guarantee expense, provision for credit losses, and certain brand-related or property-related expenses, as well as costs associated with certain third-party agreements. The following table includes the affected expense captions, as reclassified, for each quarter and the full fiscal year of 2025.</w:t>
            </w:r>
          </w:p>
        </w:tc>
      </w:tr>
    </w:tbl>
    <w:tbl>
      <w:tblPr>
        <w:tblW w:w="10205" w:type="dxa"/>
        <w:jc w:val="left"/>
        <w:tblInd w:w="0" w:type="dxa"/>
        <w:tblLayout w:type="fixed"/>
        <w:tblCellMar>
          <w:top w:w="28" w:type="dxa"/>
          <w:left w:w="28" w:type="dxa"/>
          <w:bottom w:w="28" w:type="dxa"/>
          <w:right w:w="28" w:type="dxa"/>
        </w:tblCellMar>
      </w:tblPr>
      <w:tblGrid>
        <w:gridCol w:w="1856"/>
        <w:gridCol w:w="1574"/>
        <w:gridCol w:w="1589"/>
        <w:gridCol w:w="196"/>
        <w:gridCol w:w="436"/>
        <w:gridCol w:w="109"/>
        <w:gridCol w:w="109"/>
        <w:gridCol w:w="109"/>
        <w:gridCol w:w="109"/>
        <w:gridCol w:w="197"/>
        <w:gridCol w:w="440"/>
        <w:gridCol w:w="109"/>
        <w:gridCol w:w="109"/>
        <w:gridCol w:w="109"/>
        <w:gridCol w:w="109"/>
        <w:gridCol w:w="196"/>
        <w:gridCol w:w="436"/>
        <w:gridCol w:w="109"/>
        <w:gridCol w:w="109"/>
        <w:gridCol w:w="109"/>
        <w:gridCol w:w="109"/>
        <w:gridCol w:w="196"/>
        <w:gridCol w:w="436"/>
        <w:gridCol w:w="109"/>
        <w:gridCol w:w="109"/>
        <w:gridCol w:w="109"/>
        <w:gridCol w:w="109"/>
        <w:gridCol w:w="196"/>
        <w:gridCol w:w="556"/>
        <w:gridCol w:w="157"/>
      </w:tblGrid>
      <w:tr>
        <w:trPr/>
        <w:tc>
          <w:tcPr>
            <w:tcW w:w="185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Fiscal Year 2025</w:t>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First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Second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Third</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Fourth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Owned, leased, and other revenue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Owned, leased, and other expense</w:t>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Owned, leased, and other revenue, net of owned, leased, and other expense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w:t>
            </w:r>
            <w:r>
              <w:rPr>
                <w:color w:val="000000"/>
              </w:rPr>
              <w:t>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A-5</w:t>
                      </w:r>
                    </w:p>
                  </w:txbxContent>
                </v:textbox>
                <w10:wrap type="none"/>
              </v:rect>
            </w:pict>
          </mc:Fallback>
        </mc:AlternateContent>
      </w:r>
    </w:p>
    <w:tbl>
      <w:tblPr>
        <w:tblW w:w="8755" w:type="dxa"/>
        <w:jc w:val="center"/>
        <w:tblInd w:w="0" w:type="dxa"/>
        <w:tblLayout w:type="fixed"/>
        <w:tblCellMar>
          <w:top w:w="28" w:type="dxa"/>
          <w:left w:w="28" w:type="dxa"/>
          <w:bottom w:w="28" w:type="dxa"/>
          <w:right w:w="28" w:type="dxa"/>
        </w:tblCellMar>
      </w:tblPr>
      <w:tblGrid>
        <w:gridCol w:w="1087"/>
        <w:gridCol w:w="953"/>
        <w:gridCol w:w="959"/>
        <w:gridCol w:w="316"/>
        <w:gridCol w:w="316"/>
        <w:gridCol w:w="224"/>
        <w:gridCol w:w="375"/>
        <w:gridCol w:w="376"/>
        <w:gridCol w:w="211"/>
        <w:gridCol w:w="285"/>
        <w:gridCol w:w="286"/>
        <w:gridCol w:w="286"/>
        <w:gridCol w:w="426"/>
        <w:gridCol w:w="325"/>
        <w:gridCol w:w="270"/>
        <w:gridCol w:w="285"/>
        <w:gridCol w:w="286"/>
        <w:gridCol w:w="286"/>
        <w:gridCol w:w="443"/>
        <w:gridCol w:w="443"/>
        <w:gridCol w:w="31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r>
      <w:tr>
        <w:trPr/>
        <w:tc>
          <w:tcPr>
            <w:tcW w:w="8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LODGING PRODUCTS BY OWNERSHIP TYPE</w:t>
            </w:r>
          </w:p>
        </w:tc>
      </w:tr>
      <w:tr>
        <w:trPr/>
        <w:tc>
          <w:tcPr>
            <w:tcW w:w="8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8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&amp; Canada</w:t>
            </w:r>
          </w:p>
        </w:tc>
        <w:tc>
          <w:tcPr>
            <w:tcW w:w="1878"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International</w:t>
            </w:r>
            <w:r>
              <w:rPr>
                <w:rFonts w:ascii="Arial;sans-serif" w:hAnsi="Arial;sans-serif"/>
                <w:b/>
                <w:color w:val="000000"/>
                <w:sz w:val="10"/>
              </w:rPr>
              <w:t>1</w:t>
            </w:r>
          </w:p>
        </w:tc>
        <w:tc>
          <w:tcPr>
            <w:tcW w:w="2060"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Worldwide</w:t>
            </w:r>
          </w:p>
        </w:tc>
      </w:tr>
      <w:tr>
        <w:trPr/>
        <w:tc>
          <w:tcPr>
            <w:tcW w:w="2999"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85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85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203"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r>
      <w:tr>
        <w:trPr/>
        <w:tc>
          <w:tcPr>
            <w:tcW w:w="2999"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Franchised, Licensed, and Other</w:t>
            </w:r>
          </w:p>
        </w:tc>
        <w:tc>
          <w:tcPr>
            <w:tcW w:w="632" w:type="dxa"/>
            <w:gridSpan w:val="2"/>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5,921</w:t>
            </w:r>
            <w:r>
              <w:rPr>
                <w:color w:val="000000"/>
              </w:rPr>
              <w:t> </w:t>
            </w:r>
          </w:p>
        </w:tc>
        <w:tc>
          <w:tcPr>
            <w:tcW w:w="224"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6D6D6"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884,304</w:t>
            </w:r>
            <w:r>
              <w:rPr>
                <w:color w:val="000000"/>
              </w:rPr>
              <w:t> </w:t>
            </w:r>
          </w:p>
        </w:tc>
        <w:tc>
          <w:tcPr>
            <w:tcW w:w="211"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2,018</w:t>
            </w:r>
            <w:r>
              <w:rPr>
                <w:color w:val="000000"/>
              </w:rPr>
              <w:t> </w:t>
            </w:r>
          </w:p>
        </w:tc>
        <w:tc>
          <w:tcPr>
            <w:tcW w:w="286"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6D6D6"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339,046</w:t>
            </w:r>
            <w:r>
              <w:rPr>
                <w:color w:val="000000"/>
              </w:rPr>
              <w:t> </w:t>
            </w:r>
          </w:p>
        </w:tc>
        <w:tc>
          <w:tcPr>
            <w:tcW w:w="270"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7,939</w:t>
            </w:r>
            <w:r>
              <w:rPr>
                <w:color w:val="000000"/>
              </w:rPr>
              <w:t> </w:t>
            </w:r>
          </w:p>
        </w:tc>
        <w:tc>
          <w:tcPr>
            <w:tcW w:w="286"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6D6D6"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1,223,350</w:t>
            </w:r>
            <w:r>
              <w:rPr>
                <w:color w:val="000000"/>
              </w:rPr>
              <w:t> </w:t>
            </w:r>
          </w:p>
        </w:tc>
        <w:tc>
          <w:tcPr>
            <w:tcW w:w="317" w:type="dxa"/>
            <w:tcBorders>
              <w:top w:val="single" w:sz="8" w:space="0" w:color="000000"/>
              <w:right w:val="single" w:sz="8" w:space="0" w:color="000000"/>
            </w:tcBorders>
            <w:shd w:fill="D6D6D6"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Courtyard by Marriott </w:t>
            </w:r>
          </w:p>
        </w:tc>
        <w:tc>
          <w:tcPr>
            <w:tcW w:w="632"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127,158 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27,070 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154,228 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Fairfield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113,564 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20,448 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134,012 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Residence Inn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100,238 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5,289 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105,527 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76,464 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24,026 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100,490 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Autograph Collection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36,970 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34,770 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71,740 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SpringHill Suites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67,779 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67,779 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Sheraton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41,433 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25,141 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66,574 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TownePlace Suites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59,212 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59,212 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Four Points by Sheraton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31,015 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52,035 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Westin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33,215 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43,397 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AC Hotels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23,059 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16,055 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39,114 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Tribute Portfolio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20,761 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11,231 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31,992 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Moxy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22,268 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30,676 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Aloft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23,905 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6,357 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Renaissance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19,853 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8,594 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28,447 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MGM Collection with Marriott Bonvoy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26,210 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Delta Hotels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8,123 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23,987 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Timeshare*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18,949 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Luxury Collection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8,245 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14,458 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22,703 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City Express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18,335 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20,795 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Design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14,075 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17,254 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Element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14,066 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15,109 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Le Méridien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5,123 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8,636 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13,759 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JW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6,797 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4,279 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citizenM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3,938 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Four Points Flex by Sheraton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8,536 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8,536 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Series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Protea Hotels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3,371 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3,371 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Executive Apartments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1,947 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1,947 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Outdoor Collection by Marriott Bonvoy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StudioRes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Apartments by Marriott Bonvoy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Yacht Collection*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 Regis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Bvlgari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 xml:space="preserve">Owned/Leased </w:t>
            </w:r>
          </w:p>
        </w:tc>
        <w:tc>
          <w:tcPr>
            <w:tcW w:w="632" w:type="dxa"/>
            <w:gridSpan w:val="2"/>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24"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6D6D6"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4,466</w:t>
            </w:r>
            <w:r>
              <w:rPr>
                <w:color w:val="000000"/>
              </w:rPr>
              <w:t> </w:t>
            </w:r>
          </w:p>
        </w:tc>
        <w:tc>
          <w:tcPr>
            <w:tcW w:w="211"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286"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6D6D6"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8,867</w:t>
            </w:r>
            <w:r>
              <w:rPr>
                <w:color w:val="000000"/>
              </w:rPr>
              <w:t> </w:t>
            </w:r>
          </w:p>
        </w:tc>
        <w:tc>
          <w:tcPr>
            <w:tcW w:w="270"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286" w:type="dxa"/>
            <w:tcBorders>
              <w:top w:val="single" w:sz="8" w:space="0" w:color="000000"/>
            </w:tcBorders>
            <w:shd w:fill="D6D6D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6D6D6"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13,333</w:t>
            </w:r>
            <w:r>
              <w:rPr>
                <w:color w:val="000000"/>
              </w:rPr>
              <w:t> </w:t>
            </w:r>
          </w:p>
        </w:tc>
        <w:tc>
          <w:tcPr>
            <w:tcW w:w="317" w:type="dxa"/>
            <w:tcBorders>
              <w:top w:val="single" w:sz="8" w:space="0" w:color="000000"/>
              <w:right w:val="single" w:sz="8" w:space="0" w:color="000000"/>
            </w:tcBorders>
            <w:shd w:fill="D6D6D6"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Sheraton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2,935 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Courtyard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Protea Hotels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JW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Renaissance Hotels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Luxury Collection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Autograph Collection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Residence Inn by Marriott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Tribute Portfolio </w:t>
            </w:r>
          </w:p>
        </w:tc>
        <w:tc>
          <w:tcPr>
            <w:tcW w:w="632"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317"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left w:val="single" w:sz="8" w:space="0" w:color="000000"/>
              <w:bottom w:val="single" w:sz="8" w:space="0" w:color="000000"/>
            </w:tcBorders>
            <w:tcMar>
              <w:top w:w="52" w:type="dxa"/>
              <w:left w:w="26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 Regis </w:t>
            </w:r>
          </w:p>
        </w:tc>
        <w:tc>
          <w:tcPr>
            <w:tcW w:w="632"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7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17" w:type="dxa"/>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31"/>
        <w:gridCol w:w="726"/>
        <w:gridCol w:w="728"/>
        <w:gridCol w:w="414"/>
        <w:gridCol w:w="414"/>
        <w:gridCol w:w="294"/>
        <w:gridCol w:w="580"/>
        <w:gridCol w:w="582"/>
        <w:gridCol w:w="277"/>
        <w:gridCol w:w="374"/>
        <w:gridCol w:w="375"/>
        <w:gridCol w:w="375"/>
        <w:gridCol w:w="559"/>
        <w:gridCol w:w="426"/>
        <w:gridCol w:w="282"/>
        <w:gridCol w:w="431"/>
        <w:gridCol w:w="436"/>
        <w:gridCol w:w="375"/>
        <w:gridCol w:w="580"/>
        <w:gridCol w:w="582"/>
        <w:gridCol w:w="364"/>
      </w:tblGrid>
      <w:tr>
        <w:trPr/>
        <w:tc>
          <w:tcPr>
            <w:tcW w:w="103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LODGING PRODUCTS BY OWNERSHIP TYPE</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&amp; Canada</w:t>
            </w:r>
          </w:p>
        </w:tc>
        <w:tc>
          <w:tcPr>
            <w:tcW w:w="2391"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International</w:t>
            </w:r>
            <w:r>
              <w:rPr>
                <w:rFonts w:ascii="Arial;sans-serif" w:hAnsi="Arial;sans-serif"/>
                <w:b/>
                <w:color w:val="000000"/>
                <w:sz w:val="10"/>
              </w:rPr>
              <w:t>1</w:t>
            </w:r>
          </w:p>
        </w:tc>
        <w:tc>
          <w:tcPr>
            <w:tcW w:w="2768"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Worldwide</w:t>
            </w:r>
          </w:p>
        </w:tc>
      </w:tr>
      <w:tr>
        <w:trPr/>
        <w:tc>
          <w:tcPr>
            <w:tcW w:w="2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112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12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52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r>
      <w:tr>
        <w:trPr/>
        <w:tc>
          <w:tcPr>
            <w:tcW w:w="2485" w:type="dxa"/>
            <w:gridSpan w:val="3"/>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Managed</w:t>
            </w:r>
          </w:p>
        </w:tc>
        <w:tc>
          <w:tcPr>
            <w:tcW w:w="828"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w:t>
            </w:r>
            <w:r>
              <w:rPr>
                <w:color w:val="000000"/>
              </w:rPr>
              <w:t> </w:t>
            </w:r>
          </w:p>
        </w:tc>
        <w:tc>
          <w:tcPr>
            <w:tcW w:w="2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202,722</w:t>
            </w:r>
            <w:r>
              <w:rPr>
                <w:color w:val="000000"/>
              </w:rPr>
              <w:t> </w:t>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1,389</w:t>
            </w:r>
            <w:r>
              <w:rPr>
                <w:color w:val="000000"/>
              </w:rPr>
              <w:t> </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357,727</w:t>
            </w:r>
            <w:r>
              <w:rPr>
                <w:color w:val="000000"/>
              </w:rPr>
              <w:t> </w:t>
            </w:r>
          </w:p>
        </w:tc>
        <w:tc>
          <w:tcPr>
            <w:tcW w:w="28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1,947</w:t>
            </w:r>
            <w:r>
              <w:rPr>
                <w:color w:val="000000"/>
              </w:rPr>
              <w:t> </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560,449</w:t>
            </w:r>
            <w:r>
              <w:rPr>
                <w:color w:val="000000"/>
              </w:rPr>
              <w:t> </w:t>
            </w:r>
          </w:p>
        </w:tc>
        <w:tc>
          <w:tcPr>
            <w:tcW w:w="364" w:type="dxa"/>
            <w:tcBorders>
              <w:top w:val="single" w:sz="8" w:space="0" w:color="000000"/>
              <w:right w:val="single" w:sz="8" w:space="0" w:color="000000"/>
            </w:tcBorders>
            <w:shd w:fill="DBDBDB"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Hotels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55,403 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61,179 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116,582 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Sheraton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18,928 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57,080 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76,008 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Courtyard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21,936 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29,941 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51,877 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Westin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22,354 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24,174 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46,528 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JW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12,725 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26,525 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39,250 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12,797 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18,443 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31,240 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Four Points by Sheraton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25,337 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25,471 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Renaissance Hotels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8,657 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16,533 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25,190 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Le Méridien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18,646 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 Hotels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5,163 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12,023 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 Regis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11,503 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14,067 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Gaylord Hotels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11,820 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11,820 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Residence Inn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10,604 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Luxury Collection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2,316 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8,335 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10,651 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Aloft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9,591 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Fairfield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8,761 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9,459 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Delta Hotels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6,623 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Autograph Collection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3,418 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3,379 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6,797 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Executive Apartments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5,932 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AC Hotels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3,328 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4,840 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EDITION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4,768 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Element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2,712 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Moxy Hotels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3,099 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Protea Hotels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Tribute Portfolio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SpringHill Suites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Bvlgari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TownePlace Suites by Marriott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citizenM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Apartments by Marriott Bonvoy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shd w:fill="D6D6D6"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Residences</w:t>
            </w:r>
          </w:p>
        </w:tc>
        <w:tc>
          <w:tcPr>
            <w:tcW w:w="828"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2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7,866</w:t>
            </w:r>
            <w:r>
              <w:rPr>
                <w:color w:val="000000"/>
              </w:rPr>
              <w:t> </w:t>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8,700</w:t>
            </w:r>
            <w:r>
              <w:rPr>
                <w:color w:val="000000"/>
              </w:rPr>
              <w:t> </w:t>
            </w:r>
          </w:p>
        </w:tc>
        <w:tc>
          <w:tcPr>
            <w:tcW w:w="28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w:t>
            </w:r>
            <w:r>
              <w:rPr>
                <w:color w:val="000000"/>
              </w:rPr>
              <w:t> </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16,566</w:t>
            </w:r>
            <w:r>
              <w:rPr>
                <w:color w:val="000000"/>
              </w:rPr>
              <w:t> </w:t>
            </w:r>
          </w:p>
        </w:tc>
        <w:tc>
          <w:tcPr>
            <w:tcW w:w="364" w:type="dxa"/>
            <w:tcBorders>
              <w:top w:val="single" w:sz="8" w:space="0" w:color="000000"/>
              <w:right w:val="single" w:sz="8" w:space="0" w:color="000000"/>
            </w:tcBorders>
            <w:shd w:fill="DBDBDB"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5,150 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7,078 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 Regis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JW Marriott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Westin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Bvlgari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Sheraton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Luxury Collection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Tribute Portfolio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Renaissance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EDITION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Le Méridien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Autograph Collection Residences </w:t>
            </w:r>
          </w:p>
        </w:tc>
        <w:tc>
          <w:tcPr>
            <w:tcW w:w="828"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7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64"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Grand Total</w:t>
            </w:r>
          </w:p>
        </w:tc>
        <w:tc>
          <w:tcPr>
            <w:tcW w:w="828"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6,566</w:t>
            </w:r>
            <w:r>
              <w:rPr>
                <w:color w:val="000000"/>
              </w:rPr>
              <w:t> </w:t>
            </w:r>
          </w:p>
        </w:tc>
        <w:tc>
          <w:tcPr>
            <w:tcW w:w="29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1,099,358</w:t>
            </w:r>
            <w:r>
              <w:rPr>
                <w:color w:val="000000"/>
              </w:rPr>
              <w:t> </w:t>
            </w:r>
          </w:p>
        </w:tc>
        <w:tc>
          <w:tcPr>
            <w:tcW w:w="277"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3,516</w:t>
            </w:r>
            <w:r>
              <w:rPr>
                <w:color w:val="000000"/>
              </w:rPr>
              <w:t> </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714,340</w:t>
            </w:r>
            <w:r>
              <w:rPr>
                <w:color w:val="000000"/>
              </w:rPr>
              <w:t> </w:t>
            </w:r>
          </w:p>
        </w:tc>
        <w:tc>
          <w:tcPr>
            <w:tcW w:w="28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10,082</w:t>
            </w:r>
            <w:r>
              <w:rPr>
                <w:color w:val="000000"/>
              </w:rPr>
              <w:t> </w:t>
            </w:r>
          </w:p>
        </w:tc>
        <w:tc>
          <w:tcPr>
            <w:tcW w:w="375"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1,813,698</w:t>
            </w:r>
            <w:r>
              <w:rPr>
                <w:color w:val="000000"/>
              </w:rPr>
              <w:t> </w:t>
            </w:r>
          </w:p>
        </w:tc>
        <w:tc>
          <w:tcPr>
            <w:tcW w:w="364" w:type="dxa"/>
            <w:tcBorders>
              <w:top w:val="single" w:sz="8" w:space="0" w:color="000000"/>
              <w:right w:val="single" w:sz="8" w:space="0" w:color="000000"/>
            </w:tcBorders>
            <w:shd w:fill="DBDBDB"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"International" refers to: (i) Europe, Middle East &amp; Africa, (ii) Greater China, (iii) Asia Pacific excluding China, and (iv) Caribbean &amp; Latin America.</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Timeshare, Design Hotels, and The Ritz-Carlton Yacht Collection counts are included in this table by geographical location. For external reporting purposes, these offerings are captured within “Unallocated corporate and other.”</w:t>
            </w:r>
          </w:p>
        </w:tc>
      </w:tr>
      <w:tr>
        <w:trPr/>
        <w:tc>
          <w:tcPr>
            <w:tcW w:w="10205" w:type="dxa"/>
            <w:gridSpan w:val="21"/>
            <w:tcBorders/>
            <w:tcMar>
              <w:top w:w="0" w:type="dxa"/>
              <w:left w:w="0" w:type="dxa"/>
              <w:bottom w:w="0" w:type="dxa"/>
              <w:right w:w="0" w:type="dxa"/>
            </w:tcMar>
            <w:vAlign w:val="center"/>
          </w:tcPr>
          <w:p>
            <w:pPr>
              <w:pStyle w:val="TableContents"/>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Property and room counts presented by brand in the above table include certain hotels in our system that are not yet operating under such brand, but are expected to operate under such brand following the completion of planned renovations.</w:t>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52"/>
        <w:gridCol w:w="824"/>
        <w:gridCol w:w="830"/>
        <w:gridCol w:w="285"/>
        <w:gridCol w:w="286"/>
        <w:gridCol w:w="286"/>
        <w:gridCol w:w="374"/>
        <w:gridCol w:w="377"/>
        <w:gridCol w:w="186"/>
        <w:gridCol w:w="285"/>
        <w:gridCol w:w="286"/>
        <w:gridCol w:w="286"/>
        <w:gridCol w:w="414"/>
        <w:gridCol w:w="337"/>
        <w:gridCol w:w="251"/>
        <w:gridCol w:w="285"/>
        <w:gridCol w:w="286"/>
        <w:gridCol w:w="286"/>
        <w:gridCol w:w="375"/>
        <w:gridCol w:w="376"/>
        <w:gridCol w:w="21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95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LODGING PRODUCTS BY TIER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7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&amp; Canada</w:t>
            </w:r>
          </w:p>
        </w:tc>
        <w:tc>
          <w:tcPr>
            <w:tcW w:w="1859"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International</w:t>
            </w:r>
            <w:r>
              <w:rPr>
                <w:rFonts w:ascii="Arial;sans-serif" w:hAnsi="Arial;sans-serif"/>
                <w:b/>
                <w:color w:val="000000"/>
                <w:sz w:val="10"/>
              </w:rPr>
              <w:t>1</w:t>
            </w:r>
          </w:p>
        </w:tc>
        <w:tc>
          <w:tcPr>
            <w:tcW w:w="1827"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Worldwide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Total Systemwide</w:t>
            </w:r>
          </w:p>
        </w:tc>
        <w:tc>
          <w:tcPr>
            <w:tcW w:w="85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9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85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857"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970"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Luxury</w:t>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61,785</w:t>
            </w:r>
            <w:r>
              <w:rPr>
                <w:color w:val="000000"/>
              </w:rPr>
              <w:t> </w:t>
            </w:r>
          </w:p>
        </w:tc>
        <w:tc>
          <w:tcPr>
            <w:tcW w:w="1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110,003</w:t>
            </w:r>
            <w:r>
              <w:rPr>
                <w:color w:val="000000"/>
              </w:rPr>
              <w:t> </w:t>
            </w:r>
          </w:p>
        </w:tc>
        <w:tc>
          <w:tcPr>
            <w:tcW w:w="251"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171,788</w:t>
            </w:r>
            <w:r>
              <w:rPr>
                <w:color w:val="000000"/>
              </w:rPr>
              <w:t> </w:t>
            </w:r>
          </w:p>
        </w:tc>
        <w:tc>
          <w:tcPr>
            <w:tcW w:w="219" w:type="dxa"/>
            <w:tcBorders>
              <w:top w:val="single" w:sz="8" w:space="0" w:color="000000"/>
              <w:right w:val="single" w:sz="8" w:space="0" w:color="000000"/>
            </w:tcBorders>
            <w:shd w:fill="D9D9D9"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JW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19,522 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31,500 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51,022 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JW Marriott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Luxury Collection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23,176 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33,737 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Luxury Collection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13,226 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19,253 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32,479 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1,928 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7,078 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The Ritz-Carlton Yacht Collection*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 Hotels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7,045 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20,197 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 Regis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14,399 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 Regis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3,195 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EDITION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4,768 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EDITION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Bvlgari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Bvlgari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Premium</w:t>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1,225</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411,359</w:t>
            </w:r>
            <w:r>
              <w:rPr>
                <w:color w:val="000000"/>
              </w:rPr>
              <w:t> </w:t>
            </w:r>
          </w:p>
        </w:tc>
        <w:tc>
          <w:tcPr>
            <w:tcW w:w="1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1,493</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343,685</w:t>
            </w:r>
            <w:r>
              <w:rPr>
                <w:color w:val="000000"/>
              </w:rPr>
              <w:t> </w:t>
            </w:r>
          </w:p>
        </w:tc>
        <w:tc>
          <w:tcPr>
            <w:tcW w:w="251"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2,718</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755,044</w:t>
            </w:r>
            <w:r>
              <w:rPr>
                <w:color w:val="000000"/>
              </w:rPr>
              <w:t> </w:t>
            </w:r>
          </w:p>
        </w:tc>
        <w:tc>
          <w:tcPr>
            <w:tcW w:w="219" w:type="dxa"/>
            <w:tcBorders>
              <w:top w:val="single" w:sz="8" w:space="0" w:color="000000"/>
              <w:right w:val="single" w:sz="8" w:space="0" w:color="000000"/>
            </w:tcBorders>
            <w:shd w:fill="D9D9D9"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Hotels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133,171 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86,836 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220,007 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Sheraton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61,579 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83,945 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145,524 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Sheraton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Westin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55,569 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34,356 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89,925 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Westin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Autograph Collection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40,388 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38,509 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78,897 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Autograph Collection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Renaissance Hotels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28,510 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25,632 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54,142 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Renaissance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Tribute Portfolio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13,075 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33,836 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Tribute Portfolio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Le Méridien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5,123 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32,405 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Le Méridien Residences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Delta Hotels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22,487 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31,789 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MGM Collection with Marriott Bonvoy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26,210 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Design Hotels*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17,254 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Gaylord Hotels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11,820 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Marriott Executive Apartments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7,879 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7,879 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Outdoor Collection by Marriott Bonvoy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Apartments by Marriott Bonvoy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w:t>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5,011</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602,767</w:t>
            </w:r>
            <w:r>
              <w:rPr>
                <w:color w:val="000000"/>
              </w:rPr>
              <w:t> </w:t>
            </w:r>
          </w:p>
        </w:tc>
        <w:tc>
          <w:tcPr>
            <w:tcW w:w="1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1,249</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225,886</w:t>
            </w:r>
            <w:r>
              <w:rPr>
                <w:color w:val="000000"/>
              </w:rPr>
              <w:t> </w:t>
            </w:r>
          </w:p>
        </w:tc>
        <w:tc>
          <w:tcPr>
            <w:tcW w:w="251"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6,260</w:t>
            </w:r>
            <w:r>
              <w:rPr>
                <w:color w:val="000000"/>
              </w:rPr>
              <w:t> </w:t>
            </w:r>
          </w:p>
        </w:tc>
        <w:tc>
          <w:tcPr>
            <w:tcW w:w="286"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828,653</w:t>
            </w:r>
            <w:r>
              <w:rPr>
                <w:color w:val="000000"/>
              </w:rPr>
              <w:t> </w:t>
            </w:r>
          </w:p>
        </w:tc>
        <w:tc>
          <w:tcPr>
            <w:tcW w:w="219" w:type="dxa"/>
            <w:tcBorders>
              <w:top w:val="single" w:sz="8" w:space="0" w:color="000000"/>
              <w:right w:val="single" w:sz="8" w:space="0" w:color="000000"/>
            </w:tcBorders>
            <w:shd w:fill="D9D9D9"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Courtyard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150,081 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57,905 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207,986 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Fairfield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114,262 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29,209 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143,471 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Residence Inn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111,034 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6,531 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117,565 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Four Points by Sheraton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21,154 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56,352 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77,506 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SpringHill Suites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69,160 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69,160 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TownePlace Suites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59,827 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59,827 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AC Hotels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19,383 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43,954 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Aloft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24,410 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15,948 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40,358 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Moxy Hotels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8,788 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25,367 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34,155 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Element by Marriott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14,876 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18,631 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citizenM </w:t>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4,604 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4,415 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9,019 </w:t>
            </w:r>
          </w:p>
        </w:tc>
        <w:tc>
          <w:tcPr>
            <w:tcW w:w="219"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op w:val="single" w:sz="8" w:space="0" w:color="000000"/>
              <w:left w:val="single" w:sz="8" w:space="0" w:color="000000"/>
              <w:bottom w:val="single" w:sz="8" w:space="0" w:color="000000"/>
            </w:tcBorders>
            <w:tcMar>
              <w:top w:w="52" w:type="dxa"/>
              <w:left w:w="26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Protea Hotels by Marriott </w:t>
            </w:r>
          </w:p>
        </w:tc>
        <w:tc>
          <w:tcPr>
            <w:tcW w:w="57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7,021 </w:t>
            </w:r>
          </w:p>
        </w:tc>
        <w:tc>
          <w:tcPr>
            <w:tcW w:w="2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7,021 </w:t>
            </w:r>
          </w:p>
        </w:tc>
        <w:tc>
          <w:tcPr>
            <w:tcW w:w="219" w:type="dxa"/>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61"/>
        <w:gridCol w:w="493"/>
        <w:gridCol w:w="496"/>
        <w:gridCol w:w="323"/>
        <w:gridCol w:w="324"/>
        <w:gridCol w:w="324"/>
        <w:gridCol w:w="499"/>
        <w:gridCol w:w="506"/>
        <w:gridCol w:w="204"/>
        <w:gridCol w:w="323"/>
        <w:gridCol w:w="324"/>
        <w:gridCol w:w="324"/>
        <w:gridCol w:w="468"/>
        <w:gridCol w:w="383"/>
        <w:gridCol w:w="241"/>
        <w:gridCol w:w="374"/>
        <w:gridCol w:w="375"/>
        <w:gridCol w:w="324"/>
        <w:gridCol w:w="501"/>
        <w:gridCol w:w="504"/>
        <w:gridCol w:w="20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4"/>
      </w:tblGrid>
      <w:tr>
        <w:trPr/>
        <w:tc>
          <w:tcPr>
            <w:tcW w:w="56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LODGING PRODUCTS BY TIER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1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&amp; Canada</w:t>
            </w:r>
          </w:p>
        </w:tc>
        <w:tc>
          <w:tcPr>
            <w:tcW w:w="2063"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International</w:t>
            </w:r>
            <w:r>
              <w:rPr>
                <w:rFonts w:ascii="Arial;sans-serif" w:hAnsi="Arial;sans-serif"/>
                <w:b/>
                <w:color w:val="000000"/>
                <w:sz w:val="10"/>
              </w:rPr>
              <w:t>1</w:t>
            </w:r>
          </w:p>
        </w:tc>
        <w:tc>
          <w:tcPr>
            <w:tcW w:w="2286"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Worldwide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Total Systemwide</w:t>
            </w:r>
          </w:p>
        </w:tc>
        <w:tc>
          <w:tcPr>
            <w:tcW w:w="9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9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107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Properties</w:t>
            </w:r>
          </w:p>
        </w:tc>
        <w:tc>
          <w:tcPr>
            <w:tcW w:w="1213"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Rooms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Midscale</w:t>
            </w:r>
          </w:p>
        </w:tc>
        <w:tc>
          <w:tcPr>
            <w:tcW w:w="647"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32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4,498</w:t>
            </w:r>
            <w:r>
              <w:rPr>
                <w:color w:val="000000"/>
              </w:rPr>
              <w:t> </w:t>
            </w:r>
          </w:p>
        </w:tc>
        <w:tc>
          <w:tcPr>
            <w:tcW w:w="20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w:t>
            </w:r>
            <w:r>
              <w:rPr>
                <w:color w:val="000000"/>
              </w:rPr>
              <w:t> </w:t>
            </w:r>
          </w:p>
        </w:tc>
        <w:tc>
          <w:tcPr>
            <w:tcW w:w="32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30,803</w:t>
            </w:r>
            <w:r>
              <w:rPr>
                <w:color w:val="000000"/>
              </w:rPr>
              <w:t> </w:t>
            </w:r>
          </w:p>
        </w:tc>
        <w:tc>
          <w:tcPr>
            <w:tcW w:w="241"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w:t>
            </w:r>
            <w:r>
              <w:rPr>
                <w:color w:val="000000"/>
              </w:rPr>
              <w:t> </w:t>
            </w:r>
          </w:p>
        </w:tc>
        <w:tc>
          <w:tcPr>
            <w:tcW w:w="32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35,301</w:t>
            </w:r>
            <w:r>
              <w:rPr>
                <w:color w:val="000000"/>
              </w:rPr>
              <w:t> </w:t>
            </w:r>
          </w:p>
        </w:tc>
        <w:tc>
          <w:tcPr>
            <w:tcW w:w="208" w:type="dxa"/>
            <w:tcBorders>
              <w:top w:val="single" w:sz="8" w:space="0" w:color="000000"/>
              <w:right w:val="single" w:sz="8" w:space="0" w:color="000000"/>
            </w:tcBorders>
            <w:shd w:fill="D9D9D9"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City Express by Marriott </w:t>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2,460 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18,335 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20,795 </w:t>
            </w:r>
          </w:p>
        </w:tc>
        <w:tc>
          <w:tcPr>
            <w:tcW w:w="208"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Four Points Flex by Sheraton </w:t>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8,536 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8,536 </w:t>
            </w:r>
          </w:p>
        </w:tc>
        <w:tc>
          <w:tcPr>
            <w:tcW w:w="208"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Series by Marriott **</w:t>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4,482 </w:t>
            </w:r>
          </w:p>
        </w:tc>
        <w:tc>
          <w:tcPr>
            <w:tcW w:w="208"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tcBorders>
            <w:tcMar>
              <w:top w:w="52" w:type="dxa"/>
              <w:left w:w="26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 xml:space="preserve">StudioRes by Marriott </w:t>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1,488 </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1,488 </w:t>
            </w:r>
          </w:p>
        </w:tc>
        <w:tc>
          <w:tcPr>
            <w:tcW w:w="208" w:type="dxa"/>
            <w:tcBorders>
              <w:top w:val="single" w:sz="8" w:space="0" w:color="000000"/>
              <w:right w:val="single" w:sz="8" w:space="0" w:color="000000"/>
            </w:tcBorders>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 xml:space="preserve">Timeshare* </w:t>
            </w:r>
          </w:p>
        </w:tc>
        <w:tc>
          <w:tcPr>
            <w:tcW w:w="647"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32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18,949</w:t>
            </w:r>
            <w:r>
              <w:rPr>
                <w:color w:val="000000"/>
              </w:rPr>
              <w:t> </w:t>
            </w:r>
          </w:p>
        </w:tc>
        <w:tc>
          <w:tcPr>
            <w:tcW w:w="20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32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3,963</w:t>
            </w:r>
            <w:r>
              <w:rPr>
                <w:color w:val="000000"/>
              </w:rPr>
              <w:t> </w:t>
            </w:r>
          </w:p>
        </w:tc>
        <w:tc>
          <w:tcPr>
            <w:tcW w:w="241"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324" w:type="dxa"/>
            <w:tcBorders>
              <w:top w:val="single" w:sz="8"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9D9D9"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22,912</w:t>
            </w:r>
            <w:r>
              <w:rPr>
                <w:color w:val="000000"/>
              </w:rPr>
              <w:t> </w:t>
            </w:r>
          </w:p>
        </w:tc>
        <w:tc>
          <w:tcPr>
            <w:tcW w:w="208" w:type="dxa"/>
            <w:tcBorders>
              <w:top w:val="single" w:sz="8" w:space="0" w:color="000000"/>
              <w:right w:val="single" w:sz="8" w:space="0" w:color="000000"/>
            </w:tcBorders>
            <w:shd w:fill="D9D9D9"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Grand Total</w:t>
            </w:r>
          </w:p>
        </w:tc>
        <w:tc>
          <w:tcPr>
            <w:tcW w:w="647"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6,566</w:t>
            </w:r>
            <w:r>
              <w:rPr>
                <w:color w:val="000000"/>
              </w:rPr>
              <w:t> </w:t>
            </w:r>
          </w:p>
        </w:tc>
        <w:tc>
          <w:tcPr>
            <w:tcW w:w="3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1,099,358</w:t>
            </w:r>
            <w:r>
              <w:rPr>
                <w:color w:val="000000"/>
              </w:rPr>
              <w:t> </w:t>
            </w:r>
          </w:p>
        </w:tc>
        <w:tc>
          <w:tcPr>
            <w:tcW w:w="20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3,516</w:t>
            </w:r>
            <w:r>
              <w:rPr>
                <w:color w:val="000000"/>
              </w:rPr>
              <w:t> </w:t>
            </w:r>
          </w:p>
        </w:tc>
        <w:tc>
          <w:tcPr>
            <w:tcW w:w="3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714,340</w:t>
            </w:r>
            <w:r>
              <w:rPr>
                <w:color w:val="000000"/>
              </w:rPr>
              <w:t> </w:t>
            </w:r>
          </w:p>
        </w:tc>
        <w:tc>
          <w:tcPr>
            <w:tcW w:w="2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left w:val="single" w:sz="8" w:space="0" w:color="000000"/>
            </w:tcBorders>
            <w:shd w:fill="DBDBDB"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10,082</w:t>
            </w:r>
            <w:r>
              <w:rPr>
                <w:color w:val="000000"/>
              </w:rPr>
              <w:t> </w:t>
            </w:r>
          </w:p>
        </w:tc>
        <w:tc>
          <w:tcPr>
            <w:tcW w:w="32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1,813,698</w:t>
            </w:r>
            <w:r>
              <w:rPr>
                <w:color w:val="000000"/>
              </w:rPr>
              <w:t> </w:t>
            </w:r>
          </w:p>
        </w:tc>
        <w:tc>
          <w:tcPr>
            <w:tcW w:w="208" w:type="dxa"/>
            <w:tcBorders>
              <w:top w:val="single" w:sz="8" w:space="0" w:color="000000"/>
              <w:right w:val="single" w:sz="8" w:space="0" w:color="000000"/>
            </w:tcBorders>
            <w:shd w:fill="DBDBDB"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079"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"International" refers to: (i) Europe, Middle East &amp; Africa, (ii) Greater China, (iii) Asia Pacific excluding China, and (iv) Caribbean &amp; Latin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079"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Timeshare, Design Hotels, and The Ritz-Carlton Yacht Collection counts are included in this table by geographical location. For external reporting purposes, these offerings are captured within “Unallocated 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079" w:type="dxa"/>
            <w:gridSpan w:val="21"/>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 The Outdoor Collection by Marriott Bonvoy includes properties under both the Premium and Select quality tiers. Series by Marriott includes properties under both the Select and Midscale quality tiers.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079" w:type="dxa"/>
            <w:gridSpan w:val="21"/>
            <w:tcBorders/>
            <w:tcMar>
              <w:top w:w="0" w:type="dxa"/>
              <w:left w:w="0" w:type="dxa"/>
              <w:bottom w:w="0" w:type="dxa"/>
              <w:right w:w="0" w:type="dxa"/>
            </w:tcMar>
            <w:vAlign w:val="center"/>
          </w:tcPr>
          <w:p>
            <w:pPr>
              <w:pStyle w:val="TableContents"/>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Property and room counts presented by brand in the above table include certain hotels in our system that are not yet operating under such brand, but are expected to operate under such brand following the completion of planned renovations.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27"/>
        <w:gridCol w:w="900"/>
        <w:gridCol w:w="921"/>
        <w:gridCol w:w="109"/>
        <w:gridCol w:w="109"/>
        <w:gridCol w:w="109"/>
        <w:gridCol w:w="196"/>
        <w:gridCol w:w="661"/>
        <w:gridCol w:w="109"/>
        <w:gridCol w:w="109"/>
        <w:gridCol w:w="109"/>
        <w:gridCol w:w="109"/>
        <w:gridCol w:w="195"/>
        <w:gridCol w:w="196"/>
        <w:gridCol w:w="394"/>
        <w:gridCol w:w="109"/>
        <w:gridCol w:w="109"/>
        <w:gridCol w:w="109"/>
        <w:gridCol w:w="240"/>
        <w:gridCol w:w="241"/>
        <w:gridCol w:w="256"/>
        <w:gridCol w:w="109"/>
        <w:gridCol w:w="109"/>
        <w:gridCol w:w="109"/>
        <w:gridCol w:w="218"/>
        <w:gridCol w:w="218"/>
        <w:gridCol w:w="256"/>
        <w:gridCol w:w="134"/>
        <w:gridCol w:w="134"/>
        <w:gridCol w:w="138"/>
        <w:gridCol w:w="109"/>
        <w:gridCol w:w="109"/>
        <w:gridCol w:w="109"/>
        <w:gridCol w:w="196"/>
        <w:gridCol w:w="661"/>
        <w:gridCol w:w="109"/>
        <w:gridCol w:w="109"/>
        <w:gridCol w:w="109"/>
        <w:gridCol w:w="109"/>
        <w:gridCol w:w="195"/>
        <w:gridCol w:w="196"/>
        <w:gridCol w:w="45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KEY LODGING STATISTICS</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Constant $</w:t>
            </w:r>
          </w:p>
        </w:tc>
      </w:tr>
      <w:tr>
        <w:trPr/>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Company-Operated US &amp; Canada Properties</w:t>
            </w:r>
          </w:p>
        </w:tc>
      </w:tr>
      <w:tr>
        <w:trPr/>
        <w:tc>
          <w:tcPr>
            <w:tcW w:w="2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0"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 and June 30, 2025</w:t>
            </w:r>
          </w:p>
        </w:tc>
      </w:tr>
      <w:tr>
        <w:trPr/>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RevPAR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2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JW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3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Ritz-Carlton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 Hotels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Luxury</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Marriott Hotels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Sheraton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Premium</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Full-Service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73.2</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Courtyard by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Residence Inn by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Select</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84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 All</w:t>
            </w:r>
            <w:r>
              <w:rPr>
                <w:rFonts w:ascii="Arial;sans-serif" w:hAnsi="Arial;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214.20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3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5"/>
        <w:gridCol w:w="579"/>
        <w:gridCol w:w="593"/>
        <w:gridCol w:w="126"/>
        <w:gridCol w:w="126"/>
        <w:gridCol w:w="126"/>
        <w:gridCol w:w="226"/>
        <w:gridCol w:w="764"/>
        <w:gridCol w:w="126"/>
        <w:gridCol w:w="126"/>
        <w:gridCol w:w="126"/>
        <w:gridCol w:w="126"/>
        <w:gridCol w:w="225"/>
        <w:gridCol w:w="226"/>
        <w:gridCol w:w="347"/>
        <w:gridCol w:w="126"/>
        <w:gridCol w:w="126"/>
        <w:gridCol w:w="126"/>
        <w:gridCol w:w="277"/>
        <w:gridCol w:w="278"/>
        <w:gridCol w:w="295"/>
        <w:gridCol w:w="126"/>
        <w:gridCol w:w="126"/>
        <w:gridCol w:w="126"/>
        <w:gridCol w:w="252"/>
        <w:gridCol w:w="252"/>
        <w:gridCol w:w="295"/>
        <w:gridCol w:w="154"/>
        <w:gridCol w:w="154"/>
        <w:gridCol w:w="159"/>
        <w:gridCol w:w="126"/>
        <w:gridCol w:w="126"/>
        <w:gridCol w:w="126"/>
        <w:gridCol w:w="226"/>
        <w:gridCol w:w="764"/>
        <w:gridCol w:w="126"/>
        <w:gridCol w:w="126"/>
        <w:gridCol w:w="126"/>
        <w:gridCol w:w="126"/>
        <w:gridCol w:w="225"/>
        <w:gridCol w:w="226"/>
        <w:gridCol w:w="413"/>
      </w:tblGrid>
      <w:tr>
        <w:trPr/>
        <w:tc>
          <w:tcPr>
            <w:tcW w:w="75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Systemwide US &amp; Canada Properties</w:t>
            </w:r>
          </w:p>
        </w:tc>
      </w:tr>
      <w:tr>
        <w:trPr/>
        <w:tc>
          <w:tcPr>
            <w:tcW w:w="1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 and June 30, 2025</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RevPAR</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Brand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1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JW Marriott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264.85 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352.00 </w:t>
            </w:r>
          </w:p>
        </w:tc>
        <w:tc>
          <w:tcPr>
            <w:tcW w:w="12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4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Ritz-Carlton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418.33 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595.47 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 Hotels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412.25 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Luxury</w:t>
            </w:r>
            <w:r>
              <w:rPr>
                <w:rFonts w:ascii="Arial;sans-serif" w:hAnsi="Arial;sans-serif"/>
                <w:b/>
                <w:color w:val="000000"/>
                <w:sz w:val="10"/>
              </w:rPr>
              <w:t>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335.56</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458.89</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Marriott Hotels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Sheraton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Westin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Premium</w:t>
            </w:r>
            <w:r>
              <w:rPr>
                <w:rFonts w:ascii="Arial;sans-serif" w:hAnsi="Arial;sans-serif"/>
                <w:b/>
                <w:color w:val="000000"/>
                <w:sz w:val="10"/>
              </w:rPr>
              <w:t>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168.22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72.3</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232.71</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Full-Service</w:t>
            </w:r>
            <w:r>
              <w:rPr>
                <w:rFonts w:ascii="Arial;sans-serif" w:hAnsi="Arial;sans-serif"/>
                <w:b/>
                <w:color w:val="000000"/>
                <w:sz w:val="10"/>
              </w:rPr>
              <w:t>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186.44</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72.4</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257.60</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Courtyard by Marriott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Residence Inn by Marriott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Fairfield by Marriott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144.68 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Select</w:t>
            </w:r>
            <w:r>
              <w:rPr>
                <w:rFonts w:ascii="Arial;sans-serif" w:hAnsi="Arial;sans-serif"/>
                <w:b/>
                <w:color w:val="000000"/>
                <w:sz w:val="10"/>
              </w:rPr>
              <w:t>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125.86</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167.61</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 All</w:t>
            </w:r>
            <w:r>
              <w:rPr>
                <w:rFonts w:ascii="Arial;sans-serif" w:hAnsi="Arial;sans-serif"/>
                <w:b/>
                <w:color w:val="000000"/>
                <w:sz w:val="10"/>
              </w:rPr>
              <w:t>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150.10</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202.82</w:t>
            </w: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JW Marriott, The Ritz-Carlton, W Hotels, The Luxury Collection, St. Regis, and EDITION.</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Marriott Hotels, Sheraton, Westin, Renaissance Hotels, Autograph Collection, Delta Hotels by Marriott, and Gaylord Hotels. Systemwide also includes Le Méridien and Tribute Portfolio.</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Composite US &amp; Canada Luxury and Composite US &amp; Canada Premium.</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Includes Courtyard by Marriott, Residence Inn by Marriott, Fairfield by Marriott, SpringHill Suites by Marriott, TownePlace Suites by Marriott, Four Points by Sheraton, Aloft by Marriott, Element by Marriott, AC Hotels by Marriott, and Moxy Hotels.</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Includes US &amp; Canada Full-Service and Composite US &amp; Canada Select.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7"/>
        <w:gridCol w:w="878"/>
        <w:gridCol w:w="899"/>
        <w:gridCol w:w="109"/>
        <w:gridCol w:w="109"/>
        <w:gridCol w:w="109"/>
        <w:gridCol w:w="196"/>
        <w:gridCol w:w="661"/>
        <w:gridCol w:w="109"/>
        <w:gridCol w:w="109"/>
        <w:gridCol w:w="109"/>
        <w:gridCol w:w="109"/>
        <w:gridCol w:w="233"/>
        <w:gridCol w:w="233"/>
        <w:gridCol w:w="389"/>
        <w:gridCol w:w="109"/>
        <w:gridCol w:w="109"/>
        <w:gridCol w:w="109"/>
        <w:gridCol w:w="240"/>
        <w:gridCol w:w="241"/>
        <w:gridCol w:w="256"/>
        <w:gridCol w:w="109"/>
        <w:gridCol w:w="109"/>
        <w:gridCol w:w="109"/>
        <w:gridCol w:w="217"/>
        <w:gridCol w:w="219"/>
        <w:gridCol w:w="256"/>
        <w:gridCol w:w="134"/>
        <w:gridCol w:w="134"/>
        <w:gridCol w:w="138"/>
        <w:gridCol w:w="109"/>
        <w:gridCol w:w="109"/>
        <w:gridCol w:w="109"/>
        <w:gridCol w:w="196"/>
        <w:gridCol w:w="661"/>
        <w:gridCol w:w="109"/>
        <w:gridCol w:w="109"/>
        <w:gridCol w:w="109"/>
        <w:gridCol w:w="109"/>
        <w:gridCol w:w="195"/>
        <w:gridCol w:w="196"/>
        <w:gridCol w:w="446"/>
      </w:tblGrid>
      <w:tr>
        <w:trPr/>
        <w:tc>
          <w:tcPr>
            <w:tcW w:w="100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KEY LODGING STATISTICS</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Constant $</w:t>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Company-Operated US &amp; Canada Properties</w:t>
            </w:r>
          </w:p>
        </w:tc>
      </w:tr>
      <w:tr>
        <w:trPr/>
        <w:tc>
          <w:tcPr>
            <w:tcW w:w="2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4"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 and June 30, 2025</w:t>
            </w:r>
          </w:p>
        </w:tc>
      </w:tr>
      <w:tr>
        <w:trPr/>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RevPAR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2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JW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4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Ritz-Carlton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 Hotels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Luxury</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366.94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w:t>
            </w:r>
            <w:r>
              <w:rPr>
                <w:color w:val="000000"/>
              </w:rPr>
              <w:t>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515.96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Marriott Hotels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Sheraton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Westin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Premium</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Full-Service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Courtyard by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Residence Inn by Marriott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Select</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 All</w:t>
            </w:r>
            <w:r>
              <w:rPr>
                <w:rFonts w:ascii="Arial;sans-serif" w:hAnsi="Arial;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4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1"/>
        <w:gridCol w:w="575"/>
        <w:gridCol w:w="589"/>
        <w:gridCol w:w="125"/>
        <w:gridCol w:w="125"/>
        <w:gridCol w:w="125"/>
        <w:gridCol w:w="225"/>
        <w:gridCol w:w="762"/>
        <w:gridCol w:w="125"/>
        <w:gridCol w:w="125"/>
        <w:gridCol w:w="125"/>
        <w:gridCol w:w="125"/>
        <w:gridCol w:w="268"/>
        <w:gridCol w:w="268"/>
        <w:gridCol w:w="345"/>
        <w:gridCol w:w="125"/>
        <w:gridCol w:w="125"/>
        <w:gridCol w:w="125"/>
        <w:gridCol w:w="276"/>
        <w:gridCol w:w="278"/>
        <w:gridCol w:w="295"/>
        <w:gridCol w:w="125"/>
        <w:gridCol w:w="125"/>
        <w:gridCol w:w="125"/>
        <w:gridCol w:w="224"/>
        <w:gridCol w:w="225"/>
        <w:gridCol w:w="295"/>
        <w:gridCol w:w="154"/>
        <w:gridCol w:w="154"/>
        <w:gridCol w:w="158"/>
        <w:gridCol w:w="125"/>
        <w:gridCol w:w="125"/>
        <w:gridCol w:w="125"/>
        <w:gridCol w:w="225"/>
        <w:gridCol w:w="762"/>
        <w:gridCol w:w="125"/>
        <w:gridCol w:w="125"/>
        <w:gridCol w:w="125"/>
        <w:gridCol w:w="125"/>
        <w:gridCol w:w="224"/>
        <w:gridCol w:w="225"/>
        <w:gridCol w:w="427"/>
      </w:tblGrid>
      <w:tr>
        <w:trPr/>
        <w:tc>
          <w:tcPr>
            <w:tcW w:w="75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Systemwide US &amp; Canada Properties</w:t>
            </w:r>
          </w:p>
        </w:tc>
      </w:tr>
      <w:tr>
        <w:trPr/>
        <w:tc>
          <w:tcPr>
            <w:tcW w:w="1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 and June 30, 2025</w:t>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RevPAR</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Brand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1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JW Marriott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267.89 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3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360.80 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Ritz-Carlton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419.62 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609.82 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 Hotels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Luxury</w:t>
            </w:r>
            <w:r>
              <w:rPr>
                <w:rFonts w:ascii="Arial;sans-serif" w:hAnsi="Arial;sans-serif"/>
                <w:b/>
                <w:color w:val="000000"/>
                <w:sz w:val="10"/>
              </w:rPr>
              <w:t>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338.04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71.7</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471.72</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Marriott Hotels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153.89 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Sheraton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138.80 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Westin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Premium</w:t>
            </w:r>
            <w:r>
              <w:rPr>
                <w:rFonts w:ascii="Arial;sans-serif" w:hAnsi="Arial;sans-serif"/>
                <w:b/>
                <w:color w:val="000000"/>
                <w:sz w:val="10"/>
              </w:rPr>
              <w:t>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156.91</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68.9</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227.90</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Full-Service</w:t>
            </w:r>
            <w:r>
              <w:rPr>
                <w:rFonts w:ascii="Arial;sans-serif" w:hAnsi="Arial;sans-serif"/>
                <w:b/>
                <w:color w:val="000000"/>
                <w:sz w:val="10"/>
              </w:rPr>
              <w:t>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176.64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255.41</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Courtyard by Marriott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Residence Inn by Marriott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Fairfield by Marriott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Composite US &amp; Canada Select</w:t>
            </w:r>
            <w:r>
              <w:rPr>
                <w:rFonts w:ascii="Arial;sans-serif" w:hAnsi="Arial;sans-serif"/>
                <w:b/>
                <w:color w:val="000000"/>
                <w:sz w:val="10"/>
              </w:rPr>
              <w:t>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115.02</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71.0</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162.01</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US &amp; Canada - All</w:t>
            </w:r>
            <w:r>
              <w:rPr>
                <w:rFonts w:ascii="Arial;sans-serif" w:hAnsi="Arial;sans-serif"/>
                <w:b/>
                <w:color w:val="000000"/>
                <w:sz w:val="10"/>
              </w:rPr>
              <w:t>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139.67</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70.3</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2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pts.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198.79</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JW Marriott, The Ritz-Carlton, W Hotels, The Luxury Collection, St. Regis, and EDITION.</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Marriott Hotels, Sheraton, Westin, Renaissance Hotels, Autograph Collection, Delta Hotels by Marriott, and Gaylord Hotels. Systemwide also includes Le Méridien and Tribute Portfolio.</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Composite US &amp; Canada Luxury and Composite US &amp; Canada Premium.</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Includes Courtyard by Marriott, Residence Inn by Marriott, Fairfield by Marriott, SpringHill Suites by Marriott, TownePlace Suites by Marriott, Four Points by Sheraton, Aloft by Marriott, Element by Marriott, AC Hotels by Marriott, and Moxy Hotels.</w:t>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Includes US &amp; Canada Full-Service and Composite US &amp; Canada Select.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A-11</w:t>
                      </w:r>
                    </w:p>
                  </w:txbxContent>
                </v:textbox>
                <w10:wrap type="none"/>
              </v:rect>
            </w:pict>
          </mc:Fallback>
        </mc:AlternateContent>
      </w:r>
    </w:p>
    <w:tbl>
      <w:tblPr>
        <w:tblW w:w="9880" w:type="dxa"/>
        <w:jc w:val="center"/>
        <w:tblInd w:w="0" w:type="dxa"/>
        <w:tblLayout w:type="fixed"/>
        <w:tblCellMar>
          <w:top w:w="28" w:type="dxa"/>
          <w:left w:w="28" w:type="dxa"/>
          <w:bottom w:w="28" w:type="dxa"/>
          <w:right w:w="28" w:type="dxa"/>
        </w:tblCellMar>
      </w:tblPr>
      <w:tblGrid>
        <w:gridCol w:w="782"/>
        <w:gridCol w:w="687"/>
        <w:gridCol w:w="691"/>
        <w:gridCol w:w="109"/>
        <w:gridCol w:w="109"/>
        <w:gridCol w:w="109"/>
        <w:gridCol w:w="196"/>
        <w:gridCol w:w="661"/>
        <w:gridCol w:w="109"/>
        <w:gridCol w:w="109"/>
        <w:gridCol w:w="109"/>
        <w:gridCol w:w="109"/>
        <w:gridCol w:w="263"/>
        <w:gridCol w:w="263"/>
        <w:gridCol w:w="397"/>
        <w:gridCol w:w="109"/>
        <w:gridCol w:w="109"/>
        <w:gridCol w:w="109"/>
        <w:gridCol w:w="240"/>
        <w:gridCol w:w="241"/>
        <w:gridCol w:w="256"/>
        <w:gridCol w:w="109"/>
        <w:gridCol w:w="109"/>
        <w:gridCol w:w="109"/>
        <w:gridCol w:w="263"/>
        <w:gridCol w:w="263"/>
        <w:gridCol w:w="256"/>
        <w:gridCol w:w="134"/>
        <w:gridCol w:w="134"/>
        <w:gridCol w:w="138"/>
        <w:gridCol w:w="109"/>
        <w:gridCol w:w="109"/>
        <w:gridCol w:w="109"/>
        <w:gridCol w:w="196"/>
        <w:gridCol w:w="661"/>
        <w:gridCol w:w="109"/>
        <w:gridCol w:w="109"/>
        <w:gridCol w:w="109"/>
        <w:gridCol w:w="109"/>
        <w:gridCol w:w="263"/>
        <w:gridCol w:w="263"/>
        <w:gridCol w:w="45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9880"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r>
      <w:tr>
        <w:trPr/>
        <w:tc>
          <w:tcPr>
            <w:tcW w:w="9880"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KEY LODGING STATISTICS</w:t>
            </w:r>
          </w:p>
        </w:tc>
      </w:tr>
      <w:tr>
        <w:trPr/>
        <w:tc>
          <w:tcPr>
            <w:tcW w:w="9880"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Constant $</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0"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Company-Operated International Properties</w:t>
            </w:r>
          </w:p>
        </w:tc>
      </w:tr>
      <w:tr>
        <w:trPr/>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 and June 30, 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RevPAR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2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 Pacific excluding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Caribbean &amp; 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International - All</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Worldwide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center"/>
        <w:rPr/>
      </w:pPr>
      <w:r>
        <w:rPr/>
      </w:r>
    </w:p>
    <w:tbl>
      <w:tblPr>
        <w:tblW w:w="9880" w:type="dxa"/>
        <w:jc w:val="center"/>
        <w:tblInd w:w="0" w:type="dxa"/>
        <w:tblLayout w:type="fixed"/>
        <w:tblCellMar>
          <w:top w:w="28" w:type="dxa"/>
          <w:left w:w="28" w:type="dxa"/>
          <w:bottom w:w="28" w:type="dxa"/>
          <w:right w:w="28" w:type="dxa"/>
        </w:tblCellMar>
      </w:tblPr>
      <w:tblGrid>
        <w:gridCol w:w="782"/>
        <w:gridCol w:w="687"/>
        <w:gridCol w:w="691"/>
        <w:gridCol w:w="109"/>
        <w:gridCol w:w="109"/>
        <w:gridCol w:w="109"/>
        <w:gridCol w:w="196"/>
        <w:gridCol w:w="661"/>
        <w:gridCol w:w="109"/>
        <w:gridCol w:w="109"/>
        <w:gridCol w:w="109"/>
        <w:gridCol w:w="109"/>
        <w:gridCol w:w="263"/>
        <w:gridCol w:w="263"/>
        <w:gridCol w:w="397"/>
        <w:gridCol w:w="109"/>
        <w:gridCol w:w="109"/>
        <w:gridCol w:w="109"/>
        <w:gridCol w:w="240"/>
        <w:gridCol w:w="241"/>
        <w:gridCol w:w="256"/>
        <w:gridCol w:w="109"/>
        <w:gridCol w:w="109"/>
        <w:gridCol w:w="109"/>
        <w:gridCol w:w="263"/>
        <w:gridCol w:w="263"/>
        <w:gridCol w:w="256"/>
        <w:gridCol w:w="134"/>
        <w:gridCol w:w="134"/>
        <w:gridCol w:w="138"/>
        <w:gridCol w:w="109"/>
        <w:gridCol w:w="109"/>
        <w:gridCol w:w="109"/>
        <w:gridCol w:w="196"/>
        <w:gridCol w:w="661"/>
        <w:gridCol w:w="109"/>
        <w:gridCol w:w="109"/>
        <w:gridCol w:w="109"/>
        <w:gridCol w:w="109"/>
        <w:gridCol w:w="263"/>
        <w:gridCol w:w="263"/>
        <w:gridCol w:w="45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9880"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Systemwide International Properties</w:t>
            </w:r>
          </w:p>
        </w:tc>
      </w:tr>
      <w:tr>
        <w:trPr/>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 and June 30, 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RevPAR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 Pacific excluding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Caribbean &amp; 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International - All</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-0.5</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Worldwide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80" w:type="dxa"/>
            <w:gridSpan w:val="4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Includes Europe, Middle East &amp; Africa, Greater China, Asia Pacific excluding China, and Caribbean &amp; Latin America. </w:t>
            </w:r>
          </w:p>
        </w:tc>
      </w:tr>
      <w:tr>
        <w:trPr/>
        <w:tc>
          <w:tcPr>
            <w:tcW w:w="9880" w:type="dxa"/>
            <w:gridSpan w:val="4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US &amp; Canada - All and International - All.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A-12</w:t>
                      </w:r>
                    </w:p>
                  </w:txbxContent>
                </v:textbox>
                <w10:wrap type="none"/>
              </v:rect>
            </w:pict>
          </mc:Fallback>
        </mc:AlternateContent>
      </w:r>
    </w:p>
    <w:tbl>
      <w:tblPr>
        <w:tblW w:w="9790" w:type="dxa"/>
        <w:jc w:val="left"/>
        <w:tblInd w:w="0" w:type="dxa"/>
        <w:tblLayout w:type="fixed"/>
        <w:tblCellMar>
          <w:top w:w="28" w:type="dxa"/>
          <w:left w:w="28" w:type="dxa"/>
          <w:bottom w:w="28" w:type="dxa"/>
          <w:right w:w="28" w:type="dxa"/>
        </w:tblCellMar>
      </w:tblPr>
      <w:tblGrid>
        <w:gridCol w:w="782"/>
        <w:gridCol w:w="687"/>
        <w:gridCol w:w="691"/>
        <w:gridCol w:w="109"/>
        <w:gridCol w:w="109"/>
        <w:gridCol w:w="109"/>
        <w:gridCol w:w="196"/>
        <w:gridCol w:w="661"/>
        <w:gridCol w:w="109"/>
        <w:gridCol w:w="109"/>
        <w:gridCol w:w="109"/>
        <w:gridCol w:w="109"/>
        <w:gridCol w:w="263"/>
        <w:gridCol w:w="263"/>
        <w:gridCol w:w="397"/>
        <w:gridCol w:w="109"/>
        <w:gridCol w:w="109"/>
        <w:gridCol w:w="109"/>
        <w:gridCol w:w="240"/>
        <w:gridCol w:w="241"/>
        <w:gridCol w:w="256"/>
        <w:gridCol w:w="109"/>
        <w:gridCol w:w="109"/>
        <w:gridCol w:w="109"/>
        <w:gridCol w:w="263"/>
        <w:gridCol w:w="263"/>
        <w:gridCol w:w="256"/>
        <w:gridCol w:w="134"/>
        <w:gridCol w:w="134"/>
        <w:gridCol w:w="138"/>
        <w:gridCol w:w="109"/>
        <w:gridCol w:w="109"/>
        <w:gridCol w:w="109"/>
        <w:gridCol w:w="196"/>
        <w:gridCol w:w="661"/>
        <w:gridCol w:w="109"/>
        <w:gridCol w:w="109"/>
        <w:gridCol w:w="109"/>
        <w:gridCol w:w="109"/>
        <w:gridCol w:w="218"/>
        <w:gridCol w:w="218"/>
        <w:gridCol w:w="45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9790"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MARRIOTT INTERNATIONAL, INC.</w:t>
            </w:r>
          </w:p>
        </w:tc>
      </w:tr>
      <w:tr>
        <w:trPr/>
        <w:tc>
          <w:tcPr>
            <w:tcW w:w="9790"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KEY LODGING STATISTICS</w:t>
            </w:r>
          </w:p>
        </w:tc>
      </w:tr>
      <w:tr>
        <w:trPr/>
        <w:tc>
          <w:tcPr>
            <w:tcW w:w="9790"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Constant $</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0"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Company-Operated International Properties</w:t>
            </w:r>
          </w:p>
        </w:tc>
      </w:tr>
      <w:tr>
        <w:trPr/>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 and June 30, 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RevPAR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21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 Pacific excluding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Caribbean &amp; 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International - All</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Worldwide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tbl>
      <w:tblPr>
        <w:tblW w:w="9790" w:type="dxa"/>
        <w:jc w:val="left"/>
        <w:tblInd w:w="0" w:type="dxa"/>
        <w:tblLayout w:type="fixed"/>
        <w:tblCellMar>
          <w:top w:w="28" w:type="dxa"/>
          <w:left w:w="28" w:type="dxa"/>
          <w:bottom w:w="28" w:type="dxa"/>
          <w:right w:w="28" w:type="dxa"/>
        </w:tblCellMar>
      </w:tblPr>
      <w:tblGrid>
        <w:gridCol w:w="782"/>
        <w:gridCol w:w="687"/>
        <w:gridCol w:w="691"/>
        <w:gridCol w:w="109"/>
        <w:gridCol w:w="109"/>
        <w:gridCol w:w="109"/>
        <w:gridCol w:w="196"/>
        <w:gridCol w:w="661"/>
        <w:gridCol w:w="109"/>
        <w:gridCol w:w="109"/>
        <w:gridCol w:w="109"/>
        <w:gridCol w:w="109"/>
        <w:gridCol w:w="263"/>
        <w:gridCol w:w="263"/>
        <w:gridCol w:w="397"/>
        <w:gridCol w:w="109"/>
        <w:gridCol w:w="109"/>
        <w:gridCol w:w="109"/>
        <w:gridCol w:w="240"/>
        <w:gridCol w:w="241"/>
        <w:gridCol w:w="256"/>
        <w:gridCol w:w="109"/>
        <w:gridCol w:w="109"/>
        <w:gridCol w:w="109"/>
        <w:gridCol w:w="263"/>
        <w:gridCol w:w="263"/>
        <w:gridCol w:w="256"/>
        <w:gridCol w:w="134"/>
        <w:gridCol w:w="134"/>
        <w:gridCol w:w="138"/>
        <w:gridCol w:w="109"/>
        <w:gridCol w:w="109"/>
        <w:gridCol w:w="109"/>
        <w:gridCol w:w="196"/>
        <w:gridCol w:w="661"/>
        <w:gridCol w:w="109"/>
        <w:gridCol w:w="109"/>
        <w:gridCol w:w="109"/>
        <w:gridCol w:w="109"/>
        <w:gridCol w:w="218"/>
        <w:gridCol w:w="218"/>
        <w:gridCol w:w="45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9790"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Comparable Systemwide International Properties</w:t>
            </w:r>
          </w:p>
        </w:tc>
      </w:tr>
      <w:tr>
        <w:trPr/>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3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 and June 30, 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RevPAR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Occupancy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Daily Rate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vs. 2025</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Middle East &amp; Africa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 Pacific excluding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Caribbean &amp; 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International - All</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Worldwide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0" w:type="dxa"/>
            <w:gridSpan w:val="4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Includes Europe, Middle East &amp; Africa, Greater China, Asia Pacific excluding China, and Caribbean &amp; Latin America. </w:t>
            </w:r>
          </w:p>
        </w:tc>
      </w:tr>
      <w:tr>
        <w:trPr/>
        <w:tc>
          <w:tcPr>
            <w:tcW w:w="9790" w:type="dxa"/>
            <w:gridSpan w:val="4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US &amp; Canada - All and International - All.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A-13</w:t>
                      </w:r>
                    </w:p>
                  </w:txbxContent>
                </v:textbox>
                <w10:wrap type="none"/>
              </v:rect>
            </w:pict>
          </mc:Fallback>
        </mc:AlternateContent>
      </w:r>
    </w:p>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MARRIOTT INTERNATIONAL, INC.</w:t>
            </w:r>
          </w:p>
        </w:tc>
      </w:tr>
      <w:tr>
        <w:trPr/>
        <w:tc>
          <w:tcPr>
            <w:tcW w:w="333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FINANCIAL MEASURES</w:t>
            </w:r>
          </w:p>
        </w:tc>
      </w:tr>
      <w:tr>
        <w:trPr/>
        <w:tc>
          <w:tcPr>
            <w:tcW w:w="333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r>
      <w:tr>
        <w:trPr/>
        <w:tc>
          <w:tcPr>
            <w:tcW w:w="3330"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in millions)</w:t>
            </w:r>
          </w:p>
        </w:tc>
      </w:tr>
    </w:tbl>
    <w:tbl>
      <w:tblPr>
        <w:tblW w:w="10084" w:type="dxa"/>
        <w:jc w:val="left"/>
        <w:tblInd w:w="0" w:type="dxa"/>
        <w:tblLayout w:type="fixed"/>
        <w:tblCellMar>
          <w:top w:w="28" w:type="dxa"/>
          <w:left w:w="28" w:type="dxa"/>
          <w:bottom w:w="28" w:type="dxa"/>
          <w:right w:w="28" w:type="dxa"/>
        </w:tblCellMar>
      </w:tblPr>
      <w:tblGrid>
        <w:gridCol w:w="2128"/>
        <w:gridCol w:w="1868"/>
        <w:gridCol w:w="1884"/>
        <w:gridCol w:w="196"/>
        <w:gridCol w:w="571"/>
        <w:gridCol w:w="256"/>
        <w:gridCol w:w="109"/>
        <w:gridCol w:w="109"/>
        <w:gridCol w:w="109"/>
        <w:gridCol w:w="196"/>
        <w:gridCol w:w="571"/>
        <w:gridCol w:w="256"/>
        <w:gridCol w:w="109"/>
        <w:gridCol w:w="109"/>
        <w:gridCol w:w="109"/>
        <w:gridCol w:w="109"/>
        <w:gridCol w:w="109"/>
        <w:gridCol w:w="109"/>
        <w:gridCol w:w="109"/>
        <w:gridCol w:w="196"/>
        <w:gridCol w:w="571"/>
        <w:gridCol w:w="301"/>
      </w:tblGrid>
      <w:tr>
        <w:trPr/>
        <w:tc>
          <w:tcPr>
            <w:tcW w:w="212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2026</w:t>
            </w:r>
          </w:p>
        </w:tc>
        <w:tc>
          <w:tcPr>
            <w:tcW w:w="1395" w:type="dxa"/>
            <w:gridSpan w:val="6"/>
            <w:tcBorders/>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First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Second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income, as reported</w:t>
            </w:r>
            <w:r>
              <w:rPr>
                <w:rFonts w:ascii="Arial;sans-serif" w:hAnsi="Arial;sans-serif"/>
                <w:b w:val="false"/>
                <w:color w:val="000000"/>
                <w:sz w:val="10"/>
              </w:rPr>
              <w:t>1</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reimbursement revenue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(4,844)</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(9,902)</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Reimbursed expenses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from unconsolidated joint ventures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Depreciation, amortization, and other</w:t>
            </w:r>
            <w:r>
              <w:rPr>
                <w:rFonts w:ascii="Arial;sans-serif" w:hAnsi="Arial;sans-serif"/>
                <w:b w:val="false"/>
                <w:color w:val="000000"/>
                <w:sz w:val="10"/>
              </w:rPr>
              <w:t>1</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investment amortization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classified in reimbursed expenses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Depreciation, amortization, and impairments from unconsolidated joint ventures </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merger-related charges (recoveries), and 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related to Sonder Termination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 to gain on investee’s asset disposition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EBITDA</w:t>
            </w:r>
            <w:r>
              <w:rPr>
                <w:color w:val="000000"/>
              </w:rPr>
              <w: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1,398</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1,592</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2,990</w:t>
            </w:r>
            <w:r>
              <w:rPr>
                <w:color w:val="000000"/>
              </w:rPr>
              <w:t> </w:t>
            </w:r>
          </w:p>
        </w:tc>
        <w:tc>
          <w:tcPr>
            <w:tcW w:w="3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Change from 2025 Adjusted EBITDA</w:t>
            </w:r>
            <w:r>
              <w:rPr>
                <w:color w:val="000000"/>
              </w:rPr>
              <w:t>†</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6"/>
        <w:gridCol w:w="1396"/>
        <w:gridCol w:w="1388"/>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6"/>
      </w:tblGrid>
      <w:tr>
        <w:trPr/>
        <w:tc>
          <w:tcPr>
            <w:tcW w:w="16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Fiscal Year 2025</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First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Second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Third</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Fourth </w:t>
              <w:b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as reported</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reimbursement revenue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Reimbursed expenses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from unconsolidated joint ventures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investment amortization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classified in reimbursed expenses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impairments from unconsolidated joint ventures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Restructuring and merger-related charges (recoveries), and other</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Expenses related to Sonder Termination</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Adjusted EBITDA</w:t>
            </w:r>
            <w:r>
              <w:rPr>
                <w:color w:val="000000"/>
              </w:rPr>
              <w:t>†</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1,217</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1,349</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1,402</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5,383</w:t>
            </w:r>
            <w:r>
              <w:rPr>
                <w:color w:val="000000"/>
              </w:rPr>
              <w:t>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2"/>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60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5168" w:type="dxa"/>
            <w:gridSpan w:val="12"/>
            <w:tcBorders/>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 xml:space="preserve">† </w:t>
            </w:r>
            <w:r>
              <w:rPr>
                <w:rFonts w:ascii="Arial;sans-serif" w:hAnsi="Arial;sans-serif"/>
                <w:b w:val="false"/>
                <w:color w:val="000000"/>
                <w:sz w:val="16"/>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our 2026 second quarter impairment charge of $68 million related to our sale of a U.S. &amp; Canada hotel.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76"/>
        <w:gridCol w:w="1271"/>
        <w:gridCol w:w="1280"/>
        <w:gridCol w:w="294"/>
        <w:gridCol w:w="881"/>
        <w:gridCol w:w="378"/>
        <w:gridCol w:w="151"/>
        <w:gridCol w:w="151"/>
        <w:gridCol w:w="151"/>
        <w:gridCol w:w="294"/>
        <w:gridCol w:w="881"/>
        <w:gridCol w:w="378"/>
        <w:gridCol w:w="151"/>
        <w:gridCol w:w="151"/>
        <w:gridCol w:w="151"/>
        <w:gridCol w:w="372"/>
        <w:gridCol w:w="1112"/>
        <w:gridCol w:w="282"/>
      </w:tblGrid>
      <w:tr>
        <w:trPr/>
        <w:tc>
          <w:tcPr>
            <w:tcW w:w="187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MARRIOTT INTERNATIONAL,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FINANCIAL MEASURES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 FORECAST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THIRD QUARTER 2026</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in millions)</w:t>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Range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Estimated </w:t>
              <w:br/>
              <w:t>Third Quarter 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Third Quarter 2025</w:t>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income excluding certain items</w:t>
            </w:r>
            <w:r>
              <w:rPr>
                <w:rFonts w:ascii="Arial;sans-serif" w:hAnsi="Arial;sans-serif"/>
                <w:b w:val="false"/>
                <w:color w:val="000000"/>
                <w:sz w:val="12"/>
              </w:rPr>
              <w:t>1</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740 </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from unconsolidated joint ventures</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amortization, and other</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investment amortization</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classified in reimbursed expenses</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amortization, and impairments from unconsolidated joint ventures</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EBITDA</w:t>
            </w:r>
            <w:r>
              <w:rPr>
                <w:color w:val="000000"/>
              </w:rPr>
              <w:t>†</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1,439</w:t>
            </w:r>
            <w:r>
              <w:rPr>
                <w:color w:val="000000"/>
              </w:rPr>
              <w:t> </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1,468</w:t>
            </w:r>
            <w:r>
              <w:rPr>
                <w:color w:val="000000"/>
              </w:rPr>
              <w:t> </w:t>
            </w:r>
          </w:p>
        </w:tc>
        <w:tc>
          <w:tcPr>
            <w:tcW w:w="3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1,349</w:t>
            </w:r>
            <w:r>
              <w:rPr>
                <w:color w:val="000000"/>
              </w:rPr>
              <w:t> </w:t>
            </w:r>
          </w:p>
        </w:tc>
        <w:tc>
          <w:tcPr>
            <w:tcW w:w="2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Increase over 2025 Adjusted EBITDA</w:t>
            </w:r>
            <w:r>
              <w:rPr>
                <w:color w:val="000000"/>
              </w:rPr>
              <w:t>†</w:t>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37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37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16"/>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tc>
      </w:tr>
      <w:tr>
        <w:trPr/>
        <w:tc>
          <w:tcPr>
            <w:tcW w:w="4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Forecast excludes cost reimbursement revenue, reimbursed expenses, and restructuring and merger-related recoveries/charges, and other expenses, each of which the company cannot forecast with sufficient accuracy and without unreasonable efforts, and which may be significant, except for depreciation and amortization classified in reimbursed expenses, which is included in the caption "Depreciation and amortization classified in reimbursed expenses" above. Forecast includes the impact of our sale of a U.S. &amp; Canada hotel and our investment in Lefay, each of which occurred in the 2026 second quarter. Forecast does not reflect any other potential asset sales or property or brand acquisitions that may occur during the year, each of which the company cannot forecast with sufficient accuracy and without unreasonable efforts, and which may be significant.</w:t>
            </w:r>
          </w:p>
        </w:tc>
      </w:tr>
      <w:tr>
        <w:trPr/>
        <w:tc>
          <w:tcPr>
            <w:tcW w:w="4427" w:type="dxa"/>
            <w:gridSpan w:val="3"/>
            <w:tcBorders/>
            <w:vAlign w:val="center"/>
          </w:tcPr>
          <w:p>
            <w:pPr>
              <w:pStyle w:val="TableContents"/>
              <w:bidi w:val="0"/>
              <w:spacing w:before="0" w:after="283"/>
              <w:jc w:val="left"/>
              <w:rPr>
                <w:sz w:val="4"/>
                <w:szCs w:val="4"/>
              </w:rPr>
            </w:pPr>
            <w:r>
              <w:rPr>
                <w:sz w:val="4"/>
                <w:szCs w:val="4"/>
              </w:rPr>
            </w:r>
          </w:p>
        </w:tc>
        <w:tc>
          <w:tcPr>
            <w:tcW w:w="5778"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17"/>
        <w:gridCol w:w="1308"/>
        <w:gridCol w:w="1316"/>
        <w:gridCol w:w="298"/>
        <w:gridCol w:w="892"/>
        <w:gridCol w:w="383"/>
        <w:gridCol w:w="153"/>
        <w:gridCol w:w="153"/>
        <w:gridCol w:w="153"/>
        <w:gridCol w:w="298"/>
        <w:gridCol w:w="892"/>
        <w:gridCol w:w="383"/>
        <w:gridCol w:w="153"/>
        <w:gridCol w:w="153"/>
        <w:gridCol w:w="153"/>
        <w:gridCol w:w="337"/>
        <w:gridCol w:w="1008"/>
        <w:gridCol w:w="255"/>
      </w:tblGrid>
      <w:tr>
        <w:trPr/>
        <w:tc>
          <w:tcPr>
            <w:tcW w:w="191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MARRIOTT INTERNATIONAL, INC.</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NON-GAAP FINANCIAL MEASURES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 FORECAST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FULL YEAR 2026</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in millions)</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Range</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Estimated </w:t>
              <w:br/>
              <w:t>Full Year 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Full Year 2025</w:t>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income excluding certain items</w:t>
            </w:r>
            <w:r>
              <w:rPr>
                <w:rFonts w:ascii="Arial;sans-serif" w:hAnsi="Arial;sans-serif"/>
                <w:b w:val="false"/>
                <w:color w:val="000000"/>
                <w:sz w:val="12"/>
              </w:rPr>
              <w:t>1, 2</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3,007 </w:t>
            </w:r>
          </w:p>
        </w:tc>
        <w:tc>
          <w:tcPr>
            <w:tcW w:w="3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3,051 </w:t>
            </w:r>
          </w:p>
        </w:tc>
        <w:tc>
          <w:tcPr>
            <w:tcW w:w="3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from unconsolidated joint ventures</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Depreciation, amortization, and other</w:t>
            </w:r>
            <w:r>
              <w:rPr>
                <w:rFonts w:ascii="Arial;sans-serif" w:hAnsi="Arial;sans-serif"/>
                <w:b w:val="false"/>
                <w:color w:val="000000"/>
                <w:sz w:val="12"/>
              </w:rPr>
              <w:t>2</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investment amortization</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classified in reimbursed expenses</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amortization, and impairments from unconsolidated joint ventures</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related to Sonder Termination</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Adjustment to gain on investee’s asset disposition</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EBITDA</w:t>
            </w:r>
            <w:r>
              <w:rPr>
                <w:color w:val="000000"/>
              </w:rPr>
              <w:t>†</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5,965</w:t>
            </w:r>
            <w:r>
              <w:rPr>
                <w:color w:val="000000"/>
              </w:rPr>
              <w:t> </w:t>
            </w:r>
          </w:p>
        </w:tc>
        <w:tc>
          <w:tcPr>
            <w:tcW w:w="3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6,025</w:t>
            </w:r>
            <w:r>
              <w:rPr>
                <w:color w:val="000000"/>
              </w:rPr>
              <w:t> </w:t>
            </w:r>
          </w:p>
        </w:tc>
        <w:tc>
          <w:tcPr>
            <w:tcW w:w="3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5,383</w:t>
            </w:r>
            <w:r>
              <w:rPr>
                <w:color w:val="000000"/>
              </w:rPr>
              <w:t> </w:t>
            </w:r>
          </w:p>
        </w:tc>
        <w:tc>
          <w:tcPr>
            <w:tcW w:w="2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Increase over 2025 Adjusted EBITDA</w:t>
            </w:r>
            <w:r>
              <w:rPr>
                <w:color w:val="000000"/>
              </w:rPr>
              <w:t>†</w:t>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Arial;sans-serif" w:hAnsi="Arial;sans-serif"/>
                <w:b w:val="false"/>
                <w:color w:val="000000"/>
                <w:sz w:val="16"/>
              </w:rPr>
              <w:t>Denotes non-GAAP financial measures. Please see the Explanation of Non-GAAP Financial and Performance Measures section in these press release schedules for information about our reasons for providing these alternative financial measures and the limitations on their use.</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Forecast excludes cost reimbursement revenue, reimbursed expenses, and restructuring and merger-related recoveries/charges, and other expenses, each of which the company cannot forecast with sufficient accuracy and without unreasonable efforts, and which may be significant, except for depreciation and amortization classified in reimbursed expenses, which is included in the caption "Depreciation and amortization classified in reimbursed expenses" above. Forecast includes the impact of our sale of a U.S. &amp; Canada hotel and our investment in Lefay, each of which occurred in the 2026 second quarter. Forecast does not reflect any other potential asset sales or property or brand acquisitions that may occur during the year, each of which the company cannot forecast with sufficient accuracy and without unreasonable efforts, and which may be significant.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our 2026 second quarter impairment charge of $68 million related to the sale of a U.S. &amp; Canada hotel.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INTERNATIONAL,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EXPLANATION OF NON-GAAP FINANCIAL AND PERFORMANCE MEASURES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17"/>
        </w:rPr>
        <w:t>In our press release and schedules, on the related conference call, and in the infographic made available in connection with our press release, we report certain financial measures that are not required by, or presented in accordance with, United States generally accepted accounting principles (</w:t>
      </w:r>
      <w:r>
        <w:rPr>
          <w:color w:val="000000"/>
        </w:rPr>
        <w:t>“</w:t>
      </w:r>
      <w:r>
        <w:rPr>
          <w:rFonts w:ascii="Arial;sans-serif" w:hAnsi="Arial;sans-serif"/>
          <w:b w:val="false"/>
          <w:color w:val="000000"/>
          <w:sz w:val="17"/>
        </w:rPr>
        <w:t>GAAP</w:t>
      </w:r>
      <w:r>
        <w:rPr>
          <w:color w:val="000000"/>
        </w:rPr>
        <w:t>”</w:t>
      </w:r>
      <w:r>
        <w:rPr>
          <w:rFonts w:ascii="Arial;sans-serif" w:hAnsi="Arial;sans-serif"/>
          <w:b w:val="false"/>
          <w:color w:val="000000"/>
          <w:sz w:val="17"/>
        </w:rPr>
        <w:t>). These non-GAAP financial measures are labeled as “Adjusted” and/or identified with the symbol “†”. We discuss the manner in which the non-GAAP measures reported in this press release, schedules, and infographic are determined and management’s reasons for reporting these non-GAAP measures below, and the press release schedules reconcile each to the most directly comparable GAAP measures (with respect to the forward-looking non-GAAP measures, to the extent available without unreasonable efforts). Although management evaluates and presents these non-GAAP measures for the reasons described below, please be aware that these non-GAAP measures have limitations and should not be considered in isolation or as a substitute for revenue, operating income, net income, earnings per share, or any other comparable operating measure prescribed by GAAP. In addition, we may calculate and/or present these non-GAAP financial measures differently than measures with the same or similar names that other companies report, and as a result, the non-GAAP measures we report may not be comparable to those reported by others.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7"/>
        </w:rPr>
        <w:t>Adjusted Operating Income and Adjusted Operating Income Margin.</w:t>
      </w:r>
      <w:r>
        <w:rPr>
          <w:color w:val="000000"/>
        </w:rPr>
        <w:t> </w:t>
      </w:r>
      <w:r>
        <w:rPr>
          <w:rFonts w:ascii="Arial;sans-serif" w:hAnsi="Arial;sans-serif"/>
          <w:b w:val="false"/>
          <w:color w:val="000000"/>
          <w:sz w:val="17"/>
        </w:rPr>
        <w:t>Adjusted operating income excludes cost reimbursement revenue, reimbursed expenses, and restructuring and merger-related recoveries/charges, and other expenses. When applicable, Adjusted operating income also excludes certain non-cash impairment charges as well as impairment charges and expenses/adjustments related to the Sonder Termination. Adjusted total revenues excludes cost reimbursement revenue as well as, when applicable, certain non-cash impairment charges and impairment charges related to the Sonder Termination. Adjusted operating income margin reflects Adjusted operating income divided by Adjusted total revenues. We believe that these are meaningful metrics because they allow for period-over-period comparisons of our ongoing operations before these items and for the reasons further described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7"/>
        </w:rPr>
        <w:t xml:space="preserve">Adjusted Net Income, Adjusted Diluted Earnings Per Share, and Adjusted Effective Tax Rate. </w:t>
      </w:r>
      <w:r>
        <w:rPr>
          <w:rFonts w:ascii="Arial;sans-serif" w:hAnsi="Arial;sans-serif"/>
          <w:b w:val="false"/>
          <w:color w:val="000000"/>
          <w:sz w:val="17"/>
        </w:rPr>
        <w:t>Adjusted net income, Adjusted diluted earnings per share, and Adjusted effective tax rate reflect our net income, diluted earnings per share, and effective tax rate, respectively, excluding the impact of cost reimbursement revenue, reimbursed expenses, restructuring and merger-related recoveries/charges, and other expenses, as well as, when applicable, certain non-cash impairment charges, gains and losses on asset dispositions made by us or by our joint venture investees (if above a specified threshold), and impairment charges and expenses/adjustments related to the Sonder Termination. Additionally, Adjusted net income, Adjusted diluted earnings per share, and Adjusted effective tax rate exclude the income tax effect of the above items (calculated using an estimated tax rate applicable to each item) and income tax special items, which in 2025 primarily related to the release of tax reserves. We believe that these measures are meaningful indicators of our performance because they allow for period-over-period comparisons of our ongoing operations before these items and for the reasons further described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7"/>
        </w:rPr>
        <w:t>Adjusted Earnings Before Interest Expense, Taxes, Depreciation and Amortization (“Adjusted EBITDA”).</w:t>
      </w:r>
      <w:r>
        <w:rPr>
          <w:color w:val="000000"/>
        </w:rPr>
        <w:t xml:space="preserve"> </w:t>
      </w:r>
      <w:r>
        <w:rPr>
          <w:rFonts w:ascii="Arial;sans-serif" w:hAnsi="Arial;sans-serif"/>
          <w:b w:val="false"/>
          <w:color w:val="000000"/>
          <w:sz w:val="17"/>
        </w:rPr>
        <w:t>Adjusted EBITDA reflects net income excluding the impact of the following items: cost reimbursement revenue and reimbursed expenses, interest expense, depreciation and amortization (including non-cash impairment charges), provision for income taxes, restructuring and merger-related recoveries/charges, and other expenses, and stock-based compensation expense for all periods presented. When applicable, Adjusted EBITDA also excludes gains and losses on asset dispositions made by us or by our joint venture investees (if above a specified threshold). In addition, Adjusted EBITDA excludes impairment charges and expenses/adjustments related to the Sonder Termination.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In our presentations of Adjusted operating income and Adjusted operating income margin, Adjusted net income and Adjusted diluted earnings per share, Adjusted effective tax rate, and Adjusted EBITDA, we exclude restructuring and merger-related recoveries/charges as well as charges related to legal proceedings that are outside of the ordinary course of our business, both of which we record in the “Restructuring and merger-related (recoveries) charges, and other” caption of our Consolidated Statements of Income (our “Income Statements”). We also exclude 2025 fourth quarter impairment charges and expenses as well as subsequent adjustments related to the Sonder Termination, which we record in the “Contract investment amortization” and “Owned, leased, and other expense” captions of our Income Statements, as they are related to the cessation of operations of an entire brand, which is a nonrecurring event. In addition, we exclude non-cash impairment charges (if above a specified threshold) related to our franchise and management contracts (if the impairment is non-routine), leases, equity investments, and other capitalized assets, which we record in the “Contract investment amortization,” “Depreciation, amortization, and other,” and “Equity in (losses) earnings” captions of our Income Statements. These adjustments allow for period-over-period comparisons of our ongoing operations before the impact of these items. We exclude cost reimbursement revenue and reimbursed expenses, which relate to property-level and centralized programs and services that we operate for the benefit of our hotel owners and certain other counterparties, and for which we receive reimbursement under our agreements with hotel owners and certain other counterparties with no added mark-up. We do not operate these property-level and centralized programs and services to generate a profit over the long term, and accordingly, when we recover the costs that we incur for these programs and services from our hotel owners and certain other counterparties, we do not seek a mark-up. For property-level services, we recognize cost reimbursement revenue at the same time that we incur expenses, and property-level services have no net impact on our Income Statements in the reporting period. However, for centralized programs and services, we may be reimbursed before or after we incur expenses, causing timing differences between the costs we incur and the related reimbursement from hotel owners and certain other counterparties in our operating and net income. Over the long term, these programs and services are not designed to impact our economics, either positively or negatively. Because we do not retain any such profits or losses over time, we exclude the net impact when evaluating period-over-period changes in our operating results.</w:t>
      </w:r>
    </w:p>
    <w:p>
      <w:pPr>
        <w:pStyle w:val="TextBody"/>
        <w:bidi w:val="0"/>
        <w:spacing w:before="60" w:after="283"/>
        <w:jc w:val="left"/>
        <w:rPr/>
      </w:pPr>
      <w:r>
        <w:rPr/>
      </w:r>
    </w:p>
    <w:p>
      <w:pPr>
        <w:pStyle w:val="TextBody"/>
        <w:bidi w:val="0"/>
        <w:spacing w:lineRule="auto" w:line="288"/>
        <w:jc w:val="left"/>
        <w:rPr>
          <w:rFonts w:ascii="Arial;sans-serif" w:hAnsi="Arial;sans-serif"/>
          <w:b w:val="false"/>
          <w:color w:val="000000"/>
          <w:sz w:val="17"/>
        </w:rPr>
      </w:pPr>
      <w:r>
        <w:rPr>
          <w:rFonts w:ascii="Arial;sans-serif" w:hAnsi="Arial;sans-serif"/>
          <w:b w:val="false"/>
          <w:color w:val="000000"/>
          <w:sz w:val="17"/>
        </w:rPr>
        <w:t xml:space="preserve">We believe that Adjusted EBITDA is a meaningful indicator of our operating performance because it permits period-over-period comparisons of our ongoing operations before these items. Our use of Adjusted EBITDA also facilitates comparison with results from other lodging companies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MARRIOTT INTERNATIONAL,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EXPLANATION OF NON-GAAP FINANCIAL AND PERFORMANCE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advantage of tax benefits and because of the tax policies of the jurisdictions in which they operate. As a result, effective tax rates and provisions for income taxes can vary considerably among companies. Our Adjusted EBITDA also excludes depreciation and amortization expense, which we report under “Depreciation, amortization, and other” as well as depreciation and amortization classified in “Contract investment amortization,” “Reimbursed expenses,” and “Equity in earnings” of our Income Statements, because companies utilize productive assets of different ages and use different methods of both acquiring and depreciating productive assets. Depreciation and amortization classified in “Reimbursed expenses” reflects depreciation and amortization of Marriott-owned assets, for which we receive cash from hotel owners and certain other counterparties to reimburse the company for its investments made for the benefit of the system. These differences can result in considerable variability in the relative costs of productive assets and the depreciation and amortization expense among companies. We exclude stock-based compensation expense in all periods presented to address the considerable variability among companies in recording compensation expense because companies use stock-based payment awards differently, both in the type and quantity of awards granted.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7"/>
        </w:rPr>
        <w:t xml:space="preserve">RevPAR. </w:t>
      </w:r>
      <w:r>
        <w:rPr>
          <w:rFonts w:ascii="Arial;sans-serif" w:hAnsi="Arial;sans-serif"/>
          <w:b w:val="false"/>
          <w:color w:val="000000"/>
          <w:sz w:val="17"/>
        </w:rPr>
        <w:t>In addition to the foregoing non-GAAP financial measures, we present Revenue per Available Room (“RevPAR”) as a performance measure. We believe RevPAR, which we calculate by dividing property level room revenue by total rooms available for the period, is a meaningful indicator of our performance because it measures the period-over-period change in room revenues. RevPAR may not be comparable to similarly titled measures, such as revenues, and should not be viewed as necessarily correlating with our fee revenue. We also believe occupancy and average daily rate (“ADR”), which are components of calculating RevPAR, are meaningful indicators of our performance. Occupancy, which we calculate by dividing total rooms sold by total rooms available for the period, measures the utilization of a property’s available capacity. ADR, which we calculate by dividing property level room revenue by total rooms sold, measures average room price and is useful in assessing pricing levels. Comparisons to prior periods are on a constant U.S. dollar basis, which we calculate by applying exchange rates for the current period to the prior comparable period. We believe constant dollar analysis provides valuable information regarding the performance of hotels in our system as it removes currency fluctuations from the presentation of such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We define our comparable properties as hotels in our system that were open and operating under one of our brands since the beginning of the last full calendar year (since January 1, 2025 for the current period) and have not, in either the current or previous year: (1) undergone significant room or public space renovations or expansions, (2) been converted between company-operated and franchised, or (3) sustained substantial property damage or business interruption. Our comparable properties also exclude MGM Collection with Marriott Bonvoy, Design Hotels, The Ritz-Carlton Yacht Collection, residences, timeshare, and all-inclusive properties.</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7"/>
        </w:rPr>
        <w:t>We use the term “hotel owners” throughout these schedules to refer, collectively, to owners of hotels and other lodging offerings operating in our system pursuant to franchise agreements, management agreements, license agreements, or similar arrangements, and we use the term “hotels in our system” to refer to hotels and other lodging offerings operating in our system pursuant to such arrangements, as well as hotels that we own or lease. The terms “hotel owners” and “hotels in our system” exclude Homes &amp; Villas by Marriott Bonvoy</w:t>
      </w:r>
      <w:r>
        <w:rPr>
          <w:rFonts w:ascii="Arial;sans-serif" w:hAnsi="Arial;sans-serif"/>
          <w:b w:val="false"/>
          <w:color w:val="000000"/>
          <w:sz w:val="11"/>
        </w:rPr>
        <w:t>SM</w:t>
      </w:r>
      <w:r>
        <w:rPr>
          <w:color w:val="000000"/>
        </w:rPr>
        <w:t xml:space="preserve"> </w:t>
      </w:r>
      <w:r>
        <w:rPr>
          <w:rFonts w:ascii="Arial;sans-serif" w:hAnsi="Arial;sans-serif"/>
          <w:b w:val="false"/>
          <w:color w:val="000000"/>
          <w:sz w:val="17"/>
        </w:rPr>
        <w:t>(which we also exclude from our property and room count), timeshare, residential, and The Ritz-Carlton Yacht Collection</w:t>
      </w:r>
      <w:r>
        <w:rPr>
          <w:rFonts w:ascii="Arial;sans-serif" w:hAnsi="Arial;sans-serif"/>
          <w:b/>
          <w:color w:val="000000"/>
          <w:sz w:val="11"/>
        </w:rPr>
        <w:t>®</w:t>
      </w:r>
      <w:r>
        <w:rPr>
          <w:rFonts w:ascii="Arial;sans-serif" w:hAnsi="Arial;sans-serif"/>
          <w:b w:val="false"/>
          <w:color w:val="000000"/>
          <w:sz w:val="17"/>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10778</Words>
  <Characters>57447</Characters>
  <CharactersWithSpaces>67059</CharactersWithSpaces>
  <Paragraphs>3453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