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5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MARRIOT INTERNATIONAL,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571903202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spacing w:after="0" w:line="4" w:lineRule="exact"/>
        <w:rPr>
          <w:sz w:val="24"/>
          <w:szCs w:val="24"/>
          <w:color w:val="auto"/>
        </w:rPr>
      </w:pPr>
    </w:p>
    <w:p>
      <w:pPr>
        <w:ind w:right="505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Montag &amp; Caldwell, Inc.</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tabs>
          <w:tab w:leader="none" w:pos="104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OF PLACE OF ORGANIZATION</w:t>
      </w:r>
    </w:p>
    <w:p>
      <w:pPr>
        <w:spacing w:after="0" w:line="238" w:lineRule="auto"/>
        <w:rPr>
          <w:sz w:val="20"/>
          <w:szCs w:val="20"/>
          <w:color w:val="auto"/>
        </w:rPr>
      </w:pPr>
      <w:r>
        <w:rPr>
          <w:rFonts w:ascii="Courier New" w:cs="Courier New" w:eastAsia="Courier New" w:hAnsi="Courier New"/>
          <w:sz w:val="18"/>
          <w:szCs w:val="18"/>
          <w:color w:val="auto"/>
        </w:rPr>
        <w:t>Atlanta GA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SOLE VOTING POWER</w:t>
      </w:r>
    </w:p>
    <w:p>
      <w:pPr>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 SHARED VOTING POWER</w:t>
      </w:r>
    </w:p>
    <w:p>
      <w:pPr>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 SOLE DISPOSITIVE POWER</w:t>
      </w:r>
    </w:p>
    <w:p>
      <w:pPr>
        <w:spacing w:after="0" w:line="238" w:lineRule="auto"/>
        <w:rPr>
          <w:sz w:val="20"/>
          <w:szCs w:val="20"/>
          <w:color w:val="auto"/>
        </w:rPr>
      </w:pPr>
      <w:r>
        <w:rPr>
          <w:rFonts w:ascii="Courier New" w:cs="Courier New" w:eastAsia="Courier New" w:hAnsi="Courier New"/>
          <w:sz w:val="18"/>
          <w:szCs w:val="18"/>
          <w:color w:val="auto"/>
        </w:rPr>
        <w:t>Yes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 SHARED DISPOSITIVE POWER</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right="3159"/>
        <w:spacing w:after="0" w:line="290" w:lineRule="auto"/>
        <w:rPr>
          <w:sz w:val="20"/>
          <w:szCs w:val="20"/>
          <w:color w:val="auto"/>
        </w:rPr>
      </w:pPr>
      <w:r>
        <w:rPr>
          <w:rFonts w:ascii="Courier New" w:cs="Courier New" w:eastAsia="Courier New" w:hAnsi="Courier New"/>
          <w:sz w:val="16"/>
          <w:szCs w:val="16"/>
          <w:color w:val="auto"/>
        </w:rPr>
        <w:t>9 AGGREGATE AMOUNT BENEFICIALLY OWNED BY EACH REPORTING PERSON Montag &amp; Caldwell, Inc. Total shares as of 12-31-00 are 17,561,637</w:t>
      </w:r>
    </w:p>
    <w:p>
      <w:pPr>
        <w:spacing w:after="0" w:line="170"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N/A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38" w:lineRule="auto"/>
        <w:rPr>
          <w:sz w:val="20"/>
          <w:szCs w:val="20"/>
          <w:color w:val="auto"/>
        </w:rPr>
      </w:pPr>
      <w:r>
        <w:rPr>
          <w:rFonts w:ascii="Courier New" w:cs="Courier New" w:eastAsia="Courier New" w:hAnsi="Courier New"/>
          <w:sz w:val="18"/>
          <w:szCs w:val="18"/>
          <w:color w:val="auto"/>
        </w:rPr>
        <w:t>IA (Investment Advisor)</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 Instructions. A. Statements containing the information required by this Schedule shall be filed not later than February 14 following the calendar year covered by the statement or within the time specified in Rule 13d-1(b)(2), if applicable.</w:t>
      </w:r>
    </w:p>
    <w:p>
      <w:pPr>
        <w:sectPr>
          <w:pgSz w:w="11900" w:h="16854" w:orient="portrait"/>
          <w:cols w:equalWidth="0" w:num="1">
            <w:col w:w="10219"/>
          </w:cols>
          <w:pgMar w:left="240" w:top="244" w:right="1440" w:bottom="0" w:gutter="0" w:footer="0" w:header="0"/>
        </w:sectPr>
      </w:pPr>
    </w:p>
    <w:bookmarkStart w:id="1" w:name="page2"/>
    <w:bookmarkEnd w:id="1"/>
    <w:p>
      <w:pPr>
        <w:ind w:right="1679" w:firstLine="843"/>
        <w:spacing w:after="0" w:line="237" w:lineRule="auto"/>
        <w:rPr>
          <w:sz w:val="20"/>
          <w:szCs w:val="20"/>
          <w:color w:val="auto"/>
        </w:rPr>
      </w:pPr>
      <w:r>
        <w:rPr>
          <w:rFonts w:ascii="Courier New" w:cs="Courier New" w:eastAsia="Courier New" w:hAnsi="Courier New"/>
          <w:sz w:val="18"/>
          <w:szCs w:val="18"/>
          <w:color w:val="auto"/>
        </w:rPr>
        <w:t>B. Information contained in a form which is required to be filed by rules under Section 13(f) of the Act for the same calendar year as that covered by a statement on this Schedule ma be incorporated by reference in response to any of the items of this Schedule. If such information is incorporated by reference in this Schedule, copies of the relevant pages of such form shall be filed as an exhibit to this Schedule.</w:t>
      </w:r>
    </w:p>
    <w:p>
      <w:pPr>
        <w:spacing w:after="0" w:line="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C.The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MARRIOT INTERNATIONAL,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1040 FERNWOOD ROAD BETHESDA MD 20817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38" w:lineRule="auto"/>
        <w:rPr>
          <w:sz w:val="20"/>
          <w:szCs w:val="20"/>
          <w:color w:val="auto"/>
        </w:rPr>
      </w:pPr>
      <w:r>
        <w:rPr>
          <w:rFonts w:ascii="Courier New" w:cs="Courier New" w:eastAsia="Courier New" w:hAnsi="Courier New"/>
          <w:sz w:val="18"/>
          <w:szCs w:val="18"/>
          <w:color w:val="auto"/>
        </w:rPr>
        <w:t>MONTAG &amp; CALDWELL,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3455 PEACHTREE ROAD, NE SUITE 1200 ATLANTA GA 30326-3248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571903202</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 :</w:t>
      </w: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 Broker of Dealer registered under Section 15 of the Act</w:t>
      </w: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 Bank as defined in section 3(a)(6) of the Act</w:t>
      </w: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30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right="167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Investment Adviser registered under section 204 of the Investment Advisers Act of 1940</w:t>
      </w:r>
    </w:p>
    <w:p>
      <w:pPr>
        <w:spacing w:after="0" w:line="5"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Rule 13d-1(b)(1)(ii)(F)</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 Parent Holding Company, in accordance with Rule 13d-</w:t>
      </w:r>
    </w:p>
    <w:p>
      <w:pPr>
        <w:spacing w:after="0" w:line="202"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 Group, in accordance with Rule 13d-1(b)(1)(ii)(H)</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If the percent of the class owned, as of December 31 of the year covered by the statement, or as of the last day of any month described in Rule 13d-1(b)(2), if applicable, exceeds five percent, provide the following information as of that date and identify those shares which there is a right to acquire.</w:t>
      </w:r>
    </w:p>
    <w:p>
      <w:pPr>
        <w:spacing w:after="0" w:line="1" w:lineRule="exact"/>
        <w:rPr>
          <w:sz w:val="20"/>
          <w:szCs w:val="20"/>
          <w:color w:val="auto"/>
        </w:rPr>
      </w:pPr>
    </w:p>
    <w:p>
      <w:pPr>
        <w:ind w:right="705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17,561,637</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rPr>
          <w:sz w:val="20"/>
          <w:szCs w:val="20"/>
          <w:color w:val="auto"/>
        </w:rPr>
      </w:pPr>
      <w:r>
        <w:rPr>
          <w:rFonts w:ascii="Courier New" w:cs="Courier New" w:eastAsia="Courier New" w:hAnsi="Courier New"/>
          <w:sz w:val="18"/>
          <w:szCs w:val="18"/>
          <w:color w:val="auto"/>
        </w:rPr>
        <w:t>7.3%</w:t>
      </w:r>
    </w:p>
    <w:p>
      <w:pPr>
        <w:spacing w:after="0" w:line="237" w:lineRule="auto"/>
        <w:rPr>
          <w:sz w:val="20"/>
          <w:szCs w:val="20"/>
          <w:color w:val="auto"/>
        </w:rPr>
      </w:pPr>
      <w:r>
        <w:rPr>
          <w:rFonts w:ascii="Courier New" w:cs="Courier New" w:eastAsia="Courier New" w:hAnsi="Courier New"/>
          <w:sz w:val="18"/>
          <w:szCs w:val="18"/>
          <w:color w:val="auto"/>
        </w:rPr>
        <w:t>(c) Number of shares as to which such person has:</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vote....................0</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ind w:left="640" w:hanging="632"/>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of.....17,561,637</w:t>
      </w:r>
    </w:p>
    <w:p>
      <w:pPr>
        <w:spacing w:after="0" w:line="4" w:lineRule="exact"/>
        <w:rPr>
          <w:rFonts w:ascii="Courier New" w:cs="Courier New" w:eastAsia="Courier New" w:hAnsi="Courier New"/>
          <w:sz w:val="18"/>
          <w:szCs w:val="18"/>
          <w:color w:val="auto"/>
        </w:rPr>
      </w:pPr>
    </w:p>
    <w:p>
      <w:pPr>
        <w:ind w:right="1999" w:firstLine="8"/>
        <w:spacing w:after="0" w:line="236"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of....0 Instruction: For computations regarding securities which represent a right to acquire an underlying security see Rule 13d-3(d)(1).</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Ownership of Five Percent or Less of a Class.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being filed to report the fact that as of the date hereof</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the reporting</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person has ceased</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to be the beneficial owner of more than five</w:t>
            </w: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percent of the class of securities, check the following  |</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Instruction:</w:t>
            </w:r>
          </w:p>
        </w:tc>
        <w:tc>
          <w:tcPr>
            <w:tcW w:w="7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Dissolution of a group requires a response to this item.</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6.  Ownership of More than</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Five Percent on Behalf of Another Person.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If any other person is known to</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have the right to receive or</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power to direct</w:t>
            </w: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 from, or the proceeds from the sale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such</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a</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statement to that</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effect should be included in</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response to this</w:t>
            </w: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item and, if such interest relates to more than five percent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class, such</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should</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 identified.  A</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listing of the shareholders of an investment</w:t>
            </w:r>
          </w:p>
        </w:tc>
      </w:tr>
    </w:tbl>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company registered under the Investment Company Act of 1940 or the beneficiaries of employee benefit plan, pension fund or endowment fund is not required.</w:t>
      </w: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 Rule 13d-</w:t>
      </w:r>
    </w:p>
    <w:p>
      <w:pPr>
        <w:sectPr>
          <w:pgSz w:w="11900" w:h="16838" w:orient="portrait"/>
          <w:cols w:equalWidth="0" w:num="1">
            <w:col w:w="10219"/>
          </w:cols>
          <w:pgMar w:left="240" w:top="142" w:right="1440" w:bottom="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1(b)(ii)(G), so indicate under Item 3(g) and attach an exhibit stating the identity and the Item 3 classification of the relevant subsidiary. If a parent holding company has filed this Schedule pursuant tot rule 13d-1(c), attach an exhibit stating the identification of the relevant subsidiary. Item 8. Identification and Classification of Members of the Group.</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a group may be furnished as an exhibit stating the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dissolution and that all further filings with respect to transactions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security reported on will be filed, if required, by members of the group, in</w:t>
      </w:r>
    </w:p>
    <w:p>
      <w:pPr>
        <w:spacing w:after="0" w:line="16"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their individual capacity.</w:t>
      </w:r>
      <w:r>
        <w:rPr>
          <w:sz w:val="20"/>
          <w:szCs w:val="20"/>
          <w:color w:val="auto"/>
        </w:rPr>
        <w:tab/>
      </w:r>
      <w:r>
        <w:rPr>
          <w:rFonts w:ascii="Courier New" w:cs="Courier New" w:eastAsia="Courier New" w:hAnsi="Courier New"/>
          <w:sz w:val="16"/>
          <w:szCs w:val="16"/>
          <w:color w:val="auto"/>
        </w:rPr>
        <w:t>See Item 5.</w:t>
      </w: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 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E. Canakaris / CEO and President</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person),evidence of the representative's authority to sign on behalf of such person shall be filed with the statement, provided, however, that a power of attorney for this purpose which is already on file with the Commission may be incorporated by reference.</w:t>
      </w:r>
    </w:p>
    <w:p>
      <w:pPr>
        <w:spacing w:after="0" w:line="9"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The name and any title of each person who signs the statement shall be typed or printed beneath his signature.</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w:t>
      </w:r>
    </w:p>
    <w:p>
      <w:pPr>
        <w:spacing w:after="0" w:line="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S.%1."/>
      <w:numFmt w:val="upperLetter"/>
      <w:start w:val="19"/>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8"/>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2019-12-14T18:36:36Z</dcterms:created>
  <dcterms:modified xsi:type="dcterms:W3CDTF">2019-12-14T18:36:36Z</dcterms:modified>
</cp:coreProperties>
</file>