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260" w:right="3079" w:hanging="4918"/>
        <w:spacing w:after="0" w:line="274" w:lineRule="auto"/>
        <w:rPr>
          <w:sz w:val="20"/>
          <w:szCs w:val="20"/>
          <w:color w:val="auto"/>
        </w:rPr>
      </w:pPr>
      <w:r>
        <w:rPr>
          <w:rFonts w:ascii="Courier New" w:cs="Courier New" w:eastAsia="Courier New" w:hAnsi="Courier New"/>
          <w:sz w:val="14"/>
          <w:szCs w:val="14"/>
          <w:color w:val="auto"/>
        </w:rPr>
        <w:t>As filed with the Securities and Exchange Commission on March 20, 1998 Registration No. 333-</w:t>
      </w:r>
    </w:p>
    <w:p>
      <w:pPr>
        <w:spacing w:after="0" w:line="152" w:lineRule="exact"/>
        <w:rPr>
          <w:sz w:val="24"/>
          <w:szCs w:val="24"/>
          <w:color w:val="auto"/>
        </w:rPr>
      </w:pPr>
    </w:p>
    <w:p>
      <w:pPr>
        <w:ind w:left="204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 w:lineRule="exact"/>
        <w:rPr>
          <w:sz w:val="24"/>
          <w:szCs w:val="24"/>
          <w:color w:val="auto"/>
        </w:rPr>
      </w:pPr>
    </w:p>
    <w:p>
      <w:pPr>
        <w:ind w:left="2580"/>
        <w:spacing w:after="0"/>
        <w:tabs>
          <w:tab w:leader="none" w:pos="4000" w:val="left"/>
        </w:tabs>
        <w:rPr>
          <w:sz w:val="20"/>
          <w:szCs w:val="20"/>
          <w:color w:val="auto"/>
        </w:rPr>
      </w:pPr>
      <w:r>
        <w:rPr>
          <w:rFonts w:ascii="Courier New" w:cs="Courier New" w:eastAsia="Courier New" w:hAnsi="Courier New"/>
          <w:sz w:val="15"/>
          <w:szCs w:val="15"/>
          <w:color w:val="auto"/>
        </w:rPr>
        <w:t>WASHINGTON, DC</w:t>
      </w:r>
      <w:r>
        <w:rPr>
          <w:sz w:val="20"/>
          <w:szCs w:val="20"/>
          <w:color w:val="auto"/>
        </w:rPr>
        <w:tab/>
      </w:r>
      <w:r>
        <w:rPr>
          <w:rFonts w:ascii="Courier New" w:cs="Courier New" w:eastAsia="Courier New" w:hAnsi="Courier New"/>
          <w:sz w:val="14"/>
          <w:szCs w:val="14"/>
          <w:color w:val="auto"/>
        </w:rPr>
        <w:t>20549</w:t>
      </w:r>
    </w:p>
    <w:p>
      <w:pPr>
        <w:spacing w:after="0" w:line="2" w:lineRule="exact"/>
        <w:rPr>
          <w:sz w:val="24"/>
          <w:szCs w:val="24"/>
          <w:color w:val="auto"/>
        </w:rPr>
      </w:pPr>
    </w:p>
    <w:p>
      <w:pPr>
        <w:ind w:left="21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FORM S-8</w:t>
      </w:r>
    </w:p>
    <w:p>
      <w:pPr>
        <w:spacing w:after="0" w:line="174" w:lineRule="exact"/>
        <w:rPr>
          <w:sz w:val="24"/>
          <w:szCs w:val="24"/>
          <w:color w:val="auto"/>
        </w:rPr>
      </w:pPr>
    </w:p>
    <w:p>
      <w:pPr>
        <w:ind w:left="2580"/>
        <w:spacing w:after="0"/>
        <w:rPr>
          <w:sz w:val="20"/>
          <w:szCs w:val="20"/>
          <w:color w:val="auto"/>
        </w:rPr>
      </w:pPr>
      <w:r>
        <w:rPr>
          <w:rFonts w:ascii="Courier New" w:cs="Courier New" w:eastAsia="Courier New" w:hAnsi="Courier New"/>
          <w:sz w:val="15"/>
          <w:szCs w:val="15"/>
          <w:color w:val="auto"/>
        </w:rPr>
        <w:t>REGISTRATION STATEMENT</w:t>
      </w:r>
    </w:p>
    <w:p>
      <w:pPr>
        <w:spacing w:after="0" w:line="174"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Under</w:t>
      </w:r>
    </w:p>
    <w:p>
      <w:pPr>
        <w:spacing w:after="0" w:line="174" w:lineRule="exact"/>
        <w:rPr>
          <w:sz w:val="24"/>
          <w:szCs w:val="24"/>
          <w:color w:val="auto"/>
        </w:rPr>
      </w:pPr>
    </w:p>
    <w:p>
      <w:pPr>
        <w:ind w:left="2400"/>
        <w:spacing w:after="0"/>
        <w:rPr>
          <w:sz w:val="20"/>
          <w:szCs w:val="20"/>
          <w:color w:val="auto"/>
        </w:rPr>
      </w:pPr>
      <w:r>
        <w:rPr>
          <w:rFonts w:ascii="Courier New" w:cs="Courier New" w:eastAsia="Courier New" w:hAnsi="Courier New"/>
          <w:sz w:val="15"/>
          <w:szCs w:val="15"/>
          <w:color w:val="auto"/>
        </w:rPr>
        <w:t>THE SECURITIES ACT OF 1933</w:t>
      </w:r>
    </w:p>
    <w:p>
      <w:pPr>
        <w:spacing w:after="0" w:line="346"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NEW MARRIOTT MI, INC. (TO BE RENAMED "MARRIOTT INTERNATIONAL, INC.")</w:t>
      </w:r>
    </w:p>
    <w:p>
      <w:pPr>
        <w:spacing w:after="0" w:line="174" w:lineRule="exact"/>
        <w:rPr>
          <w:sz w:val="24"/>
          <w:szCs w:val="24"/>
          <w:color w:val="auto"/>
        </w:rPr>
      </w:pPr>
    </w:p>
    <w:p>
      <w:pPr>
        <w:ind w:left="116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200" w:lineRule="exact"/>
        <w:rPr>
          <w:sz w:val="24"/>
          <w:szCs w:val="24"/>
          <w:color w:val="auto"/>
        </w:rPr>
      </w:pPr>
    </w:p>
    <w:p>
      <w:pPr>
        <w:spacing w:after="0" w:line="318"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ind w:left="980"/>
              <w:spacing w:after="0"/>
              <w:rPr>
                <w:sz w:val="20"/>
                <w:szCs w:val="20"/>
                <w:color w:val="auto"/>
              </w:rPr>
            </w:pPr>
            <w:r>
              <w:rPr>
                <w:rFonts w:ascii="Courier New" w:cs="Courier New" w:eastAsia="Courier New" w:hAnsi="Courier New"/>
                <w:sz w:val="15"/>
                <w:szCs w:val="15"/>
                <w:color w:val="auto"/>
              </w:rPr>
              <w:t>DELAWARE</w:t>
            </w:r>
          </w:p>
        </w:tc>
        <w:tc>
          <w:tcPr>
            <w:tcW w:w="2760" w:type="dxa"/>
            <w:vAlign w:val="bottom"/>
          </w:tcPr>
          <w:p>
            <w:pPr>
              <w:jc w:val="center"/>
              <w:ind w:left="745"/>
              <w:spacing w:after="0"/>
              <w:rPr>
                <w:sz w:val="20"/>
                <w:szCs w:val="20"/>
                <w:color w:val="auto"/>
              </w:rPr>
            </w:pPr>
            <w:r>
              <w:rPr>
                <w:rFonts w:ascii="Courier New" w:cs="Courier New" w:eastAsia="Courier New" w:hAnsi="Courier New"/>
                <w:sz w:val="15"/>
                <w:szCs w:val="15"/>
                <w:color w:val="auto"/>
                <w:w w:val="99"/>
              </w:rPr>
              <w:t>52-2055918</w:t>
            </w:r>
          </w:p>
        </w:tc>
      </w:tr>
      <w:tr>
        <w:trPr>
          <w:trHeight w:val="172"/>
        </w:trPr>
        <w:tc>
          <w:tcPr>
            <w:tcW w:w="4380" w:type="dxa"/>
            <w:vAlign w:val="bottom"/>
          </w:tcPr>
          <w:p>
            <w:pPr>
              <w:ind w:left="180"/>
              <w:spacing w:after="0"/>
              <w:rPr>
                <w:sz w:val="20"/>
                <w:szCs w:val="20"/>
                <w:color w:val="auto"/>
              </w:rPr>
            </w:pPr>
            <w:r>
              <w:rPr>
                <w:rFonts w:ascii="Courier New" w:cs="Courier New" w:eastAsia="Courier New" w:hAnsi="Courier New"/>
                <w:sz w:val="15"/>
                <w:szCs w:val="15"/>
                <w:color w:val="auto"/>
              </w:rPr>
              <w:t>(State or Other Jurisdiction</w:t>
            </w:r>
          </w:p>
        </w:tc>
        <w:tc>
          <w:tcPr>
            <w:tcW w:w="2760" w:type="dxa"/>
            <w:vAlign w:val="bottom"/>
          </w:tcPr>
          <w:p>
            <w:pPr>
              <w:jc w:val="center"/>
              <w:ind w:left="725"/>
              <w:spacing w:after="0"/>
              <w:rPr>
                <w:sz w:val="20"/>
                <w:szCs w:val="20"/>
                <w:color w:val="auto"/>
              </w:rPr>
            </w:pPr>
            <w:r>
              <w:rPr>
                <w:rFonts w:ascii="Courier New" w:cs="Courier New" w:eastAsia="Courier New" w:hAnsi="Courier New"/>
                <w:sz w:val="15"/>
                <w:szCs w:val="15"/>
                <w:color w:val="auto"/>
                <w:w w:val="99"/>
              </w:rPr>
              <w:t>(I.R.S. Employer</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of Incorporation or Organization)</w:t>
            </w:r>
          </w:p>
        </w:tc>
        <w:tc>
          <w:tcPr>
            <w:tcW w:w="2760" w:type="dxa"/>
            <w:vAlign w:val="bottom"/>
          </w:tcPr>
          <w:p>
            <w:pPr>
              <w:jc w:val="center"/>
              <w:ind w:left="725"/>
              <w:spacing w:after="0"/>
              <w:rPr>
                <w:sz w:val="20"/>
                <w:szCs w:val="20"/>
                <w:color w:val="auto"/>
              </w:rPr>
            </w:pPr>
            <w:r>
              <w:rPr>
                <w:rFonts w:ascii="Courier New" w:cs="Courier New" w:eastAsia="Courier New" w:hAnsi="Courier New"/>
                <w:sz w:val="15"/>
                <w:szCs w:val="15"/>
                <w:color w:val="auto"/>
                <w:w w:val="98"/>
              </w:rPr>
              <w:t>Identification Number)</w:t>
            </w:r>
          </w:p>
        </w:tc>
      </w:tr>
      <w:tr>
        <w:trPr>
          <w:trHeight w:val="344"/>
        </w:trPr>
        <w:tc>
          <w:tcPr>
            <w:tcW w:w="4380" w:type="dxa"/>
            <w:vAlign w:val="bottom"/>
          </w:tcPr>
          <w:p>
            <w:pPr>
              <w:ind w:left="700"/>
              <w:spacing w:after="0"/>
              <w:rPr>
                <w:sz w:val="20"/>
                <w:szCs w:val="20"/>
                <w:color w:val="auto"/>
              </w:rPr>
            </w:pPr>
            <w:r>
              <w:rPr>
                <w:rFonts w:ascii="Courier New" w:cs="Courier New" w:eastAsia="Courier New" w:hAnsi="Courier New"/>
                <w:sz w:val="15"/>
                <w:szCs w:val="15"/>
                <w:color w:val="auto"/>
              </w:rPr>
              <w:t>10400 FERNWOOD ROAD</w:t>
            </w:r>
          </w:p>
        </w:tc>
        <w:tc>
          <w:tcPr>
            <w:tcW w:w="2760" w:type="dxa"/>
            <w:vAlign w:val="bottom"/>
          </w:tcPr>
          <w:p>
            <w:pPr>
              <w:spacing w:after="0"/>
              <w:rPr>
                <w:sz w:val="24"/>
                <w:szCs w:val="24"/>
                <w:color w:val="auto"/>
              </w:rPr>
            </w:pPr>
          </w:p>
        </w:tc>
      </w:tr>
      <w:tr>
        <w:trPr>
          <w:trHeight w:val="172"/>
        </w:trPr>
        <w:tc>
          <w:tcPr>
            <w:tcW w:w="4380" w:type="dxa"/>
            <w:vAlign w:val="bottom"/>
          </w:tcPr>
          <w:p>
            <w:pPr>
              <w:ind w:left="700"/>
              <w:spacing w:after="0"/>
              <w:rPr>
                <w:sz w:val="20"/>
                <w:szCs w:val="20"/>
                <w:color w:val="auto"/>
              </w:rPr>
            </w:pPr>
            <w:r>
              <w:rPr>
                <w:rFonts w:ascii="Courier New" w:cs="Courier New" w:eastAsia="Courier New" w:hAnsi="Courier New"/>
                <w:sz w:val="15"/>
                <w:szCs w:val="15"/>
                <w:color w:val="auto"/>
              </w:rPr>
              <w:t>BETHESDA, MARYLAND</w:t>
            </w:r>
          </w:p>
        </w:tc>
        <w:tc>
          <w:tcPr>
            <w:tcW w:w="276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20817</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(Address of Principal Executive Offices)</w:t>
            </w:r>
          </w:p>
        </w:tc>
        <w:tc>
          <w:tcPr>
            <w:tcW w:w="2760" w:type="dxa"/>
            <w:vAlign w:val="bottom"/>
          </w:tcPr>
          <w:p>
            <w:pPr>
              <w:jc w:val="center"/>
              <w:ind w:left="745"/>
              <w:spacing w:after="0"/>
              <w:rPr>
                <w:sz w:val="20"/>
                <w:szCs w:val="20"/>
                <w:color w:val="auto"/>
              </w:rPr>
            </w:pPr>
            <w:r>
              <w:rPr>
                <w:rFonts w:ascii="Courier New" w:cs="Courier New" w:eastAsia="Courier New" w:hAnsi="Courier New"/>
                <w:sz w:val="15"/>
                <w:szCs w:val="15"/>
                <w:color w:val="auto"/>
                <w:w w:val="99"/>
              </w:rPr>
              <w:t>(Zip Code)</w:t>
            </w:r>
          </w:p>
        </w:tc>
      </w:tr>
    </w:tbl>
    <w:p>
      <w:pPr>
        <w:spacing w:after="0" w:line="346"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EMPLOYEES' PROFIT SHARING, RETIREMENT AND</w:t>
      </w:r>
    </w:p>
    <w:p>
      <w:pPr>
        <w:spacing w:after="0" w:line="2"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SAVINGS PLAN AND TRUST</w:t>
      </w:r>
    </w:p>
    <w:p>
      <w:pPr>
        <w:spacing w:after="0" w:line="2"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(Full Title of the Plan)</w:t>
      </w:r>
    </w:p>
    <w:p>
      <w:pPr>
        <w:spacing w:after="0" w:line="174"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JOSEPH RYAN, ESQ.</w:t>
      </w:r>
    </w:p>
    <w:p>
      <w:pPr>
        <w:spacing w:after="0" w:line="2"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EXECUTIVE VICE PRESIDENT AND GENERAL COUNSEL</w:t>
      </w:r>
    </w:p>
    <w:p>
      <w:pPr>
        <w:spacing w:after="0" w:line="2"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NEW MARRIOTT MI, INC.</w:t>
      </w:r>
    </w:p>
    <w:p>
      <w:pPr>
        <w:spacing w:after="0" w:line="2"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10400 FERNWOOD ROAD, BETHESDA, MARYLAND 20817</w:t>
      </w:r>
    </w:p>
    <w:p>
      <w:pPr>
        <w:spacing w:after="0" w:line="2"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(Name and Address of Agent for Service)</w:t>
      </w:r>
    </w:p>
    <w:p>
      <w:pPr>
        <w:spacing w:after="0" w:line="2"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(301) 380-3000</w:t>
      </w:r>
    </w:p>
    <w:p>
      <w:pPr>
        <w:spacing w:after="0" w:line="2"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(Telephone Number, Including Area Code, of Agent for Service)</w:t>
      </w:r>
    </w:p>
    <w:p>
      <w:pPr>
        <w:spacing w:after="0" w:line="2" w:lineRule="exact"/>
        <w:rPr>
          <w:sz w:val="24"/>
          <w:szCs w:val="24"/>
          <w:color w:val="auto"/>
        </w:rPr>
      </w:pPr>
    </w:p>
    <w:p>
      <w:pPr>
        <w:ind w:left="28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Copies of all communications, including all communications sent to agent for</w:t>
      </w:r>
    </w:p>
    <w:p>
      <w:pPr>
        <w:spacing w:after="0" w:line="2"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service, should be sent to:</w:t>
      </w:r>
    </w:p>
    <w:p>
      <w:pPr>
        <w:spacing w:after="0" w:line="174" w:lineRule="exact"/>
        <w:rPr>
          <w:sz w:val="24"/>
          <w:szCs w:val="24"/>
          <w:color w:val="auto"/>
        </w:rPr>
      </w:pPr>
    </w:p>
    <w:p>
      <w:pPr>
        <w:ind w:left="2760"/>
        <w:spacing w:after="0"/>
        <w:rPr>
          <w:sz w:val="20"/>
          <w:szCs w:val="20"/>
          <w:color w:val="auto"/>
        </w:rPr>
      </w:pPr>
      <w:r>
        <w:rPr>
          <w:rFonts w:ascii="Courier New" w:cs="Courier New" w:eastAsia="Courier New" w:hAnsi="Courier New"/>
          <w:sz w:val="15"/>
          <w:szCs w:val="15"/>
          <w:color w:val="auto"/>
        </w:rPr>
        <w:t>Ronald O. Mueller</w:t>
      </w:r>
    </w:p>
    <w:p>
      <w:pPr>
        <w:spacing w:after="0" w:line="2" w:lineRule="exact"/>
        <w:rPr>
          <w:sz w:val="24"/>
          <w:szCs w:val="24"/>
          <w:color w:val="auto"/>
        </w:rPr>
      </w:pPr>
    </w:p>
    <w:p>
      <w:pPr>
        <w:ind w:left="2320"/>
        <w:spacing w:after="0"/>
        <w:rPr>
          <w:sz w:val="20"/>
          <w:szCs w:val="20"/>
          <w:color w:val="auto"/>
        </w:rPr>
      </w:pPr>
      <w:r>
        <w:rPr>
          <w:rFonts w:ascii="Courier New" w:cs="Courier New" w:eastAsia="Courier New" w:hAnsi="Courier New"/>
          <w:sz w:val="15"/>
          <w:szCs w:val="15"/>
          <w:color w:val="auto"/>
        </w:rPr>
        <w:t>Gibson, Dunn &amp; Crutcher LLP</w:t>
      </w:r>
    </w:p>
    <w:p>
      <w:pPr>
        <w:spacing w:after="0" w:line="2" w:lineRule="exact"/>
        <w:rPr>
          <w:sz w:val="24"/>
          <w:szCs w:val="24"/>
          <w:color w:val="auto"/>
        </w:rPr>
      </w:pPr>
    </w:p>
    <w:p>
      <w:pPr>
        <w:ind w:left="1880"/>
        <w:spacing w:after="0"/>
        <w:rPr>
          <w:sz w:val="20"/>
          <w:szCs w:val="20"/>
          <w:color w:val="auto"/>
        </w:rPr>
      </w:pPr>
      <w:r>
        <w:rPr>
          <w:rFonts w:ascii="Courier New" w:cs="Courier New" w:eastAsia="Courier New" w:hAnsi="Courier New"/>
          <w:sz w:val="15"/>
          <w:szCs w:val="15"/>
          <w:color w:val="auto"/>
        </w:rPr>
        <w:t>1050 Connecticut Avenue, NW, Suite 900</w:t>
      </w:r>
    </w:p>
    <w:p>
      <w:pPr>
        <w:spacing w:after="0" w:line="2" w:lineRule="exact"/>
        <w:rPr>
          <w:sz w:val="24"/>
          <w:szCs w:val="24"/>
          <w:color w:val="auto"/>
        </w:rPr>
      </w:pPr>
    </w:p>
    <w:p>
      <w:pPr>
        <w:ind w:left="2580"/>
        <w:spacing w:after="0"/>
        <w:tabs>
          <w:tab w:leader="none" w:pos="4000" w:val="left"/>
        </w:tabs>
        <w:rPr>
          <w:sz w:val="20"/>
          <w:szCs w:val="20"/>
          <w:color w:val="auto"/>
        </w:rPr>
      </w:pPr>
      <w:r>
        <w:rPr>
          <w:rFonts w:ascii="Courier New" w:cs="Courier New" w:eastAsia="Courier New" w:hAnsi="Courier New"/>
          <w:sz w:val="15"/>
          <w:szCs w:val="15"/>
          <w:color w:val="auto"/>
        </w:rPr>
        <w:t>Washington, DC</w:t>
      </w:r>
      <w:r>
        <w:rPr>
          <w:sz w:val="20"/>
          <w:szCs w:val="20"/>
          <w:color w:val="auto"/>
        </w:rPr>
        <w:tab/>
      </w:r>
      <w:r>
        <w:rPr>
          <w:rFonts w:ascii="Courier New" w:cs="Courier New" w:eastAsia="Courier New" w:hAnsi="Courier New"/>
          <w:sz w:val="14"/>
          <w:szCs w:val="14"/>
          <w:color w:val="auto"/>
        </w:rPr>
        <w:t>20036</w:t>
      </w:r>
    </w:p>
    <w:p>
      <w:pPr>
        <w:spacing w:after="0" w:line="2" w:lineRule="exact"/>
        <w:rPr>
          <w:sz w:val="24"/>
          <w:szCs w:val="24"/>
          <w:color w:val="auto"/>
        </w:rPr>
      </w:pPr>
    </w:p>
    <w:p>
      <w:pPr>
        <w:ind w:left="2940"/>
        <w:spacing w:after="0"/>
        <w:rPr>
          <w:sz w:val="20"/>
          <w:szCs w:val="20"/>
          <w:color w:val="auto"/>
        </w:rPr>
      </w:pPr>
      <w:r>
        <w:rPr>
          <w:rFonts w:ascii="Courier New" w:cs="Courier New" w:eastAsia="Courier New" w:hAnsi="Courier New"/>
          <w:sz w:val="15"/>
          <w:szCs w:val="15"/>
          <w:color w:val="auto"/>
        </w:rPr>
        <w:t>(202) 955-8500</w:t>
      </w:r>
    </w:p>
    <w:p>
      <w:pPr>
        <w:sectPr>
          <w:pgSz w:w="11900" w:h="16838" w:orient="portrait"/>
          <w:cols w:equalWidth="0" w:num="1">
            <w:col w:w="10219"/>
          </w:cols>
          <w:pgMar w:left="240" w:top="577" w:right="1440" w:bottom="1440" w:gutter="0" w:footer="0" w:header="0"/>
        </w:sectPr>
      </w:pPr>
    </w:p>
    <w:bookmarkStart w:id="1" w:name="page2"/>
    <w:bookmarkEnd w:id="1"/>
    <w:p>
      <w:pPr>
        <w:jc w:val="center"/>
        <w:ind w:right="252"/>
        <w:spacing w:after="0"/>
        <w:rPr>
          <w:sz w:val="20"/>
          <w:szCs w:val="20"/>
          <w:color w:val="auto"/>
        </w:rPr>
      </w:pPr>
      <w:r>
        <w:rPr>
          <w:rFonts w:ascii="Courier New" w:cs="Courier New" w:eastAsia="Courier New" w:hAnsi="Courier New"/>
          <w:sz w:val="15"/>
          <w:szCs w:val="15"/>
          <w:color w:val="auto"/>
        </w:rPr>
        <w:t>CALCULATION OF REGISTRATION FEE</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tbl>
      <w:tblPr>
        <w:tblLayout w:type="fixed"/>
        <w:tblInd w:w="348" w:type="dxa"/>
        <w:tblCellMar>
          <w:top w:w="0" w:type="dxa"/>
          <w:left w:w="0" w:type="dxa"/>
          <w:bottom w:w="0" w:type="dxa"/>
          <w:right w:w="0" w:type="dxa"/>
        </w:tblCellMar>
      </w:tblPr>
      <w:tr>
        <w:trPr>
          <w:trHeight w:val="170"/>
        </w:trPr>
        <w:tc>
          <w:tcPr>
            <w:tcW w:w="22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52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PROPOSED</w:t>
            </w:r>
          </w:p>
        </w:tc>
        <w:tc>
          <w:tcPr>
            <w:tcW w:w="2540" w:type="dxa"/>
            <w:vAlign w:val="bottom"/>
          </w:tcPr>
          <w:p>
            <w:pPr>
              <w:spacing w:after="0"/>
              <w:rPr>
                <w:sz w:val="14"/>
                <w:szCs w:val="14"/>
                <w:color w:val="auto"/>
              </w:rPr>
            </w:pPr>
          </w:p>
        </w:tc>
        <w:tc>
          <w:tcPr>
            <w:tcW w:w="134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8"/>
              </w:rPr>
              <w:t>AMOUNT OF</w:t>
            </w:r>
          </w:p>
        </w:tc>
      </w:tr>
      <w:tr>
        <w:trPr>
          <w:trHeight w:val="172"/>
        </w:trPr>
        <w:tc>
          <w:tcPr>
            <w:tcW w:w="2200" w:type="dxa"/>
            <w:vAlign w:val="bottom"/>
          </w:tcPr>
          <w:p>
            <w:pPr>
              <w:spacing w:after="0"/>
              <w:rPr>
                <w:sz w:val="20"/>
                <w:szCs w:val="20"/>
                <w:color w:val="auto"/>
              </w:rPr>
            </w:pPr>
            <w:r>
              <w:rPr>
                <w:rFonts w:ascii="Courier New" w:cs="Courier New" w:eastAsia="Courier New" w:hAnsi="Courier New"/>
                <w:sz w:val="15"/>
                <w:szCs w:val="15"/>
                <w:color w:val="auto"/>
              </w:rPr>
              <w:t>TITLE OF SECURITIES</w:t>
            </w:r>
          </w:p>
        </w:tc>
        <w:tc>
          <w:tcPr>
            <w:tcW w:w="196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8"/>
              </w:rPr>
              <w:t>AMOUNT TO BE</w:t>
            </w:r>
          </w:p>
        </w:tc>
        <w:tc>
          <w:tcPr>
            <w:tcW w:w="25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MAXIMUM OFFERING PRICE</w:t>
            </w:r>
          </w:p>
        </w:tc>
        <w:tc>
          <w:tcPr>
            <w:tcW w:w="254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9"/>
              </w:rPr>
              <w:t>PROPOSED MAXIMUM</w:t>
            </w:r>
          </w:p>
        </w:tc>
        <w:tc>
          <w:tcPr>
            <w:tcW w:w="1340" w:type="dxa"/>
            <w:vAlign w:val="bottom"/>
          </w:tcPr>
          <w:p>
            <w:pPr>
              <w:ind w:left="280"/>
              <w:spacing w:after="0"/>
              <w:rPr>
                <w:sz w:val="20"/>
                <w:szCs w:val="20"/>
                <w:color w:val="auto"/>
              </w:rPr>
            </w:pPr>
            <w:r>
              <w:rPr>
                <w:rFonts w:ascii="Courier New" w:cs="Courier New" w:eastAsia="Courier New" w:hAnsi="Courier New"/>
                <w:sz w:val="15"/>
                <w:szCs w:val="15"/>
                <w:color w:val="auto"/>
                <w:w w:val="96"/>
              </w:rPr>
              <w:t>REGISTRATION</w:t>
            </w:r>
          </w:p>
        </w:tc>
      </w:tr>
      <w:tr>
        <w:trPr>
          <w:trHeight w:val="172"/>
        </w:trPr>
        <w:tc>
          <w:tcPr>
            <w:tcW w:w="2200" w:type="dxa"/>
            <w:vAlign w:val="bottom"/>
          </w:tcPr>
          <w:p>
            <w:pPr>
              <w:ind w:left="100"/>
              <w:spacing w:after="0"/>
              <w:rPr>
                <w:sz w:val="20"/>
                <w:szCs w:val="20"/>
                <w:color w:val="auto"/>
              </w:rPr>
            </w:pPr>
            <w:r>
              <w:rPr>
                <w:rFonts w:ascii="Courier New" w:cs="Courier New" w:eastAsia="Courier New" w:hAnsi="Courier New"/>
                <w:sz w:val="15"/>
                <w:szCs w:val="15"/>
                <w:color w:val="auto"/>
              </w:rPr>
              <w:t>TO BE REGISTERED</w:t>
            </w:r>
          </w:p>
        </w:tc>
        <w:tc>
          <w:tcPr>
            <w:tcW w:w="196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REGISTERED</w:t>
            </w:r>
          </w:p>
        </w:tc>
        <w:tc>
          <w:tcPr>
            <w:tcW w:w="252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PER SHARE</w:t>
            </w:r>
          </w:p>
        </w:tc>
        <w:tc>
          <w:tcPr>
            <w:tcW w:w="254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9"/>
              </w:rPr>
              <w:t>AGGREGATE OFFERING PRICE</w:t>
            </w:r>
          </w:p>
        </w:tc>
        <w:tc>
          <w:tcPr>
            <w:tcW w:w="1340" w:type="dxa"/>
            <w:vAlign w:val="bottom"/>
          </w:tcPr>
          <w:p>
            <w:pPr>
              <w:jc w:val="center"/>
              <w:ind w:left="105"/>
              <w:spacing w:after="0"/>
              <w:rPr>
                <w:sz w:val="20"/>
                <w:szCs w:val="20"/>
                <w:color w:val="auto"/>
              </w:rPr>
            </w:pPr>
            <w:r>
              <w:rPr>
                <w:rFonts w:ascii="Courier New" w:cs="Courier New" w:eastAsia="Courier New" w:hAnsi="Courier New"/>
                <w:sz w:val="15"/>
                <w:szCs w:val="15"/>
                <w:color w:val="auto"/>
              </w:rPr>
              <w:t>FEE</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Common</w:t>
            </w:r>
          </w:p>
        </w:tc>
        <w:tc>
          <w:tcPr>
            <w:tcW w:w="22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Stock, par value</w:t>
            </w:r>
          </w:p>
        </w:tc>
        <w:tc>
          <w:tcPr>
            <w:tcW w:w="21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$.01</w:t>
            </w:r>
          </w:p>
        </w:tc>
        <w:tc>
          <w:tcPr>
            <w:tcW w:w="500" w:type="dxa"/>
            <w:vAlign w:val="bottom"/>
          </w:tcPr>
          <w:p>
            <w:pPr>
              <w:spacing w:after="0"/>
              <w:rPr>
                <w:sz w:val="20"/>
                <w:szCs w:val="20"/>
                <w:color w:val="auto"/>
              </w:rPr>
            </w:pPr>
            <w:r>
              <w:rPr>
                <w:rFonts w:ascii="Courier New" w:cs="Courier New" w:eastAsia="Courier New" w:hAnsi="Courier New"/>
                <w:sz w:val="15"/>
                <w:szCs w:val="15"/>
                <w:color w:val="auto"/>
              </w:rPr>
              <w:t>share</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(1)............</w:t>
            </w:r>
          </w:p>
        </w:tc>
        <w:tc>
          <w:tcPr>
            <w:tcW w:w="21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6,000,000(2)</w:t>
            </w:r>
          </w:p>
        </w:tc>
        <w:tc>
          <w:tcPr>
            <w:tcW w:w="186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(3)</w:t>
            </w:r>
          </w:p>
        </w:tc>
        <w:tc>
          <w:tcPr>
            <w:tcW w:w="1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$60,000</w:t>
            </w:r>
          </w:p>
        </w:tc>
        <w:tc>
          <w:tcPr>
            <w:tcW w:w="10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(3)</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344"/>
        </w:trPr>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3"/>
              </w:rPr>
              <w:t>Class</w:t>
            </w:r>
          </w:p>
        </w:tc>
        <w:tc>
          <w:tcPr>
            <w:tcW w:w="2280" w:type="dxa"/>
            <w:vAlign w:val="bottom"/>
            <w:gridSpan w:val="2"/>
          </w:tcPr>
          <w:p>
            <w:pPr>
              <w:spacing w:after="0"/>
              <w:rPr>
                <w:sz w:val="20"/>
                <w:szCs w:val="20"/>
                <w:color w:val="auto"/>
              </w:rPr>
            </w:pPr>
            <w:r>
              <w:rPr>
                <w:rFonts w:ascii="Courier New" w:cs="Courier New" w:eastAsia="Courier New" w:hAnsi="Courier New"/>
                <w:sz w:val="15"/>
                <w:szCs w:val="15"/>
                <w:color w:val="auto"/>
              </w:rPr>
              <w:t>A Common Stock, par</w:t>
            </w:r>
          </w:p>
        </w:tc>
        <w:tc>
          <w:tcPr>
            <w:tcW w:w="2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2"/>
        </w:trPr>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value</w:t>
            </w: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$.01</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share (1)......</w:t>
            </w:r>
          </w:p>
        </w:tc>
        <w:tc>
          <w:tcPr>
            <w:tcW w:w="21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6,000,000(2)</w:t>
            </w:r>
          </w:p>
        </w:tc>
        <w:tc>
          <w:tcPr>
            <w:tcW w:w="186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(3)</w:t>
            </w:r>
          </w:p>
        </w:tc>
        <w:tc>
          <w:tcPr>
            <w:tcW w:w="1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$60,000</w:t>
            </w:r>
          </w:p>
        </w:tc>
        <w:tc>
          <w:tcPr>
            <w:tcW w:w="10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(3)</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29" w:lineRule="exact"/>
        <w:rPr>
          <w:sz w:val="20"/>
          <w:szCs w:val="20"/>
          <w:color w:val="auto"/>
        </w:rPr>
      </w:pPr>
    </w:p>
    <w:p>
      <w:pPr>
        <w:ind w:left="348" w:right="4560" w:hanging="348"/>
        <w:spacing w:after="0" w:line="260" w:lineRule="auto"/>
        <w:tabs>
          <w:tab w:leader="none" w:pos="348"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Preferred Stock Purchase Rights, which are attached to the shares of Common Stock being registered, will be issued for no additional consideration and, therefore, no additional registration fee is required.</w:t>
      </w:r>
    </w:p>
    <w:p>
      <w:pPr>
        <w:ind w:left="348" w:right="4300" w:hanging="348"/>
        <w:spacing w:after="0" w:line="242" w:lineRule="auto"/>
        <w:tabs>
          <w:tab w:leader="none" w:pos="34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Rule 416(a), this Registration Statement also registers such number of additional securities that may be offered pursuant to the terms of the Employees' Profit Sharing, Retirement and Savings Plan and Trust which provides for a change in the amount or type of securities being offered or issued to prevent dilution as a result of stock splits, stock dividends or similar transactions. Pursuant to Rule 416(c) under the Securities Act of 1933, as amended, this registration statement also covers an indeterminate amount of interests to be offered or sold pursuant to the Employees' Profit Sharing, Retirement and Savings Plan and Trust.</w:t>
      </w:r>
    </w:p>
    <w:p>
      <w:pPr>
        <w:spacing w:after="0" w:line="6" w:lineRule="exact"/>
        <w:rPr>
          <w:rFonts w:ascii="Courier New" w:cs="Courier New" w:eastAsia="Courier New" w:hAnsi="Courier New"/>
          <w:sz w:val="15"/>
          <w:szCs w:val="15"/>
          <w:color w:val="auto"/>
        </w:rPr>
      </w:pPr>
    </w:p>
    <w:p>
      <w:pPr>
        <w:ind w:left="348" w:right="4660" w:hanging="348"/>
        <w:spacing w:after="0" w:line="241" w:lineRule="auto"/>
        <w:tabs>
          <w:tab w:leader="none" w:pos="34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Calculated solely for purposes hereof pursuant to Rules 457(h)(1) on the basis of par value of such shares (which exceeds their book value as of March 19, 1998).</w:t>
      </w:r>
    </w:p>
    <w:p>
      <w:pPr>
        <w:sectPr>
          <w:pgSz w:w="11900" w:h="16838" w:orient="portrait"/>
          <w:cols w:equalWidth="0" w:num="1">
            <w:col w:w="11448"/>
          </w:cols>
          <w:pgMar w:left="232" w:top="1149" w:right="219" w:bottom="1440" w:gutter="0" w:footer="0" w:header="0"/>
        </w:sectPr>
      </w:pPr>
    </w:p>
    <w:bookmarkStart w:id="2" w:name="page3"/>
    <w:bookmarkEnd w:id="2"/>
    <w:p>
      <w:pPr>
        <w:ind w:left="3040"/>
        <w:spacing w:after="0"/>
        <w:rPr>
          <w:sz w:val="20"/>
          <w:szCs w:val="20"/>
          <w:color w:val="auto"/>
        </w:rPr>
      </w:pPr>
      <w:r>
        <w:rPr>
          <w:rFonts w:ascii="Courier New" w:cs="Courier New" w:eastAsia="Courier New" w:hAnsi="Courier New"/>
          <w:sz w:val="15"/>
          <w:szCs w:val="15"/>
          <w:color w:val="auto"/>
        </w:rPr>
        <w:t>INTRODUCTION</w:t>
      </w:r>
    </w:p>
    <w:p>
      <w:pPr>
        <w:spacing w:after="0" w:line="176" w:lineRule="exact"/>
        <w:rPr>
          <w:sz w:val="20"/>
          <w:szCs w:val="20"/>
          <w:color w:val="auto"/>
        </w:rPr>
      </w:pPr>
    </w:p>
    <w:p>
      <w:pPr>
        <w:ind w:right="3079" w:firstLine="894"/>
        <w:spacing w:after="0" w:line="262" w:lineRule="auto"/>
        <w:rPr>
          <w:sz w:val="20"/>
          <w:szCs w:val="20"/>
          <w:color w:val="auto"/>
        </w:rPr>
      </w:pPr>
      <w:r>
        <w:rPr>
          <w:rFonts w:ascii="Courier New" w:cs="Courier New" w:eastAsia="Courier New" w:hAnsi="Courier New"/>
          <w:sz w:val="14"/>
          <w:szCs w:val="14"/>
          <w:color w:val="auto"/>
        </w:rPr>
        <w:t>This Registration Statement on Form S-8 is filed by New Marriott MI, Inc. (to be renamed "Marriott International, Inc."), a Delaware corporation (the "Company" or "Registrant"), and the Employees' Profit Sharing Retirement and Savings Plan and Trust (the "Plan"), relating to 6,000,000 shares of the Company's Common Stock, par value $.01 per share (the "Common Stock"), and 6,000,000 shares of the Company's Class A Common Stock, par value $.01 per share (the "Class A Common Stock") to be offered and sold to accounts of eligible employees of the Company under the Plan, as well as to interests in the Plan.</w:t>
      </w:r>
    </w:p>
    <w:p>
      <w:pPr>
        <w:spacing w:after="0" w:line="333"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PART I</w:t>
      </w:r>
    </w:p>
    <w:p>
      <w:pPr>
        <w:spacing w:after="0" w:line="174"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INFORMATION REQUIRED IN SECTION 10(A) PROSPECTUS</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PLAN INFORMATION.</w:t>
      </w:r>
    </w:p>
    <w:p>
      <w:pPr>
        <w:spacing w:after="0" w:line="176" w:lineRule="exact"/>
        <w:rPr>
          <w:sz w:val="20"/>
          <w:szCs w:val="20"/>
          <w:color w:val="auto"/>
        </w:rPr>
      </w:pPr>
    </w:p>
    <w:p>
      <w:pPr>
        <w:ind w:right="3259" w:firstLine="894"/>
        <w:spacing w:after="0"/>
        <w:rPr>
          <w:sz w:val="20"/>
          <w:szCs w:val="20"/>
          <w:color w:val="auto"/>
        </w:rPr>
      </w:pPr>
      <w:r>
        <w:rPr>
          <w:rFonts w:ascii="Courier New" w:cs="Courier New" w:eastAsia="Courier New" w:hAnsi="Courier New"/>
          <w:sz w:val="15"/>
          <w:szCs w:val="15"/>
          <w:color w:val="auto"/>
        </w:rPr>
        <w:t>Not filed as part of this Registration Statement pursuant to Note to Part 1 of Form S-8.</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REGISTRANT INFORMATION AND EMPLOYEE PLAN ANNUAL INFORMATION.</w:t>
      </w:r>
    </w:p>
    <w:p>
      <w:pPr>
        <w:spacing w:after="0" w:line="176" w:lineRule="exact"/>
        <w:rPr>
          <w:sz w:val="20"/>
          <w:szCs w:val="20"/>
          <w:color w:val="auto"/>
        </w:rPr>
      </w:pPr>
    </w:p>
    <w:p>
      <w:pPr>
        <w:ind w:right="3259" w:firstLine="894"/>
        <w:spacing w:after="0"/>
        <w:rPr>
          <w:sz w:val="20"/>
          <w:szCs w:val="20"/>
          <w:color w:val="auto"/>
        </w:rPr>
      </w:pPr>
      <w:r>
        <w:rPr>
          <w:rFonts w:ascii="Courier New" w:cs="Courier New" w:eastAsia="Courier New" w:hAnsi="Courier New"/>
          <w:sz w:val="15"/>
          <w:szCs w:val="15"/>
          <w:color w:val="auto"/>
        </w:rPr>
        <w:t>Not filed as part of this Registration Statement pursuant to Note to Part 1 of Form S-8.</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PART II</w:t>
      </w:r>
    </w:p>
    <w:p>
      <w:pPr>
        <w:spacing w:after="0" w:line="174"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INFORMATION REQUIRED IN THE REGISTRATION STATEMENT</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INCORPORATION OF DOCUMENTS BY REFERENCE.</w:t>
      </w:r>
    </w:p>
    <w:p>
      <w:pPr>
        <w:spacing w:after="0" w:line="176" w:lineRule="exact"/>
        <w:rPr>
          <w:sz w:val="20"/>
          <w:szCs w:val="20"/>
          <w:color w:val="auto"/>
        </w:rPr>
      </w:pPr>
    </w:p>
    <w:p>
      <w:pPr>
        <w:ind w:right="3079" w:firstLine="894"/>
        <w:spacing w:after="0" w:line="241" w:lineRule="auto"/>
        <w:rPr>
          <w:sz w:val="20"/>
          <w:szCs w:val="20"/>
          <w:color w:val="auto"/>
        </w:rPr>
      </w:pPr>
      <w:r>
        <w:rPr>
          <w:rFonts w:ascii="Courier New" w:cs="Courier New" w:eastAsia="Courier New" w:hAnsi="Courier New"/>
          <w:sz w:val="15"/>
          <w:szCs w:val="15"/>
          <w:color w:val="auto"/>
        </w:rPr>
        <w:t>The following documents of the Registrant heretofore filed with the Securities and Exchange Commission (the "Commission") are hereby incorporated in this Registration Statement by reference:</w:t>
      </w:r>
    </w:p>
    <w:p>
      <w:pPr>
        <w:spacing w:after="0" w:line="176" w:lineRule="exact"/>
        <w:rPr>
          <w:sz w:val="20"/>
          <w:szCs w:val="20"/>
          <w:color w:val="auto"/>
        </w:rPr>
      </w:pPr>
    </w:p>
    <w:p>
      <w:pPr>
        <w:ind w:left="880" w:right="3259" w:hanging="620"/>
        <w:spacing w:after="0" w:line="241" w:lineRule="auto"/>
        <w:tabs>
          <w:tab w:leader="none" w:pos="8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Registration Statement on Form 10 under the Securities Exchange Act of 1934, as amended (the "Exchange Act"), filed on February 13, 1998.</w:t>
      </w:r>
    </w:p>
    <w:p>
      <w:pPr>
        <w:spacing w:after="0" w:line="176" w:lineRule="exact"/>
        <w:rPr>
          <w:rFonts w:ascii="Courier New" w:cs="Courier New" w:eastAsia="Courier New" w:hAnsi="Courier New"/>
          <w:sz w:val="15"/>
          <w:szCs w:val="15"/>
          <w:color w:val="auto"/>
        </w:rPr>
      </w:pPr>
    </w:p>
    <w:p>
      <w:pPr>
        <w:ind w:left="880" w:right="3079" w:hanging="620"/>
        <w:spacing w:after="0"/>
        <w:tabs>
          <w:tab w:leader="none" w:pos="8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Annual Report on Form 10-K for the year ended January 2, 1998.</w:t>
      </w:r>
    </w:p>
    <w:p>
      <w:pPr>
        <w:spacing w:after="0" w:line="174" w:lineRule="exact"/>
        <w:rPr>
          <w:rFonts w:ascii="Courier New" w:cs="Courier New" w:eastAsia="Courier New" w:hAnsi="Courier New"/>
          <w:sz w:val="15"/>
          <w:szCs w:val="15"/>
          <w:color w:val="auto"/>
        </w:rPr>
      </w:pPr>
    </w:p>
    <w:p>
      <w:pPr>
        <w:ind w:left="880" w:hanging="620"/>
        <w:spacing w:after="0"/>
        <w:tabs>
          <w:tab w:leader="none" w:pos="8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Report on Form 8-K filed on March 13, 1998.</w:t>
      </w:r>
    </w:p>
    <w:p>
      <w:pPr>
        <w:spacing w:after="0" w:line="175" w:lineRule="exact"/>
        <w:rPr>
          <w:rFonts w:ascii="Courier New" w:cs="Courier New" w:eastAsia="Courier New" w:hAnsi="Courier New"/>
          <w:sz w:val="15"/>
          <w:szCs w:val="15"/>
          <w:color w:val="auto"/>
        </w:rPr>
      </w:pPr>
    </w:p>
    <w:p>
      <w:pPr>
        <w:ind w:left="880" w:right="3339" w:hanging="620"/>
        <w:spacing w:after="0"/>
        <w:tabs>
          <w:tab w:leader="none" w:pos="8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Plan's Annual Report on Form 11-K under the Exchange Act, filed on June 27, 1997.</w:t>
      </w:r>
    </w:p>
    <w:p>
      <w:pPr>
        <w:spacing w:after="0" w:line="176" w:lineRule="exact"/>
        <w:rPr>
          <w:sz w:val="20"/>
          <w:szCs w:val="20"/>
          <w:color w:val="auto"/>
        </w:rPr>
      </w:pPr>
    </w:p>
    <w:p>
      <w:pPr>
        <w:ind w:right="3259" w:firstLine="894"/>
        <w:spacing w:after="0" w:line="242" w:lineRule="auto"/>
        <w:rPr>
          <w:sz w:val="20"/>
          <w:szCs w:val="20"/>
          <w:color w:val="auto"/>
        </w:rPr>
      </w:pPr>
      <w:r>
        <w:rPr>
          <w:rFonts w:ascii="Courier New" w:cs="Courier New" w:eastAsia="Courier New" w:hAnsi="Courier New"/>
          <w:sz w:val="15"/>
          <w:szCs w:val="15"/>
          <w:color w:val="auto"/>
        </w:rPr>
        <w:t>All reports and other documents subsequently filed by the Company or the Plan pursuant to Sections 13(a) and (c), 14 and 15(d) of the Securities Exchange Act of 1934, as amended (the "Exchange Act"), prior to the filing of a post-effective amendment which indicates that all</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633" w:right="1440" w:bottom="1440" w:gutter="0" w:footer="0" w:header="0"/>
        </w:sectPr>
      </w:pPr>
    </w:p>
    <w:bookmarkStart w:id="3" w:name="page4"/>
    <w:bookmarkEnd w:id="3"/>
    <w:p>
      <w:pPr>
        <w:ind w:right="3079"/>
        <w:spacing w:after="0" w:line="242" w:lineRule="auto"/>
        <w:rPr>
          <w:sz w:val="20"/>
          <w:szCs w:val="20"/>
          <w:color w:val="auto"/>
        </w:rPr>
      </w:pPr>
      <w:r>
        <w:rPr>
          <w:rFonts w:ascii="Courier New" w:cs="Courier New" w:eastAsia="Courier New" w:hAnsi="Courier New"/>
          <w:sz w:val="15"/>
          <w:szCs w:val="15"/>
          <w:color w:val="auto"/>
        </w:rPr>
        <w:t>securities offered hereunder have been sold or which deregisters all such securities then remaining unsold shall be deemed to be incorporated by reference in this Registration Statement and to be a part hereof from the date of filing of such reports and documents.</w:t>
      </w:r>
    </w:p>
    <w:p>
      <w:pPr>
        <w:spacing w:after="0" w:line="175" w:lineRule="exact"/>
        <w:rPr>
          <w:sz w:val="20"/>
          <w:szCs w:val="20"/>
          <w:color w:val="auto"/>
        </w:rPr>
      </w:pPr>
    </w:p>
    <w:p>
      <w:pPr>
        <w:ind w:right="3079" w:firstLine="894"/>
        <w:spacing w:after="0" w:line="242" w:lineRule="auto"/>
        <w:rPr>
          <w:sz w:val="20"/>
          <w:szCs w:val="20"/>
          <w:color w:val="auto"/>
        </w:rPr>
      </w:pPr>
      <w:r>
        <w:rPr>
          <w:rFonts w:ascii="Courier New" w:cs="Courier New" w:eastAsia="Courier New" w:hAnsi="Courier New"/>
          <w:sz w:val="15"/>
          <w:szCs w:val="15"/>
          <w:color w:val="auto"/>
        </w:rPr>
        <w:t>Any statement contained herein or in a document incorporated or deemed to be incorporated by reference herein and any document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earlier statement. Any statement or document so modified or superseded shall not be deemed, except as so modified or superseded, to constitute a part of this Registration Statement.</w:t>
      </w:r>
    </w:p>
    <w:p>
      <w:pPr>
        <w:spacing w:after="0" w:line="176" w:lineRule="exact"/>
        <w:rPr>
          <w:sz w:val="20"/>
          <w:szCs w:val="20"/>
          <w:color w:val="auto"/>
        </w:rPr>
      </w:pPr>
    </w:p>
    <w:p>
      <w:pPr>
        <w:jc w:val="center"/>
        <w:ind w:right="7099"/>
        <w:spacing w:after="0"/>
        <w:tabs>
          <w:tab w:leader="none" w:pos="16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DESCRIPTION OF SECURITIES.</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Not applicable.</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INTERESTS OF NAMED EXPERTS AND COUNSEL.</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Not Applicable.</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INDEMNIFICATION OF DIRECTORS AND OFFICERS.</w:t>
      </w:r>
    </w:p>
    <w:p>
      <w:pPr>
        <w:spacing w:after="0" w:line="176" w:lineRule="exact"/>
        <w:rPr>
          <w:sz w:val="20"/>
          <w:szCs w:val="20"/>
          <w:color w:val="auto"/>
        </w:rPr>
      </w:pPr>
    </w:p>
    <w:p>
      <w:pPr>
        <w:ind w:right="3079" w:firstLine="894"/>
        <w:spacing w:after="0" w:line="242" w:lineRule="auto"/>
        <w:rPr>
          <w:sz w:val="20"/>
          <w:szCs w:val="20"/>
          <w:color w:val="auto"/>
        </w:rPr>
      </w:pPr>
      <w:r>
        <w:rPr>
          <w:rFonts w:ascii="Courier New" w:cs="Courier New" w:eastAsia="Courier New" w:hAnsi="Courier New"/>
          <w:sz w:val="15"/>
          <w:szCs w:val="15"/>
          <w:color w:val="auto"/>
        </w:rPr>
        <w:t>Articles Eleventh and Sixteenth of the New Marriott Certificate and Section 7.7 of the New Marriott Bylaws (the "New Marriott Director Liability and Indemnification Provisions") limit the personal liability of New Marriott directors to the company or its stockholders for monetary damages for breach of fiduciary duty.</w:t>
      </w:r>
    </w:p>
    <w:p>
      <w:pPr>
        <w:spacing w:after="0" w:line="175" w:lineRule="exact"/>
        <w:rPr>
          <w:sz w:val="20"/>
          <w:szCs w:val="20"/>
          <w:color w:val="auto"/>
        </w:rPr>
      </w:pPr>
    </w:p>
    <w:p>
      <w:pPr>
        <w:ind w:right="3159" w:firstLine="894"/>
        <w:spacing w:after="0" w:line="242" w:lineRule="auto"/>
        <w:rPr>
          <w:sz w:val="20"/>
          <w:szCs w:val="20"/>
          <w:color w:val="auto"/>
        </w:rPr>
      </w:pPr>
      <w:r>
        <w:rPr>
          <w:rFonts w:ascii="Courier New" w:cs="Courier New" w:eastAsia="Courier New" w:hAnsi="Courier New"/>
          <w:sz w:val="15"/>
          <w:szCs w:val="15"/>
          <w:color w:val="auto"/>
        </w:rPr>
        <w:t>The New Marriott Director Liability and Indemnification Provisions define and clarify the rights of certain individuals, including New Marriott directors and officers, to indemnification by New Marriott in the event of personal liability or expenses incurred by them as a result of certain litigation against them. Such provisions are consistent with Section 102(b)(7) of the DGCL, which is designed, among other things, to encourage qualified individuals to serve as directors of Delaware corporations by permitting Delaware corporations to include in their certificates of incorporation a provision limiting or eliminating directors' liability for monetary damages and with other existing DGCL provisions permitting indemnification of certain individuals, including directors and officers. The limitations of liability in the New Marriott Director Liability and Indemnification Provisions may not affect claims arising under the federal securities laws.</w:t>
      </w:r>
    </w:p>
    <w:p>
      <w:pPr>
        <w:spacing w:after="0" w:line="181" w:lineRule="exact"/>
        <w:rPr>
          <w:sz w:val="20"/>
          <w:szCs w:val="20"/>
          <w:color w:val="auto"/>
        </w:rPr>
      </w:pPr>
    </w:p>
    <w:p>
      <w:pPr>
        <w:ind w:right="3259" w:firstLine="894"/>
        <w:spacing w:after="0" w:line="242" w:lineRule="auto"/>
        <w:rPr>
          <w:sz w:val="20"/>
          <w:szCs w:val="20"/>
          <w:color w:val="auto"/>
        </w:rPr>
      </w:pPr>
      <w:r>
        <w:rPr>
          <w:rFonts w:ascii="Courier New" w:cs="Courier New" w:eastAsia="Courier New" w:hAnsi="Courier New"/>
          <w:sz w:val="15"/>
          <w:szCs w:val="15"/>
          <w:color w:val="auto"/>
        </w:rPr>
        <w:t>Set forth below is a description of the New Marriott Director Liability and Indemnification Provisions. Such description is intended as a summary only and is qualified in its entirety by reference to the New Marriott Certificate and the New Marriott Bylaws.</w:t>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LIMITATION OF LIABILITY FOR DIRECTORS</w:t>
      </w:r>
    </w:p>
    <w:p>
      <w:pPr>
        <w:spacing w:after="0" w:line="176" w:lineRule="exact"/>
        <w:rPr>
          <w:sz w:val="20"/>
          <w:szCs w:val="20"/>
          <w:color w:val="auto"/>
        </w:rPr>
      </w:pPr>
    </w:p>
    <w:p>
      <w:pPr>
        <w:ind w:right="3079" w:firstLine="894"/>
        <w:spacing w:after="0" w:line="241" w:lineRule="auto"/>
        <w:rPr>
          <w:sz w:val="20"/>
          <w:szCs w:val="20"/>
          <w:color w:val="auto"/>
        </w:rPr>
      </w:pPr>
      <w:r>
        <w:rPr>
          <w:rFonts w:ascii="Courier New" w:cs="Courier New" w:eastAsia="Courier New" w:hAnsi="Courier New"/>
          <w:sz w:val="15"/>
          <w:szCs w:val="15"/>
          <w:color w:val="auto"/>
        </w:rPr>
        <w:t>Article Sixteenth of the New Marriott Certificate protects directors against monetary damages for breaches of their fiduciary duty of care, except as set forth below. Under</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5" w:right="1440" w:bottom="1440" w:gutter="0" w:footer="0" w:header="0"/>
        </w:sectPr>
      </w:pPr>
    </w:p>
    <w:bookmarkStart w:id="4" w:name="page5"/>
    <w:bookmarkEnd w:id="4"/>
    <w:p>
      <w:pPr>
        <w:ind w:right="3079"/>
        <w:spacing w:after="0" w:line="261" w:lineRule="auto"/>
        <w:rPr>
          <w:sz w:val="20"/>
          <w:szCs w:val="20"/>
          <w:color w:val="auto"/>
        </w:rPr>
      </w:pPr>
      <w:r>
        <w:rPr>
          <w:rFonts w:ascii="Courier New" w:cs="Courier New" w:eastAsia="Courier New" w:hAnsi="Courier New"/>
          <w:sz w:val="14"/>
          <w:szCs w:val="14"/>
          <w:color w:val="auto"/>
        </w:rPr>
        <w:t>the DGCL, absent Article Sixteenth, directors could generally be held liable for gross negligence for decisions made in the performance of their duty of care but not for simple negligence. Article Sixteenth eliminates director liability for negligence in the performance of their duties, including gross negligence. In a context not involving a decision by the directors (i.e., a suit alleging loss to the company due to the directors' inattention to a particular matter) a simple negligence standard might apply. Directors remain liable for breaches of their duty of loyalty to the company and its stockholders, as well as acts or omissions not in good faith or which involve intentional misconduct or a knowing violation of law and transactions from which a director derives improper personal benefit. Article Sixteenth does not eliminate director liability under Section 174 of the DGCL, which makes directors personally liable for unlawful dividends or unlawful stock repurchases or redemptions and expressly sets forth a negligence standard with respect to such liability.</w:t>
      </w:r>
    </w:p>
    <w:p>
      <w:pPr>
        <w:spacing w:after="0" w:line="166" w:lineRule="exact"/>
        <w:rPr>
          <w:sz w:val="20"/>
          <w:szCs w:val="20"/>
          <w:color w:val="auto"/>
        </w:rPr>
      </w:pPr>
    </w:p>
    <w:p>
      <w:pPr>
        <w:ind w:right="3079" w:firstLine="894"/>
        <w:spacing w:after="0" w:line="242" w:lineRule="auto"/>
        <w:rPr>
          <w:sz w:val="20"/>
          <w:szCs w:val="20"/>
          <w:color w:val="auto"/>
        </w:rPr>
      </w:pPr>
      <w:r>
        <w:rPr>
          <w:rFonts w:ascii="Courier New" w:cs="Courier New" w:eastAsia="Courier New" w:hAnsi="Courier New"/>
          <w:sz w:val="15"/>
          <w:szCs w:val="15"/>
          <w:color w:val="auto"/>
        </w:rPr>
        <w:t>While Article Sixteenth provides directors with protection from awards of monetary damages for breaches of the duty of care, it does not eliminate the directors' duty of care. Accordingly, Article Sixteenth will have no effect on the availability of equitable remedies such as an injunction or rescission based upon a director's breach of the duty of care. The provisions of Article Sixteenth that eliminate liability as described above will apply to officers of New Marriott only if they are directors of New Marriott and are acting in their capacity as directors, and will not apply to officers of the New Marriott who are not directors. The elimination of liability of directors for monetary damages in the circumstances described above may deter persons from bringing third-party or derivative actions against directors to the extent those actions seek monetary damages.</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INDEMNIFICATION OF DIRECTORS AND OFFICERS</w:t>
      </w:r>
    </w:p>
    <w:p>
      <w:pPr>
        <w:spacing w:after="0" w:line="176" w:lineRule="exact"/>
        <w:rPr>
          <w:sz w:val="20"/>
          <w:szCs w:val="20"/>
          <w:color w:val="auto"/>
        </w:rPr>
      </w:pPr>
    </w:p>
    <w:p>
      <w:pPr>
        <w:ind w:right="3079" w:firstLine="894"/>
        <w:spacing w:after="0" w:line="242" w:lineRule="auto"/>
        <w:rPr>
          <w:sz w:val="20"/>
          <w:szCs w:val="20"/>
          <w:color w:val="auto"/>
        </w:rPr>
      </w:pPr>
      <w:r>
        <w:rPr>
          <w:rFonts w:ascii="Courier New" w:cs="Courier New" w:eastAsia="Courier New" w:hAnsi="Courier New"/>
          <w:sz w:val="15"/>
          <w:szCs w:val="15"/>
          <w:color w:val="auto"/>
        </w:rPr>
        <w:t>Under Section 145 of the DGCL, directors and officers as well as other employees and individuals may be indemnified against expenses (including attorneys' fees), judgments, fines and amounts paid in settlement in connection with specified actions, suits or proceedings, whether civil, criminal, administrative or investigative (other than an action by or in the right of the corporation --a "derivative action") if they acted in good faith and in a manner they reasonably believed to be in or not opposed to the best interests of New Marriott, and with respect to any criminal action or proceeding, had no reasonable cause to believe their conduct was unlawful. A similar standard of care is applicable in the case of derivative actions, except that indemnification only extends to expenses (including attorneys' fees) incurred in connection with defense or settlement of such an action and the DGCL requires court approval before there can be any indemnification where the person seeking indemnification has been found liable to New Marriott.</w:t>
      </w:r>
    </w:p>
    <w:p>
      <w:pPr>
        <w:spacing w:after="0" w:line="182" w:lineRule="exact"/>
        <w:rPr>
          <w:sz w:val="20"/>
          <w:szCs w:val="20"/>
          <w:color w:val="auto"/>
        </w:rPr>
      </w:pPr>
    </w:p>
    <w:p>
      <w:pPr>
        <w:jc w:val="both"/>
        <w:ind w:right="3079" w:firstLine="894"/>
        <w:spacing w:after="0" w:line="241" w:lineRule="auto"/>
        <w:rPr>
          <w:sz w:val="20"/>
          <w:szCs w:val="20"/>
          <w:color w:val="auto"/>
        </w:rPr>
      </w:pPr>
      <w:r>
        <w:rPr>
          <w:rFonts w:ascii="Courier New" w:cs="Courier New" w:eastAsia="Courier New" w:hAnsi="Courier New"/>
          <w:sz w:val="15"/>
          <w:szCs w:val="15"/>
          <w:color w:val="auto"/>
        </w:rPr>
        <w:t>Section 7.7 of the New Marriott Bylaws provides that New Marriott will indemnify any person to whom, and to the extent, indemnification may be granted pursuant to Section 145 of the DGCL.</w:t>
      </w:r>
    </w:p>
    <w:p>
      <w:pPr>
        <w:spacing w:after="0" w:line="176" w:lineRule="exact"/>
        <w:rPr>
          <w:sz w:val="20"/>
          <w:szCs w:val="20"/>
          <w:color w:val="auto"/>
        </w:rPr>
      </w:pPr>
    </w:p>
    <w:p>
      <w:pPr>
        <w:ind w:right="3259" w:firstLine="894"/>
        <w:spacing w:after="0" w:line="242" w:lineRule="auto"/>
        <w:rPr>
          <w:sz w:val="20"/>
          <w:szCs w:val="20"/>
          <w:color w:val="auto"/>
        </w:rPr>
      </w:pPr>
      <w:r>
        <w:rPr>
          <w:rFonts w:ascii="Courier New" w:cs="Courier New" w:eastAsia="Courier New" w:hAnsi="Courier New"/>
          <w:sz w:val="15"/>
          <w:szCs w:val="15"/>
          <w:color w:val="auto"/>
        </w:rPr>
        <w:t>Article Eleventh of the New Marriott Certificate provides that each person who was or is made a party to, or is otherwise involved in any action, suit or proceeding by reason of the fact that he or she is or was a director, officer or employee of New Marriott or is or was serving at the request of New Marriott as a director, officer, employee or agent of another</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5" w:right="1440" w:bottom="1440" w:gutter="0" w:footer="0" w:header="0"/>
        </w:sectPr>
      </w:pPr>
    </w:p>
    <w:bookmarkStart w:id="5" w:name="page6"/>
    <w:bookmarkEnd w:id="5"/>
    <w:p>
      <w:pPr>
        <w:ind w:left="8" w:right="3079"/>
        <w:spacing w:after="0" w:line="242" w:lineRule="auto"/>
        <w:rPr>
          <w:sz w:val="20"/>
          <w:szCs w:val="20"/>
          <w:color w:val="auto"/>
        </w:rPr>
      </w:pPr>
      <w:r>
        <w:rPr>
          <w:rFonts w:ascii="Courier New" w:cs="Courier New" w:eastAsia="Courier New" w:hAnsi="Courier New"/>
          <w:sz w:val="15"/>
          <w:szCs w:val="15"/>
          <w:color w:val="auto"/>
        </w:rPr>
        <w:t>corporation or of a partnership, joint venture, trust or other enterprise, including service with respect to an employee benefit plan (an "indemnitee"), whether the basis of such proceeding is alleged activity in an official capacity as a director, officer, employee or agent or in any other capacity while serving as a director, officer, employee or agent, shall be indemnified and held harmless by New Marriott to the fullest extent authorized by the DGCL, as the same exists or may be amended (but, in the case of any such amendment, only to the extent that such amendment permits New Marriott to provide broader indemnification rights than permitted prior thereto), against all expense, liability and loss (including attorneys' fees, judgments, fines, ERISA excise taxes or penalties and amounts paid in settlement) reasonably incurred or suffered by such indemnitee in connection therewith and such indemnification shall continue as to an indemnitee who has ceased to be a director, officer or employee and shall inure to the benefit of the indemnitee's heirs, executors and administrators; provided that except with respect to proceedings to enforce rights to indemnification, New Marriott shall indemnify any such indemnitee in connection with a proceeding (or part thereof) initiated by such indemnitee only if such proceeding (or part thereof) was authorized by the board of directors. Article Eleven also provides that the right of indemnification will be in addition to and not exclusive of all other rights to which that director, officer or employee may be entitled.</w:t>
      </w:r>
    </w:p>
    <w:p>
      <w:pPr>
        <w:spacing w:after="0" w:line="185"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4"/>
          <w:szCs w:val="14"/>
          <w:color w:val="auto"/>
        </w:rPr>
        <w:t>EXEMPTION FROM REGISTRATION CLAIMED.</w:t>
      </w:r>
    </w:p>
    <w:p>
      <w:pPr>
        <w:spacing w:after="0" w:line="174"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Not applicable.</w:t>
      </w:r>
    </w:p>
    <w:p>
      <w:pPr>
        <w:spacing w:after="0" w:line="174"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EXHIBITS.</w:t>
      </w:r>
    </w:p>
    <w:p>
      <w:pPr>
        <w:spacing w:after="0" w:line="176" w:lineRule="exact"/>
        <w:rPr>
          <w:sz w:val="20"/>
          <w:szCs w:val="20"/>
          <w:color w:val="auto"/>
        </w:rPr>
      </w:pPr>
    </w:p>
    <w:p>
      <w:pPr>
        <w:ind w:left="8" w:right="3079" w:firstLine="894"/>
        <w:spacing w:after="0" w:line="241" w:lineRule="auto"/>
        <w:rPr>
          <w:sz w:val="20"/>
          <w:szCs w:val="20"/>
          <w:color w:val="auto"/>
        </w:rPr>
      </w:pPr>
      <w:r>
        <w:rPr>
          <w:rFonts w:ascii="Courier New" w:cs="Courier New" w:eastAsia="Courier New" w:hAnsi="Courier New"/>
          <w:sz w:val="15"/>
          <w:szCs w:val="15"/>
          <w:color w:val="auto"/>
        </w:rPr>
        <w:t>Unless otherwise indicated below as being incorporated by reference to another filing of the Registrant with the Commission, each of the following exhibits is filed herewith:</w:t>
      </w:r>
    </w:p>
    <w:p>
      <w:pPr>
        <w:spacing w:after="0" w:line="348" w:lineRule="exact"/>
        <w:rPr>
          <w:sz w:val="20"/>
          <w:szCs w:val="20"/>
          <w:color w:val="auto"/>
        </w:rPr>
      </w:pPr>
    </w:p>
    <w:p>
      <w:pPr>
        <w:ind w:left="1248" w:right="3259" w:hanging="801"/>
        <w:spacing w:after="0" w:line="260" w:lineRule="auto"/>
        <w:tabs>
          <w:tab w:leader="none" w:pos="1248"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the Employees' Profit Sharing, Retirement and Savings Plan and Trust hereby undertake that they have submitted and will submit the Plan and any amendments to the Plan to the</w:t>
      </w:r>
    </w:p>
    <w:p>
      <w:pPr>
        <w:spacing w:after="0" w:line="1" w:lineRule="exact"/>
        <w:rPr>
          <w:sz w:val="20"/>
          <w:szCs w:val="20"/>
          <w:color w:val="auto"/>
        </w:rPr>
      </w:pPr>
    </w:p>
    <w:p>
      <w:pPr>
        <w:jc w:val="both"/>
        <w:ind w:left="1248" w:right="3079"/>
        <w:spacing w:after="0" w:line="241" w:lineRule="auto"/>
        <w:rPr>
          <w:sz w:val="20"/>
          <w:szCs w:val="20"/>
          <w:color w:val="auto"/>
        </w:rPr>
      </w:pPr>
      <w:r>
        <w:rPr>
          <w:rFonts w:ascii="Courier New" w:cs="Courier New" w:eastAsia="Courier New" w:hAnsi="Courier New"/>
          <w:sz w:val="15"/>
          <w:szCs w:val="15"/>
          <w:color w:val="auto"/>
        </w:rPr>
        <w:t>Internal Revenue Service in a timely manner and have made and will make all changes required by the Internal Revenue Service in order to qualify the Plan.</w:t>
      </w:r>
    </w:p>
    <w:p>
      <w:pPr>
        <w:spacing w:after="0" w:line="2" w:lineRule="exact"/>
        <w:rPr>
          <w:sz w:val="20"/>
          <w:szCs w:val="20"/>
          <w:color w:val="auto"/>
        </w:rPr>
      </w:pPr>
    </w:p>
    <w:p>
      <w:pPr>
        <w:ind w:left="448"/>
        <w:spacing w:after="0"/>
        <w:tabs>
          <w:tab w:leader="none" w:pos="1228"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4"/>
          <w:szCs w:val="14"/>
          <w:color w:val="auto"/>
        </w:rPr>
        <w:t>Consent of Arthur Andersen LLP.</w:t>
      </w:r>
    </w:p>
    <w:p>
      <w:pPr>
        <w:spacing w:after="0" w:line="2" w:lineRule="exact"/>
        <w:rPr>
          <w:sz w:val="20"/>
          <w:szCs w:val="20"/>
          <w:color w:val="auto"/>
        </w:rPr>
      </w:pPr>
    </w:p>
    <w:p>
      <w:pPr>
        <w:ind w:left="1248" w:hanging="801"/>
        <w:spacing w:after="0"/>
        <w:tabs>
          <w:tab w:leader="none" w:pos="1248"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 of Attorney (included on signature page).</w:t>
      </w:r>
    </w:p>
    <w:p>
      <w:pPr>
        <w:spacing w:after="0" w:line="174"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ITEM 9.  UNDERTAKINGS.</w:t>
      </w:r>
    </w:p>
    <w:p>
      <w:pPr>
        <w:spacing w:after="0" w:line="174"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w:t>
      </w:r>
    </w:p>
    <w:p>
      <w:pPr>
        <w:spacing w:after="0" w:line="176" w:lineRule="exact"/>
        <w:rPr>
          <w:sz w:val="20"/>
          <w:szCs w:val="20"/>
          <w:color w:val="auto"/>
        </w:rPr>
      </w:pPr>
    </w:p>
    <w:p>
      <w:pPr>
        <w:ind w:left="888" w:right="3159" w:hanging="441"/>
        <w:spacing w:after="0"/>
        <w:tabs>
          <w:tab w:leader="none" w:pos="88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during any period in which offers or sales are being made, a post-effective amendment to this registration statement:</w:t>
      </w:r>
    </w:p>
    <w:p>
      <w:pPr>
        <w:spacing w:after="0" w:line="176" w:lineRule="exact"/>
        <w:rPr>
          <w:sz w:val="20"/>
          <w:szCs w:val="20"/>
          <w:color w:val="auto"/>
        </w:rPr>
      </w:pPr>
    </w:p>
    <w:p>
      <w:pPr>
        <w:ind w:left="888" w:right="3079" w:firstLine="453"/>
        <w:spacing w:after="0"/>
        <w:tabs>
          <w:tab w:leader="none" w:pos="1693"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prospectus required by section 10(a)(3) of the Securities Act of 1933, as amended (the "Securities Act");</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7"/>
          </w:cols>
          <w:pgMar w:left="232" w:top="635" w:right="1440" w:bottom="1440" w:gutter="0" w:footer="0" w:header="0"/>
        </w:sectPr>
      </w:pPr>
    </w:p>
    <w:bookmarkStart w:id="6" w:name="page7"/>
    <w:bookmarkEnd w:id="6"/>
    <w:p>
      <w:pPr>
        <w:ind w:left="888" w:right="3079" w:firstLine="453"/>
        <w:spacing w:after="0" w:line="242" w:lineRule="auto"/>
        <w:tabs>
          <w:tab w:leader="none" w:pos="1783"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and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181" w:lineRule="exact"/>
        <w:rPr>
          <w:rFonts w:ascii="Courier New" w:cs="Courier New" w:eastAsia="Courier New" w:hAnsi="Courier New"/>
          <w:sz w:val="15"/>
          <w:szCs w:val="15"/>
          <w:color w:val="auto"/>
        </w:rPr>
      </w:pPr>
    </w:p>
    <w:p>
      <w:pPr>
        <w:ind w:left="888" w:right="3339" w:firstLine="453"/>
        <w:spacing w:after="0" w:line="242" w:lineRule="auto"/>
        <w:tabs>
          <w:tab w:leader="none" w:pos="1962"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material information with respect to the plan of distribution not previously disclosed in the registration statement or any material change to such information in the registration statement;</w:t>
      </w:r>
    </w:p>
    <w:p>
      <w:pPr>
        <w:spacing w:after="0" w:line="175" w:lineRule="exact"/>
        <w:rPr>
          <w:sz w:val="20"/>
          <w:szCs w:val="20"/>
          <w:color w:val="auto"/>
        </w:rPr>
      </w:pPr>
    </w:p>
    <w:p>
      <w:pPr>
        <w:ind w:left="8" w:right="3259" w:firstLine="894"/>
        <w:spacing w:after="0" w:line="242" w:lineRule="auto"/>
        <w:rPr>
          <w:sz w:val="20"/>
          <w:szCs w:val="20"/>
          <w:color w:val="auto"/>
        </w:rPr>
      </w:pPr>
      <w:r>
        <w:rPr>
          <w:rFonts w:ascii="Courier New" w:cs="Courier New" w:eastAsia="Courier New" w:hAnsi="Courier New"/>
          <w:sz w:val="15"/>
          <w:szCs w:val="15"/>
          <w:color w:val="auto"/>
        </w:rPr>
        <w:t>provided, however, that paragraphs (1)(a)(i) and (1)(a)(ii) do not apply if the information required to be included in a post-effective amendment by those paragraphs is contained in periodic reports filed by the Registrant pursuant to Section 13 or Section 15(d) of the Exchange Act that are incorporated by reference in this registration statement.</w:t>
      </w:r>
    </w:p>
    <w:p>
      <w:pPr>
        <w:spacing w:after="0" w:line="175" w:lineRule="exact"/>
        <w:rPr>
          <w:sz w:val="20"/>
          <w:szCs w:val="20"/>
          <w:color w:val="auto"/>
        </w:rPr>
      </w:pPr>
    </w:p>
    <w:p>
      <w:pPr>
        <w:ind w:left="888" w:right="3159" w:hanging="441"/>
        <w:spacing w:after="0" w:line="242" w:lineRule="auto"/>
        <w:tabs>
          <w:tab w:leader="none" w:pos="888"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Courier New" w:cs="Courier New" w:eastAsia="Courier New" w:hAnsi="Courier New"/>
          <w:sz w:val="15"/>
          <w:szCs w:val="15"/>
          <w:color w:val="auto"/>
        </w:rPr>
      </w:pPr>
    </w:p>
    <w:p>
      <w:pPr>
        <w:ind w:left="888" w:right="3079" w:hanging="441"/>
        <w:spacing w:after="0" w:line="241" w:lineRule="auto"/>
        <w:tabs>
          <w:tab w:leader="none" w:pos="888"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from registration by means of a post-effective amendment any of the securities being registered which remain unsold at the termination of the offering.</w:t>
      </w:r>
    </w:p>
    <w:p>
      <w:pPr>
        <w:spacing w:after="0" w:line="176" w:lineRule="exact"/>
        <w:rPr>
          <w:rFonts w:ascii="Courier New" w:cs="Courier New" w:eastAsia="Courier New" w:hAnsi="Courier New"/>
          <w:sz w:val="15"/>
          <w:szCs w:val="15"/>
          <w:color w:val="auto"/>
        </w:rPr>
      </w:pPr>
    </w:p>
    <w:p>
      <w:pPr>
        <w:ind w:left="448" w:right="3079" w:hanging="448"/>
        <w:spacing w:after="0" w:line="242" w:lineRule="auto"/>
        <w:tabs>
          <w:tab w:leader="none" w:pos="44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that, for purposes of determining any liability under the Securities Act, each filing of the Registrant's annual report pursuant to Section 13(a) or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76" w:lineRule="exact"/>
        <w:rPr>
          <w:rFonts w:ascii="Courier New" w:cs="Courier New" w:eastAsia="Courier New" w:hAnsi="Courier New"/>
          <w:sz w:val="15"/>
          <w:szCs w:val="15"/>
          <w:color w:val="auto"/>
        </w:rPr>
      </w:pPr>
    </w:p>
    <w:p>
      <w:pPr>
        <w:ind w:left="448" w:right="3079" w:hanging="448"/>
        <w:spacing w:after="0" w:line="242" w:lineRule="auto"/>
        <w:tabs>
          <w:tab w:leader="none" w:pos="44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w:t>
      </w:r>
    </w:p>
    <w:p>
      <w:pPr>
        <w:spacing w:after="0" w:line="179"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7"/>
          </w:cols>
          <w:pgMar w:left="232" w:top="635" w:right="1440" w:bottom="1440" w:gutter="0" w:footer="0" w:header="0"/>
        </w:sectPr>
      </w:pPr>
    </w:p>
    <w:bookmarkStart w:id="7" w:name="page8"/>
    <w:bookmarkEnd w:id="7"/>
    <w:p>
      <w:pPr>
        <w:ind w:right="3079"/>
        <w:spacing w:after="0" w:line="242" w:lineRule="auto"/>
        <w:rPr>
          <w:sz w:val="20"/>
          <w:szCs w:val="20"/>
          <w:color w:val="auto"/>
        </w:rPr>
      </w:pPr>
      <w:r>
        <w:rPr>
          <w:rFonts w:ascii="Courier New" w:cs="Courier New" w:eastAsia="Courier New" w:hAnsi="Courier New"/>
          <w:sz w:val="15"/>
          <w:szCs w:val="15"/>
          <w:color w:val="auto"/>
        </w:rPr>
        <w:t>controlling precedent, submit to a court of appropriate jurisdiction the question whether such indemnification by it is against public policy as expressed in the Act and will be governed by the final adjudication of such issue.</w:t>
      </w:r>
    </w:p>
    <w:p>
      <w:pPr>
        <w:spacing w:after="0" w:line="173"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779"/>
          </w:cols>
          <w:pgMar w:left="680" w:top="635" w:right="1440" w:bottom="1440" w:gutter="0" w:footer="0" w:header="0"/>
        </w:sectPr>
      </w:pPr>
    </w:p>
    <w:bookmarkStart w:id="8" w:name="page9"/>
    <w:bookmarkEnd w:id="8"/>
    <w:p>
      <w:pPr>
        <w:ind w:left="3120"/>
        <w:spacing w:after="0"/>
        <w:rPr>
          <w:sz w:val="20"/>
          <w:szCs w:val="20"/>
          <w:color w:val="auto"/>
        </w:rPr>
      </w:pPr>
      <w:r>
        <w:rPr>
          <w:rFonts w:ascii="Courier New" w:cs="Courier New" w:eastAsia="Courier New" w:hAnsi="Courier New"/>
          <w:sz w:val="15"/>
          <w:szCs w:val="15"/>
          <w:color w:val="auto"/>
        </w:rPr>
        <w:t>SIGNATURES</w:t>
      </w:r>
    </w:p>
    <w:p>
      <w:pPr>
        <w:spacing w:after="0" w:line="176" w:lineRule="exact"/>
        <w:rPr>
          <w:sz w:val="20"/>
          <w:szCs w:val="20"/>
          <w:color w:val="auto"/>
        </w:rPr>
      </w:pPr>
    </w:p>
    <w:p>
      <w:pPr>
        <w:ind w:right="3159" w:firstLine="894"/>
        <w:spacing w:after="0" w:line="242"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below by the following persons on behalf of the Employees' Profit Sharing, Retirement and Savings Plan and Trust in the capacities and on the date indicated below.</w:t>
      </w:r>
    </w:p>
    <w:p>
      <w:pPr>
        <w:spacing w:after="0" w:line="34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EMPLOYEES' PROFIT SHARING,</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RETIREMENT AND SAVINGS PLAN AND TRUST</w:t>
      </w:r>
    </w:p>
    <w:p>
      <w:pPr>
        <w:spacing w:after="0" w:line="174"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By: /s/</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Name: Michael A. Stein</w:t>
      </w:r>
    </w:p>
    <w:p>
      <w:pPr>
        <w:spacing w:after="0" w:line="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Title: Member, Profit Sharing Plan Committee</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Date: March 19, 1998</w:t>
      </w:r>
    </w:p>
    <w:p>
      <w:pPr>
        <w:spacing w:after="0" w:line="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w:t>
      </w:r>
    </w:p>
    <w:p>
      <w:pPr>
        <w:spacing w:after="0" w:line="348" w:lineRule="exact"/>
        <w:rPr>
          <w:sz w:val="20"/>
          <w:szCs w:val="20"/>
          <w:color w:val="auto"/>
        </w:rPr>
      </w:pPr>
    </w:p>
    <w:p>
      <w:pPr>
        <w:ind w:right="3079" w:firstLine="894"/>
        <w:spacing w:after="0" w:line="242" w:lineRule="auto"/>
        <w:rPr>
          <w:sz w:val="20"/>
          <w:szCs w:val="20"/>
          <w:color w:val="auto"/>
        </w:rPr>
      </w:pPr>
      <w:r>
        <w:rPr>
          <w:rFonts w:ascii="Courier New" w:cs="Courier New" w:eastAsia="Courier New" w:hAnsi="Courier New"/>
          <w:sz w:val="15"/>
          <w:szCs w:val="15"/>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County of Montgomery, State of Maryland, on this 19th day of March, 1998.</w:t>
      </w:r>
    </w:p>
    <w:p>
      <w:pPr>
        <w:spacing w:after="0" w:line="174"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New Marriott MI, Inc.</w:t>
      </w:r>
    </w:p>
    <w:p>
      <w:pPr>
        <w:spacing w:after="0" w:line="346"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By: /s/</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J.W. Marriott, Jr.</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Chairman of the Board and</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Chief Executive Officer</w:t>
      </w:r>
    </w:p>
    <w:p>
      <w:pPr>
        <w:spacing w:after="0" w:line="176" w:lineRule="exact"/>
        <w:rPr>
          <w:sz w:val="20"/>
          <w:szCs w:val="20"/>
          <w:color w:val="auto"/>
        </w:rPr>
      </w:pPr>
    </w:p>
    <w:p>
      <w:pPr>
        <w:ind w:right="3079" w:firstLine="894"/>
        <w:spacing w:after="0" w:line="242" w:lineRule="auto"/>
        <w:rPr>
          <w:sz w:val="20"/>
          <w:szCs w:val="20"/>
          <w:color w:val="auto"/>
        </w:rPr>
      </w:pPr>
      <w:r>
        <w:rPr>
          <w:rFonts w:ascii="Courier New" w:cs="Courier New" w:eastAsia="Courier New" w:hAnsi="Courier New"/>
          <w:sz w:val="15"/>
          <w:szCs w:val="15"/>
          <w:color w:val="auto"/>
        </w:rPr>
        <w:t>Each person whose signature appears below constitutes and appoints J.W. Marriott, Jr. and Michael A. Stein as his true and lawful attorney-in-fact and agent, with full power of substitution and resubstitution, for such person and in his name, place and stead, in any and all capacities, to sign any or all further amendments (including post-effective amendments) to this Registration Statement,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might or could do in person, hereby ratifying and confirming all that said attorney-in-fact and agent, or his substitute or substitutes, may lawfully do or cause to be done by virtue hereof.</w:t>
      </w:r>
    </w:p>
    <w:p>
      <w:pPr>
        <w:sectPr>
          <w:pgSz w:w="11900" w:h="16838" w:orient="portrait"/>
          <w:cols w:equalWidth="0" w:num="1">
            <w:col w:w="10219"/>
          </w:cols>
          <w:pgMar w:left="240" w:top="633" w:right="1440" w:bottom="1440" w:gutter="0" w:footer="0" w:header="0"/>
        </w:sectPr>
      </w:pPr>
    </w:p>
    <w:bookmarkStart w:id="9" w:name="page10"/>
    <w:bookmarkEnd w:id="9"/>
    <w:p>
      <w:pPr>
        <w:ind w:left="8" w:right="3159" w:firstLine="894"/>
        <w:spacing w:after="0" w:line="241"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below by the following persons on behalf of the Company in the capacities and on the date indicated above.</w:t>
      </w:r>
    </w:p>
    <w:p>
      <w:pPr>
        <w:sectPr>
          <w:pgSz w:w="11900" w:h="16838" w:orient="portrait"/>
          <w:cols w:equalWidth="0" w:num="1">
            <w:col w:w="10227"/>
          </w:cols>
          <w:pgMar w:left="232" w:top="63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528"/>
        <w:spacing w:after="0"/>
        <w:rPr>
          <w:sz w:val="20"/>
          <w:szCs w:val="20"/>
          <w:color w:val="auto"/>
        </w:rPr>
      </w:pPr>
      <w:r>
        <w:rPr>
          <w:rFonts w:ascii="Courier New" w:cs="Courier New" w:eastAsia="Courier New" w:hAnsi="Courier New"/>
          <w:sz w:val="15"/>
          <w:szCs w:val="15"/>
          <w:color w:val="auto"/>
        </w:rPr>
        <w:t>Signature</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Title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5" w:lineRule="exact"/>
        <w:rPr>
          <w:sz w:val="20"/>
          <w:szCs w:val="20"/>
          <w:color w:val="auto"/>
        </w:rPr>
      </w:pPr>
    </w:p>
    <w:p>
      <w:pPr>
        <w:sectPr>
          <w:pgSz w:w="11900" w:h="16838" w:orient="portrait"/>
          <w:cols w:equalWidth="0" w:num="2">
            <w:col w:w="4108" w:space="180"/>
            <w:col w:w="5939"/>
          </w:cols>
          <w:pgMar w:left="232" w:top="635" w:right="1440" w:bottom="1440" w:gutter="0" w:footer="0" w:header="0"/>
          <w:type w:val="continuous"/>
        </w:sectPr>
      </w:pPr>
    </w:p>
    <w:p>
      <w:pPr>
        <w:ind w:left="8"/>
        <w:spacing w:after="0"/>
        <w:rPr>
          <w:sz w:val="20"/>
          <w:szCs w:val="20"/>
          <w:color w:val="auto"/>
        </w:rPr>
      </w:pPr>
      <w:r>
        <w:rPr>
          <w:rFonts w:ascii="Courier New" w:cs="Courier New" w:eastAsia="Courier New" w:hAnsi="Courier New"/>
          <w:sz w:val="14"/>
          <w:szCs w:val="14"/>
          <w:color w:val="auto"/>
        </w:rPr>
        <w:t>PRINCIPAL EXECUTIVE OFFICER:</w:t>
      </w:r>
    </w:p>
    <w:p>
      <w:pPr>
        <w:spacing w:after="0" w:line="12" w:lineRule="exact"/>
        <w:rPr>
          <w:sz w:val="20"/>
          <w:szCs w:val="20"/>
          <w:color w:val="auto"/>
        </w:rPr>
      </w:pPr>
    </w:p>
    <w:p>
      <w:pPr>
        <w:ind w:left="1248"/>
        <w:spacing w:after="0"/>
        <w:rPr>
          <w:sz w:val="20"/>
          <w:szCs w:val="20"/>
          <w:color w:val="auto"/>
        </w:rPr>
      </w:pPr>
      <w:r>
        <w:rPr>
          <w:rFonts w:ascii="Courier New" w:cs="Courier New" w:eastAsia="Courier New" w:hAnsi="Courier New"/>
          <w:sz w:val="15"/>
          <w:szCs w:val="15"/>
          <w:color w:val="auto"/>
        </w:rPr>
        <w: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Chairman of the Board of Directors and</w:t>
      </w:r>
    </w:p>
    <w:p>
      <w:pPr>
        <w:spacing w:after="0" w:line="12"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Chief Executive Officer</w:t>
      </w:r>
    </w:p>
    <w:p>
      <w:pPr>
        <w:spacing w:after="0" w:line="4" w:lineRule="exact"/>
        <w:rPr>
          <w:sz w:val="20"/>
          <w:szCs w:val="20"/>
          <w:color w:val="auto"/>
        </w:rPr>
      </w:pPr>
    </w:p>
    <w:p>
      <w:pPr>
        <w:sectPr>
          <w:pgSz w:w="11900" w:h="16838" w:orient="portrait"/>
          <w:cols w:equalWidth="0" w:num="2">
            <w:col w:w="3568" w:space="720"/>
            <w:col w:w="5939"/>
          </w:cols>
          <w:pgMar w:left="232" w:top="635" w:right="1440" w:bottom="1440" w:gutter="0" w:footer="0" w:header="0"/>
          <w:type w:val="continuous"/>
        </w:sectPr>
      </w:pPr>
    </w:p>
    <w:p>
      <w:pPr>
        <w:ind w:left="188" w:hanging="188"/>
        <w:spacing w:after="0"/>
        <w:tabs>
          <w:tab w:leader="none" w:pos="188"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1" w:lineRule="exact"/>
        <w:rPr>
          <w:rFonts w:ascii="Courier New" w:cs="Courier New" w:eastAsia="Courier New" w:hAnsi="Courier New"/>
          <w:sz w:val="14"/>
          <w:szCs w:val="14"/>
          <w:color w:val="auto"/>
        </w:rPr>
      </w:pPr>
    </w:p>
    <w:p>
      <w:pPr>
        <w:ind w:left="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J.W. Marriott, Jr.</w:t>
      </w:r>
    </w:p>
    <w:p>
      <w:pPr>
        <w:sectPr>
          <w:pgSz w:w="11900" w:h="16838" w:orient="portrait"/>
          <w:cols w:equalWidth="0" w:num="1">
            <w:col w:w="10227"/>
          </w:cols>
          <w:pgMar w:left="232" w:top="635" w:right="1440" w:bottom="1440" w:gutter="0" w:footer="0" w:header="0"/>
          <w:type w:val="continuous"/>
        </w:sectPr>
      </w:pP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PRINCIPAL FINANCIAL OFFICER:</w:t>
      </w:r>
    </w:p>
    <w:p>
      <w:pPr>
        <w:spacing w:after="0" w:line="12" w:lineRule="exact"/>
        <w:rPr>
          <w:sz w:val="20"/>
          <w:szCs w:val="20"/>
          <w:color w:val="auto"/>
        </w:rPr>
      </w:pPr>
    </w:p>
    <w:p>
      <w:pPr>
        <w:ind w:left="1248"/>
        <w:spacing w:after="0"/>
        <w:rPr>
          <w:sz w:val="20"/>
          <w:szCs w:val="20"/>
          <w:color w:val="auto"/>
        </w:rPr>
      </w:pPr>
      <w:r>
        <w:rPr>
          <w:rFonts w:ascii="Courier New" w:cs="Courier New" w:eastAsia="Courier New" w:hAnsi="Courier New"/>
          <w:sz w:val="15"/>
          <w:szCs w:val="15"/>
          <w:color w:val="auto"/>
        </w:rPr>
        <w:t>/s/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Executive Vice President and</w:t>
      </w:r>
    </w:p>
    <w:p>
      <w:pPr>
        <w:spacing w:after="0" w:line="12"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Chief Financial Officer</w:t>
      </w:r>
    </w:p>
    <w:p>
      <w:pPr>
        <w:spacing w:after="0" w:line="4" w:lineRule="exact"/>
        <w:rPr>
          <w:sz w:val="20"/>
          <w:szCs w:val="20"/>
          <w:color w:val="auto"/>
        </w:rPr>
      </w:pPr>
    </w:p>
    <w:p>
      <w:pPr>
        <w:sectPr>
          <w:pgSz w:w="11900" w:h="16838" w:orient="portrait"/>
          <w:cols w:equalWidth="0" w:num="2">
            <w:col w:w="3568" w:space="720"/>
            <w:col w:w="5939"/>
          </w:cols>
          <w:pgMar w:left="232" w:top="635" w:right="1440" w:bottom="1440" w:gutter="0" w:footer="0" w:header="0"/>
          <w:type w:val="continuous"/>
        </w:sectPr>
      </w:pPr>
    </w:p>
    <w:p>
      <w:pPr>
        <w:ind w:left="188" w:hanging="188"/>
        <w:spacing w:after="0"/>
        <w:tabs>
          <w:tab w:leader="none" w:pos="188"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1" w:lineRule="exact"/>
        <w:rPr>
          <w:rFonts w:ascii="Courier New" w:cs="Courier New" w:eastAsia="Courier New" w:hAnsi="Courier New"/>
          <w:sz w:val="14"/>
          <w:szCs w:val="14"/>
          <w:color w:val="auto"/>
        </w:rPr>
      </w:pPr>
    </w:p>
    <w:p>
      <w:pPr>
        <w:ind w:left="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Michael A. Stein</w:t>
      </w:r>
    </w:p>
    <w:p>
      <w:pPr>
        <w:sectPr>
          <w:pgSz w:w="11900" w:h="16838" w:orient="portrait"/>
          <w:cols w:equalWidth="0" w:num="1">
            <w:col w:w="10227"/>
          </w:cols>
          <w:pgMar w:left="232" w:top="635" w:right="1440" w:bottom="1440" w:gutter="0" w:footer="0" w:header="0"/>
          <w:type w:val="continuous"/>
        </w:sectPr>
      </w:pP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PRINCIPAL ACCOUNTING OFFICER:</w:t>
      </w:r>
    </w:p>
    <w:p>
      <w:pPr>
        <w:spacing w:after="0" w:line="12" w:lineRule="exact"/>
        <w:rPr>
          <w:sz w:val="20"/>
          <w:szCs w:val="20"/>
          <w:color w:val="auto"/>
        </w:rPr>
      </w:pPr>
    </w:p>
    <w:p>
      <w:pPr>
        <w:ind w:left="1248"/>
        <w:spacing w:after="0"/>
        <w:rPr>
          <w:sz w:val="20"/>
          <w:szCs w:val="20"/>
          <w:color w:val="auto"/>
        </w:rPr>
      </w:pPr>
      <w:r>
        <w:rPr>
          <w:rFonts w:ascii="Courier New" w:cs="Courier New" w:eastAsia="Courier New" w:hAnsi="Courier New"/>
          <w:sz w:val="15"/>
          <w:szCs w:val="15"/>
          <w:color w:val="auto"/>
        </w:rPr>
        <w:t>/s/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4"/>
          <w:szCs w:val="14"/>
          <w:color w:val="auto"/>
        </w:rPr>
        <w:t>Vice President-Finance and Chief</w:t>
      </w:r>
    </w:p>
    <w:p>
      <w:pPr>
        <w:spacing w:after="0" w:line="12"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5"/>
          <w:szCs w:val="15"/>
          <w:color w:val="auto"/>
        </w:rPr>
        <w:t>Accounting Officer</w:t>
      </w:r>
    </w:p>
    <w:p>
      <w:pPr>
        <w:spacing w:after="0" w:line="4" w:lineRule="exact"/>
        <w:rPr>
          <w:sz w:val="20"/>
          <w:szCs w:val="20"/>
          <w:color w:val="auto"/>
        </w:rPr>
      </w:pPr>
    </w:p>
    <w:p>
      <w:pPr>
        <w:sectPr>
          <w:pgSz w:w="11900" w:h="16838" w:orient="portrait"/>
          <w:cols w:equalWidth="0" w:num="2">
            <w:col w:w="3848" w:space="720"/>
            <w:col w:w="5659"/>
          </w:cols>
          <w:pgMar w:left="232" w:top="635" w:right="1440" w:bottom="1440" w:gutter="0" w:footer="0" w:header="0"/>
          <w:type w:val="continuous"/>
        </w:sectPr>
      </w:pPr>
    </w:p>
    <w:p>
      <w:pPr>
        <w:ind w:left="188" w:hanging="188"/>
        <w:spacing w:after="0"/>
        <w:tabs>
          <w:tab w:leader="none" w:pos="188"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1" w:lineRule="exact"/>
        <w:rPr>
          <w:rFonts w:ascii="Courier New" w:cs="Courier New" w:eastAsia="Courier New" w:hAnsi="Courier New"/>
          <w:sz w:val="14"/>
          <w:szCs w:val="14"/>
          <w:color w:val="auto"/>
        </w:rPr>
      </w:pPr>
    </w:p>
    <w:p>
      <w:pPr>
        <w:ind w:left="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Stephen E. Riffee</w:t>
      </w:r>
    </w:p>
    <w:p>
      <w:pPr>
        <w:sectPr>
          <w:pgSz w:w="11900" w:h="16838" w:orient="portrait"/>
          <w:cols w:equalWidth="0" w:num="1">
            <w:col w:w="10227"/>
          </w:cols>
          <w:pgMar w:left="232" w:top="635" w:right="1440" w:bottom="1440" w:gutter="0" w:footer="0" w:header="0"/>
          <w:type w:val="continuous"/>
        </w:sectPr>
      </w:pPr>
    </w:p>
    <w:p>
      <w:pPr>
        <w:spacing w:after="0" w:line="174" w:lineRule="exact"/>
        <w:rPr>
          <w:sz w:val="20"/>
          <w:szCs w:val="20"/>
          <w:color w:val="auto"/>
        </w:rPr>
      </w:pPr>
    </w:p>
    <w:p>
      <w:pPr>
        <w:ind w:left="1248"/>
        <w:spacing w:after="0"/>
        <w:rPr>
          <w:sz w:val="20"/>
          <w:szCs w:val="20"/>
          <w:color w:val="auto"/>
        </w:rPr>
      </w:pPr>
      <w:r>
        <w:rPr>
          <w:rFonts w:ascii="Courier New" w:cs="Courier New" w:eastAsia="Courier New" w:hAnsi="Courier New"/>
          <w:sz w:val="15"/>
          <w:szCs w:val="15"/>
          <w:color w:val="auto"/>
        </w:rPr>
        <w:t>/s/</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William J. Shaw</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President and Chief</w:t>
      </w:r>
    </w:p>
    <w:p>
      <w:pPr>
        <w:spacing w:after="0" w:line="12"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Operating Officer</w:t>
      </w:r>
    </w:p>
    <w:p>
      <w:pPr>
        <w:spacing w:after="0" w:line="346" w:lineRule="exact"/>
        <w:rPr>
          <w:sz w:val="20"/>
          <w:szCs w:val="20"/>
          <w:color w:val="auto"/>
        </w:rPr>
      </w:pPr>
    </w:p>
    <w:p>
      <w:pPr>
        <w:sectPr>
          <w:pgSz w:w="11900" w:h="16838" w:orient="portrait"/>
          <w:cols w:equalWidth="0" w:num="2">
            <w:col w:w="4108" w:space="540"/>
            <w:col w:w="5579"/>
          </w:cols>
          <w:pgMar w:left="232" w:top="635" w:right="1440" w:bottom="1440" w:gutter="0" w:footer="0" w:header="0"/>
          <w:type w:val="continuous"/>
        </w:sectPr>
      </w:pPr>
    </w:p>
    <w:p>
      <w:pPr>
        <w:ind w:left="1248"/>
        <w:spacing w:after="0"/>
        <w:rPr>
          <w:sz w:val="20"/>
          <w:szCs w:val="20"/>
          <w:color w:val="auto"/>
        </w:rPr>
      </w:pPr>
      <w:r>
        <w:rPr>
          <w:rFonts w:ascii="Courier New" w:cs="Courier New" w:eastAsia="Courier New" w:hAnsi="Courier New"/>
          <w:sz w:val="15"/>
          <w:szCs w:val="15"/>
          <w:color w:val="auto"/>
        </w:rPr>
        <w:t>/s/</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Joseph Ryan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 Executive Vice President</w:t>
      </w:r>
    </w:p>
    <w:p>
      <w:pPr>
        <w:spacing w:after="0" w:line="1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and General Counsel</w:t>
      </w:r>
    </w:p>
    <w:p>
      <w:pPr>
        <w:sectPr>
          <w:pgSz w:w="11900" w:h="16838" w:orient="portrait"/>
          <w:cols w:equalWidth="0" w:num="2">
            <w:col w:w="4108" w:space="360"/>
            <w:col w:w="5759"/>
          </w:cols>
          <w:pgMar w:left="232" w:top="635" w:right="1440" w:bottom="1440" w:gutter="0" w:footer="0" w:header="0"/>
          <w:type w:val="continuous"/>
        </w:sectPr>
      </w:pPr>
    </w:p>
    <w:bookmarkStart w:id="10" w:name="page11"/>
    <w:bookmarkEnd w:id="10"/>
    <w:p>
      <w:pPr>
        <w:ind w:left="2940"/>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10219"/>
          </w:cols>
          <w:pgMar w:left="240" w:top="635" w:right="1440" w:bottom="1440" w:gutter="0" w:footer="0" w:header="0"/>
        </w:sectPr>
      </w:pP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Sequentially</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Numbered Page</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sectPr>
          <w:pgSz w:w="11900" w:h="16838" w:orient="portrait"/>
          <w:cols w:equalWidth="0" w:num="3">
            <w:col w:w="1420" w:space="720"/>
            <w:col w:w="2940" w:space="720"/>
            <w:col w:w="4419"/>
          </w:cols>
          <w:pgMar w:left="240" w:top="635" w:right="1440" w:bottom="1440" w:gutter="0" w:footer="0" w:header="0"/>
          <w:type w:val="continuous"/>
        </w:sectPr>
      </w:pPr>
    </w:p>
    <w:p>
      <w:pPr>
        <w:ind w:left="1520" w:hanging="1439"/>
        <w:spacing w:after="0"/>
        <w:tabs>
          <w:tab w:leader="none" w:pos="15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filed pursuant to Item 8</w:t>
      </w:r>
    </w:p>
    <w:p>
      <w:pPr>
        <w:spacing w:after="0" w:line="2"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900" w:type="dxa"/>
            <w:vAlign w:val="bottom"/>
          </w:tcPr>
          <w:p>
            <w:pPr>
              <w:spacing w:after="0"/>
              <w:rPr>
                <w:sz w:val="20"/>
                <w:szCs w:val="20"/>
                <w:color w:val="auto"/>
              </w:rPr>
            </w:pPr>
            <w:r>
              <w:rPr>
                <w:rFonts w:ascii="Courier New" w:cs="Courier New" w:eastAsia="Courier New" w:hAnsi="Courier New"/>
                <w:sz w:val="15"/>
                <w:szCs w:val="15"/>
                <w:color w:val="auto"/>
              </w:rPr>
              <w:t>23.1</w:t>
            </w:r>
          </w:p>
        </w:tc>
        <w:tc>
          <w:tcPr>
            <w:tcW w:w="2100" w:type="dxa"/>
            <w:vAlign w:val="bottom"/>
          </w:tcPr>
          <w:p>
            <w:pPr>
              <w:ind w:left="540"/>
              <w:spacing w:after="0"/>
              <w:rPr>
                <w:sz w:val="20"/>
                <w:szCs w:val="20"/>
                <w:color w:val="auto"/>
              </w:rPr>
            </w:pPr>
            <w:r>
              <w:rPr>
                <w:rFonts w:ascii="Courier New" w:cs="Courier New" w:eastAsia="Courier New" w:hAnsi="Courier New"/>
                <w:sz w:val="15"/>
                <w:szCs w:val="15"/>
                <w:color w:val="auto"/>
              </w:rPr>
              <w:t>Consent of Arthur</w:t>
            </w:r>
          </w:p>
        </w:tc>
        <w:tc>
          <w:tcPr>
            <w:tcW w:w="2540" w:type="dxa"/>
            <w:vAlign w:val="bottom"/>
          </w:tcPr>
          <w:p>
            <w:pPr>
              <w:ind w:left="40"/>
              <w:spacing w:after="0"/>
              <w:rPr>
                <w:sz w:val="20"/>
                <w:szCs w:val="20"/>
                <w:color w:val="auto"/>
              </w:rPr>
            </w:pPr>
            <w:r>
              <w:rPr>
                <w:rFonts w:ascii="Courier New" w:cs="Courier New" w:eastAsia="Courier New" w:hAnsi="Courier New"/>
                <w:sz w:val="15"/>
                <w:szCs w:val="15"/>
                <w:color w:val="auto"/>
              </w:rPr>
              <w:t>Andersen LLP.</w:t>
            </w:r>
          </w:p>
        </w:tc>
      </w:tr>
      <w:tr>
        <w:trPr>
          <w:trHeight w:val="172"/>
        </w:trPr>
        <w:tc>
          <w:tcPr>
            <w:tcW w:w="900" w:type="dxa"/>
            <w:vAlign w:val="bottom"/>
          </w:tcPr>
          <w:p>
            <w:pPr>
              <w:spacing w:after="0"/>
              <w:rPr>
                <w:sz w:val="20"/>
                <w:szCs w:val="20"/>
                <w:color w:val="auto"/>
              </w:rPr>
            </w:pPr>
            <w:r>
              <w:rPr>
                <w:rFonts w:ascii="Courier New" w:cs="Courier New" w:eastAsia="Courier New" w:hAnsi="Courier New"/>
                <w:sz w:val="15"/>
                <w:szCs w:val="15"/>
                <w:color w:val="auto"/>
              </w:rPr>
              <w:t>24</w:t>
            </w:r>
          </w:p>
        </w:tc>
        <w:tc>
          <w:tcPr>
            <w:tcW w:w="2100" w:type="dxa"/>
            <w:vAlign w:val="bottom"/>
          </w:tcPr>
          <w:p>
            <w:pPr>
              <w:ind w:left="540"/>
              <w:spacing w:after="0"/>
              <w:rPr>
                <w:sz w:val="20"/>
                <w:szCs w:val="20"/>
                <w:color w:val="auto"/>
              </w:rPr>
            </w:pPr>
            <w:r>
              <w:rPr>
                <w:rFonts w:ascii="Courier New" w:cs="Courier New" w:eastAsia="Courier New" w:hAnsi="Courier New"/>
                <w:sz w:val="15"/>
                <w:szCs w:val="15"/>
                <w:color w:val="auto"/>
              </w:rPr>
              <w:t>Power of Attorney</w:t>
            </w:r>
          </w:p>
        </w:tc>
        <w:tc>
          <w:tcPr>
            <w:tcW w:w="2540" w:type="dxa"/>
            <w:vAlign w:val="bottom"/>
          </w:tcPr>
          <w:p>
            <w:pPr>
              <w:ind w:left="40"/>
              <w:spacing w:after="0"/>
              <w:rPr>
                <w:sz w:val="20"/>
                <w:szCs w:val="20"/>
                <w:color w:val="auto"/>
              </w:rPr>
            </w:pPr>
            <w:r>
              <w:rPr>
                <w:rFonts w:ascii="Courier New" w:cs="Courier New" w:eastAsia="Courier New" w:hAnsi="Courier New"/>
                <w:sz w:val="15"/>
                <w:szCs w:val="15"/>
                <w:color w:val="auto"/>
                <w:w w:val="98"/>
              </w:rPr>
              <w:t>(included on signature page)</w:t>
            </w:r>
          </w:p>
        </w:tc>
      </w:tr>
    </w:tbl>
    <w:p>
      <w:pPr>
        <w:sectPr>
          <w:pgSz w:w="11900" w:h="16838" w:orient="portrait"/>
          <w:cols w:equalWidth="0" w:num="1">
            <w:col w:w="10219"/>
          </w:cols>
          <w:pgMar w:left="240" w:top="635" w:right="1440" w:bottom="1440" w:gutter="0" w:footer="0" w:header="0"/>
          <w:type w:val="continuous"/>
        </w:sectPr>
      </w:pPr>
    </w:p>
    <w:bookmarkStart w:id="11" w:name="page12"/>
    <w:bookmarkEnd w:id="11"/>
    <w:p>
      <w:pPr>
        <w:jc w:val="right"/>
        <w:ind w:right="3079"/>
        <w:spacing w:after="0"/>
        <w:rPr>
          <w:sz w:val="20"/>
          <w:szCs w:val="20"/>
          <w:color w:val="auto"/>
        </w:rPr>
      </w:pPr>
      <w:r>
        <w:rPr>
          <w:rFonts w:ascii="Courier New" w:cs="Courier New" w:eastAsia="Courier New" w:hAnsi="Courier New"/>
          <w:sz w:val="15"/>
          <w:szCs w:val="15"/>
          <w:color w:val="auto"/>
        </w:rPr>
        <w:t>EXHIBIT 23.1</w:t>
      </w:r>
    </w:p>
    <w:p>
      <w:pPr>
        <w:spacing w:after="0" w:line="174"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176" w:lineRule="exact"/>
        <w:rPr>
          <w:sz w:val="20"/>
          <w:szCs w:val="20"/>
          <w:color w:val="auto"/>
        </w:rPr>
      </w:pPr>
    </w:p>
    <w:p>
      <w:pPr>
        <w:ind w:right="3439"/>
        <w:spacing w:after="0"/>
        <w:rPr>
          <w:sz w:val="20"/>
          <w:szCs w:val="20"/>
          <w:color w:val="auto"/>
        </w:rPr>
      </w:pPr>
      <w:r>
        <w:rPr>
          <w:rFonts w:ascii="Courier New" w:cs="Courier New" w:eastAsia="Courier New" w:hAnsi="Courier New"/>
          <w:sz w:val="15"/>
          <w:szCs w:val="15"/>
          <w:color w:val="auto"/>
        </w:rPr>
        <w:t>As independent public accountants, we hereby consent to the incorporation by reference in New Marriott MI, Inc.'s Registration Statement on Form S-8</w:t>
      </w:r>
    </w:p>
    <w:p>
      <w:pPr>
        <w:spacing w:after="0" w:line="4" w:lineRule="exact"/>
        <w:rPr>
          <w:sz w:val="20"/>
          <w:szCs w:val="20"/>
          <w:color w:val="auto"/>
        </w:rPr>
      </w:pPr>
    </w:p>
    <w:p>
      <w:pPr>
        <w:ind w:right="3259"/>
        <w:spacing w:after="0" w:line="241" w:lineRule="auto"/>
        <w:rPr>
          <w:sz w:val="20"/>
          <w:szCs w:val="20"/>
          <w:color w:val="auto"/>
        </w:rPr>
      </w:pPr>
      <w:r>
        <w:rPr>
          <w:rFonts w:ascii="Courier New" w:cs="Courier New" w:eastAsia="Courier New" w:hAnsi="Courier New"/>
          <w:sz w:val="15"/>
          <w:szCs w:val="15"/>
          <w:color w:val="auto"/>
        </w:rPr>
        <w:t>of our report dated February 19, 1998 included in New Marriott MI, Inc.'s Form 10-K for the year ended January 2, 1998, and to all references to our Firm included in this registration statement.</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ARTHUR ANDERSEN LLP</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Washington, D.C.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17, 1998</w:t>
      </w:r>
    </w:p>
    <w:sectPr>
      <w:pgSz w:w="11900" w:h="16838" w:orient="portrait"/>
      <w:cols w:equalWidth="0" w:num="1">
        <w:col w:w="10219"/>
      </w:cols>
      <w:pgMar w:left="240" w:top="48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1"/>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5"/>
      <w:numFmt w:val="bullet"/>
      <w:start w:val="1"/>
    </w:lvl>
  </w:abstractNum>
  <w:abstractNum w:abstractNumId="3">
    <w:nsid w:val="5BD062C2"/>
    <w:multiLevelType w:val="hybridMultilevel"/>
    <w:lvl w:ilvl="0">
      <w:lvlJc w:val="left"/>
      <w:lvlText w:val="%1"/>
      <w:numFmt w:val="decimal"/>
      <w:start w:val="1"/>
    </w:lvl>
    <w:lvl w:ilvl="1">
      <w:lvlJc w:val="left"/>
      <w:lvlText w:val="%2"/>
      <w:numFmt w:val="decimal"/>
      <w:start w:val="24"/>
    </w:lvl>
  </w:abstractNum>
  <w:abstractNum w:abstractNumId="4">
    <w:nsid w:val="12200854"/>
    <w:multiLevelType w:val="hybridMultilevel"/>
    <w:lvl w:ilvl="0">
      <w:lvlJc w:val="left"/>
      <w:lvlText w:val="(%1)"/>
      <w:numFmt w:val="decimal"/>
      <w:start w:val="1"/>
    </w:lvl>
    <w:lvl w:ilvl="1">
      <w:lvlJc w:val="left"/>
      <w:lvlText w:val="%2"/>
      <w:numFmt w:val="decimal"/>
      <w:start w:val="1"/>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1)"/>
      <w:numFmt w:val="lowerRoman"/>
      <w:start w:val="1"/>
    </w:lvl>
  </w:abstractNum>
  <w:abstractNum w:abstractNumId="7">
    <w:nsid w:val="1F16E9E8"/>
    <w:multiLevelType w:val="hybridMultilevel"/>
    <w:lvl w:ilvl="0">
      <w:lvlJc w:val="left"/>
      <w:lvlText w:val="(%1)"/>
      <w:numFmt w:val="lowerRoman"/>
      <w:start w:val="2"/>
    </w:lvl>
  </w:abstractNum>
  <w:abstractNum w:abstractNumId="8">
    <w:nsid w:val="1190CDE7"/>
    <w:multiLevelType w:val="hybridMultilevel"/>
    <w:lvl w:ilvl="0">
      <w:lvlJc w:val="left"/>
      <w:lvlText w:val="%1"/>
      <w:numFmt w:val="decimal"/>
      <w:start w:val="1"/>
    </w:lvl>
    <w:lvl w:ilvl="1">
      <w:lvlJc w:val="left"/>
      <w:lvlText w:val="(%2)"/>
      <w:numFmt w:val="lowerLetter"/>
      <w:start w:val="2"/>
    </w:lvl>
  </w:abstractNum>
  <w:abstractNum w:abstractNumId="9">
    <w:nsid w:val="66EF438D"/>
    <w:multiLevelType w:val="hybridMultilevel"/>
    <w:lvl w:ilvl="0">
      <w:lvlJc w:val="left"/>
      <w:lvlText w:val="(%1)"/>
      <w:numFmt w:val="decimal"/>
      <w:start w:val="2"/>
    </w:lvl>
    <w:lvl w:ilvl="1">
      <w:lvlJc w:val="left"/>
      <w:lvlText w:val="%2"/>
      <w:numFmt w:val="lowerLetter"/>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5"/>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2019-12-14T17:50:22Z</dcterms:created>
  <dcterms:modified xsi:type="dcterms:W3CDTF">2019-12-14T17:50:22Z</dcterms:modified>
</cp:coreProperties>
</file>