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201295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39"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241935</wp:posOffset>
            </wp:positionV>
            <wp:extent cx="14744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19"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3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May 8,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227965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drawing>
          <wp:anchor simplePos="0" relativeHeight="251657728" behindDoc="1" locked="0" layoutInCell="0" allowOverlap="1">
            <wp:simplePos x="0" y="0"/>
            <wp:positionH relativeFrom="column">
              <wp:posOffset>3086100</wp:posOffset>
            </wp:positionH>
            <wp:positionV relativeFrom="paragraph">
              <wp:posOffset>390525</wp:posOffset>
            </wp:positionV>
            <wp:extent cx="822960" cy="3003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822960" cy="3003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71"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43"/>
          <w:szCs w:val="43"/>
          <w:b w:val="1"/>
          <w:bCs w:val="1"/>
          <w:color w:val="auto"/>
        </w:rPr>
        <w:t>MARRIOTT INTERNATIONAL, INC.</w:t>
      </w:r>
    </w:p>
    <w:p>
      <w:pPr>
        <w:spacing w:after="0" w:line="5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210185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59" w:lineRule="exact"/>
        <w:rPr>
          <w:sz w:val="24"/>
          <w:szCs w:val="24"/>
          <w:color w:val="auto"/>
        </w:rPr>
      </w:pPr>
    </w:p>
    <w:tbl>
      <w:tblPr>
        <w:tblLayout w:type="fixed"/>
        <w:tblInd w:w="144" w:type="dxa"/>
        <w:tblCellMar>
          <w:top w:w="0" w:type="dxa"/>
          <w:left w:w="0" w:type="dxa"/>
          <w:bottom w:w="0" w:type="dxa"/>
          <w:right w:w="0" w:type="dxa"/>
        </w:tblCellMar>
      </w:tblPr>
      <w:tr>
        <w:trPr>
          <w:trHeight w:val="214"/>
        </w:trPr>
        <w:tc>
          <w:tcPr>
            <w:tcW w:w="4260" w:type="dxa"/>
            <w:vAlign w:val="bottom"/>
          </w:tcPr>
          <w:p>
            <w:pPr>
              <w:jc w:val="center"/>
              <w:ind w:right="741"/>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2960" w:type="dxa"/>
            <w:vAlign w:val="bottom"/>
          </w:tcPr>
          <w:p>
            <w:pPr>
              <w:jc w:val="center"/>
              <w:ind w:right="442"/>
              <w:spacing w:after="0"/>
              <w:rPr>
                <w:sz w:val="20"/>
                <w:szCs w:val="20"/>
                <w:color w:val="auto"/>
              </w:rPr>
            </w:pPr>
            <w:r>
              <w:rPr>
                <w:rFonts w:ascii="Times New Roman" w:cs="Times New Roman" w:eastAsia="Times New Roman" w:hAnsi="Times New Roman"/>
                <w:sz w:val="18"/>
                <w:szCs w:val="18"/>
                <w:b w:val="1"/>
                <w:bCs w:val="1"/>
                <w:color w:val="auto"/>
                <w:w w:val="99"/>
              </w:rPr>
              <w:t>1-13881</w:t>
            </w:r>
          </w:p>
        </w:tc>
        <w:tc>
          <w:tcPr>
            <w:tcW w:w="2460" w:type="dxa"/>
            <w:vAlign w:val="bottom"/>
          </w:tcPr>
          <w:p>
            <w:pPr>
              <w:jc w:val="right"/>
              <w:ind w:right="61"/>
              <w:spacing w:after="0"/>
              <w:rPr>
                <w:sz w:val="20"/>
                <w:szCs w:val="20"/>
                <w:color w:val="auto"/>
              </w:rPr>
            </w:pPr>
            <w:r>
              <w:rPr>
                <w:rFonts w:ascii="Times New Roman" w:cs="Times New Roman" w:eastAsia="Times New Roman" w:hAnsi="Times New Roman"/>
                <w:sz w:val="18"/>
                <w:szCs w:val="18"/>
                <w:b w:val="1"/>
                <w:bCs w:val="1"/>
                <w:color w:val="auto"/>
              </w:rPr>
              <w:t>52-2055918</w:t>
            </w:r>
          </w:p>
        </w:tc>
      </w:tr>
      <w:tr>
        <w:trPr>
          <w:trHeight w:val="149"/>
        </w:trPr>
        <w:tc>
          <w:tcPr>
            <w:tcW w:w="4260" w:type="dxa"/>
            <w:vAlign w:val="bottom"/>
          </w:tcPr>
          <w:p>
            <w:pPr>
              <w:jc w:val="center"/>
              <w:ind w:right="741"/>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w:t>
            </w:r>
          </w:p>
        </w:tc>
        <w:tc>
          <w:tcPr>
            <w:tcW w:w="2960" w:type="dxa"/>
            <w:vAlign w:val="bottom"/>
          </w:tcPr>
          <w:p>
            <w:pPr>
              <w:jc w:val="center"/>
              <w:ind w:right="442"/>
              <w:spacing w:after="0" w:line="149" w:lineRule="exact"/>
              <w:rPr>
                <w:sz w:val="20"/>
                <w:szCs w:val="20"/>
                <w:color w:val="auto"/>
              </w:rPr>
            </w:pPr>
            <w:r>
              <w:rPr>
                <w:rFonts w:ascii="Times New Roman" w:cs="Times New Roman" w:eastAsia="Times New Roman" w:hAnsi="Times New Roman"/>
                <w:sz w:val="14"/>
                <w:szCs w:val="14"/>
                <w:b w:val="1"/>
                <w:bCs w:val="1"/>
                <w:color w:val="auto"/>
              </w:rPr>
              <w:t>(Commission</w:t>
            </w:r>
          </w:p>
        </w:tc>
        <w:tc>
          <w:tcPr>
            <w:tcW w:w="2460" w:type="dxa"/>
            <w:vAlign w:val="bottom"/>
          </w:tcPr>
          <w:p>
            <w:pPr>
              <w:jc w:val="center"/>
              <w:ind w:left="1241"/>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4260" w:type="dxa"/>
            <w:vAlign w:val="bottom"/>
          </w:tcPr>
          <w:p>
            <w:pPr>
              <w:jc w:val="center"/>
              <w:ind w:right="721"/>
              <w:spacing w:after="0"/>
              <w:rPr>
                <w:sz w:val="20"/>
                <w:szCs w:val="20"/>
                <w:color w:val="auto"/>
              </w:rPr>
            </w:pPr>
            <w:r>
              <w:rPr>
                <w:rFonts w:ascii="Times New Roman" w:cs="Times New Roman" w:eastAsia="Times New Roman" w:hAnsi="Times New Roman"/>
                <w:sz w:val="14"/>
                <w:szCs w:val="14"/>
                <w:b w:val="1"/>
                <w:bCs w:val="1"/>
                <w:color w:val="auto"/>
              </w:rPr>
              <w:t>of incorporation)</w:t>
            </w:r>
          </w:p>
        </w:tc>
        <w:tc>
          <w:tcPr>
            <w:tcW w:w="2960" w:type="dxa"/>
            <w:vAlign w:val="bottom"/>
          </w:tcPr>
          <w:p>
            <w:pPr>
              <w:jc w:val="center"/>
              <w:ind w:right="442"/>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2460" w:type="dxa"/>
            <w:vAlign w:val="bottom"/>
          </w:tcPr>
          <w:p>
            <w:pPr>
              <w:jc w:val="center"/>
              <w:ind w:left="1241"/>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390"/>
        </w:trPr>
        <w:tc>
          <w:tcPr>
            <w:tcW w:w="4260" w:type="dxa"/>
            <w:vAlign w:val="bottom"/>
          </w:tcPr>
          <w:p>
            <w:pPr>
              <w:jc w:val="center"/>
              <w:ind w:right="721"/>
              <w:spacing w:after="0"/>
              <w:rPr>
                <w:sz w:val="20"/>
                <w:szCs w:val="20"/>
                <w:color w:val="auto"/>
              </w:rPr>
            </w:pPr>
            <w:r>
              <w:rPr>
                <w:rFonts w:ascii="Times New Roman" w:cs="Times New Roman" w:eastAsia="Times New Roman" w:hAnsi="Times New Roman"/>
                <w:sz w:val="18"/>
                <w:szCs w:val="18"/>
                <w:b w:val="1"/>
                <w:bCs w:val="1"/>
                <w:color w:val="auto"/>
                <w:w w:val="99"/>
              </w:rPr>
              <w:t>7750 Wisconsin Avenue, Bethesda, Maryland</w:t>
            </w:r>
          </w:p>
        </w:tc>
        <w:tc>
          <w:tcPr>
            <w:tcW w:w="2960" w:type="dxa"/>
            <w:vAlign w:val="bottom"/>
          </w:tcPr>
          <w:p>
            <w:pPr>
              <w:spacing w:after="0"/>
              <w:rPr>
                <w:sz w:val="24"/>
                <w:szCs w:val="24"/>
                <w:color w:val="auto"/>
              </w:rPr>
            </w:pPr>
          </w:p>
        </w:tc>
        <w:tc>
          <w:tcPr>
            <w:tcW w:w="2460" w:type="dxa"/>
            <w:vAlign w:val="bottom"/>
          </w:tcPr>
          <w:p>
            <w:pPr>
              <w:jc w:val="right"/>
              <w:ind w:right="261"/>
              <w:spacing w:after="0"/>
              <w:rPr>
                <w:sz w:val="20"/>
                <w:szCs w:val="20"/>
                <w:color w:val="auto"/>
              </w:rPr>
            </w:pPr>
            <w:r>
              <w:rPr>
                <w:rFonts w:ascii="Times New Roman" w:cs="Times New Roman" w:eastAsia="Times New Roman" w:hAnsi="Times New Roman"/>
                <w:sz w:val="18"/>
                <w:szCs w:val="18"/>
                <w:b w:val="1"/>
                <w:bCs w:val="1"/>
                <w:color w:val="auto"/>
              </w:rPr>
              <w:t>20814</w:t>
            </w:r>
          </w:p>
        </w:tc>
      </w:tr>
      <w:tr>
        <w:trPr>
          <w:trHeight w:val="190"/>
        </w:trPr>
        <w:tc>
          <w:tcPr>
            <w:tcW w:w="4260" w:type="dxa"/>
            <w:vAlign w:val="bottom"/>
          </w:tcPr>
          <w:p>
            <w:pPr>
              <w:jc w:val="center"/>
              <w:ind w:right="721"/>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2960" w:type="dxa"/>
            <w:vAlign w:val="bottom"/>
          </w:tcPr>
          <w:p>
            <w:pPr>
              <w:spacing w:after="0"/>
              <w:rPr>
                <w:sz w:val="16"/>
                <w:szCs w:val="16"/>
                <w:color w:val="auto"/>
              </w:rPr>
            </w:pPr>
          </w:p>
        </w:tc>
        <w:tc>
          <w:tcPr>
            <w:tcW w:w="2460" w:type="dxa"/>
            <w:vAlign w:val="bottom"/>
          </w:tcPr>
          <w:p>
            <w:pPr>
              <w:jc w:val="center"/>
              <w:ind w:left="1241"/>
              <w:spacing w:after="0"/>
              <w:rPr>
                <w:sz w:val="20"/>
                <w:szCs w:val="20"/>
                <w:color w:val="auto"/>
              </w:rPr>
            </w:pPr>
            <w:r>
              <w:rPr>
                <w:rFonts w:ascii="Times New Roman" w:cs="Times New Roman" w:eastAsia="Times New Roman" w:hAnsi="Times New Roman"/>
                <w:sz w:val="14"/>
                <w:szCs w:val="14"/>
                <w:b w:val="1"/>
                <w:bCs w:val="1"/>
                <w:color w:val="auto"/>
              </w:rPr>
              <w:t>(Zip Code)</w:t>
            </w:r>
          </w:p>
        </w:tc>
      </w:tr>
    </w:tbl>
    <w:p>
      <w:pPr>
        <w:spacing w:after="0" w:line="136"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(301) 380-3000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234315</wp:posOffset>
            </wp:positionV>
            <wp:extent cx="147447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20" w:lineRule="exact"/>
        <w:rPr>
          <w:sz w:val="24"/>
          <w:szCs w:val="24"/>
          <w:color w:val="auto"/>
        </w:rPr>
      </w:pPr>
    </w:p>
    <w:p>
      <w:pPr>
        <w:ind w:left="4" w:right="4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67"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85"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06"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Class A Common Stock, $0.01 par value</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MAR</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Nasdaq Global Select Market</w:t>
            </w:r>
          </w:p>
        </w:tc>
        <w:tc>
          <w:tcPr>
            <w:tcW w:w="0" w:type="dxa"/>
            <w:vAlign w:val="bottom"/>
          </w:tcPr>
          <w:p>
            <w:pPr>
              <w:spacing w:after="0"/>
              <w:rPr>
                <w:sz w:val="1"/>
                <w:szCs w:val="1"/>
                <w:color w:val="auto"/>
              </w:rPr>
            </w:pPr>
          </w:p>
        </w:tc>
      </w:tr>
    </w:tbl>
    <w:p>
      <w:pPr>
        <w:spacing w:after="0" w:line="139" w:lineRule="exact"/>
        <w:rPr>
          <w:sz w:val="24"/>
          <w:szCs w:val="24"/>
          <w:color w:val="auto"/>
        </w:rPr>
      </w:pPr>
    </w:p>
    <w:p>
      <w:pPr>
        <w:ind w:left="4" w:right="30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94" w:lineRule="exact"/>
        <w:rPr>
          <w:sz w:val="24"/>
          <w:szCs w:val="24"/>
          <w:color w:val="auto"/>
        </w:rPr>
      </w:pPr>
    </w:p>
    <w:p>
      <w:pPr>
        <w:ind w:left="8844"/>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237" w:lineRule="exact"/>
        <w:rPr>
          <w:sz w:val="24"/>
          <w:szCs w:val="24"/>
          <w:color w:val="auto"/>
        </w:rPr>
      </w:pPr>
    </w:p>
    <w:p>
      <w:pPr>
        <w:ind w:left="4" w:right="30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128270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171450</wp:posOffset>
            </wp:positionV>
            <wp:extent cx="699516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sectPr>
      </w:pPr>
    </w:p>
    <w:bookmarkStart w:id="1" w:name="page2"/>
    <w:bookmarkEnd w:id="1"/>
    <w:p>
      <w:pPr>
        <w:ind w:left="4"/>
        <w:spacing w:after="0"/>
        <w:tabs>
          <w:tab w:leader="none" w:pos="1064"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5.07.</w:t>
      </w:r>
      <w:r>
        <w:rPr>
          <w:sz w:val="20"/>
          <w:szCs w:val="20"/>
          <w:color w:val="auto"/>
        </w:rPr>
        <w:tab/>
      </w:r>
      <w:r>
        <w:rPr>
          <w:rFonts w:ascii="Times New Roman" w:cs="Times New Roman" w:eastAsia="Times New Roman" w:hAnsi="Times New Roman"/>
          <w:sz w:val="18"/>
          <w:szCs w:val="18"/>
          <w:b w:val="1"/>
          <w:bCs w:val="1"/>
          <w:color w:val="auto"/>
        </w:rPr>
        <w:t>Submission of Matters to a Vote of Security Holders.</w:t>
      </w:r>
    </w:p>
    <w:p>
      <w:pPr>
        <w:spacing w:after="0" w:line="121" w:lineRule="exact"/>
        <w:rPr>
          <w:sz w:val="20"/>
          <w:szCs w:val="20"/>
          <w:color w:val="auto"/>
        </w:rPr>
      </w:pPr>
    </w:p>
    <w:p>
      <w:pPr>
        <w:ind w:left="4" w:right="60"/>
        <w:spacing w:after="0" w:line="282" w:lineRule="auto"/>
        <w:rPr>
          <w:sz w:val="20"/>
          <w:szCs w:val="20"/>
          <w:color w:val="auto"/>
        </w:rPr>
      </w:pPr>
      <w:r>
        <w:rPr>
          <w:rFonts w:ascii="Times New Roman" w:cs="Times New Roman" w:eastAsia="Times New Roman" w:hAnsi="Times New Roman"/>
          <w:sz w:val="18"/>
          <w:szCs w:val="18"/>
          <w:color w:val="auto"/>
        </w:rPr>
        <w:t>On May 8, 2026, Marriott International, Inc. (“Marriott”) held its Annual Meeting of Stockholders. Marriott’s stockholders voted on the items outlined in the 2026 Proxy Statement (“Proxy Statement”), filed with the Securities and Exchange Commission on March 27, 2026, as follows:</w:t>
      </w:r>
    </w:p>
    <w:p>
      <w:pPr>
        <w:spacing w:after="0" w:line="67" w:lineRule="exact"/>
        <w:rPr>
          <w:sz w:val="20"/>
          <w:szCs w:val="20"/>
          <w:color w:val="auto"/>
        </w:rPr>
      </w:pPr>
    </w:p>
    <w:p>
      <w:pPr>
        <w:ind w:left="424" w:hanging="424"/>
        <w:spacing w:after="0"/>
        <w:tabs>
          <w:tab w:leader="none" w:pos="424"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Marriott’s stockholders elected 12 director nominees named in the Proxy Statement with the following votes:</w:t>
      </w:r>
    </w:p>
    <w:p>
      <w:pPr>
        <w:spacing w:after="0" w:line="233" w:lineRule="exact"/>
        <w:rPr>
          <w:sz w:val="20"/>
          <w:szCs w:val="20"/>
          <w:color w:val="auto"/>
        </w:rPr>
      </w:pPr>
    </w:p>
    <w:tbl>
      <w:tblPr>
        <w:tblLayout w:type="fixed"/>
        <w:tblInd w:w="444" w:type="dxa"/>
        <w:tblCellMar>
          <w:top w:w="0" w:type="dxa"/>
          <w:left w:w="0" w:type="dxa"/>
          <w:bottom w:w="0" w:type="dxa"/>
          <w:right w:w="0" w:type="dxa"/>
        </w:tblCellMar>
      </w:tblPr>
      <w:tr>
        <w:trPr>
          <w:trHeight w:val="161"/>
        </w:trPr>
        <w:tc>
          <w:tcPr>
            <w:tcW w:w="196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NOMINEE</w:t>
            </w:r>
          </w:p>
        </w:tc>
        <w:tc>
          <w:tcPr>
            <w:tcW w:w="202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FOR</w:t>
            </w:r>
          </w:p>
        </w:tc>
        <w:tc>
          <w:tcPr>
            <w:tcW w:w="2100" w:type="dxa"/>
            <w:vAlign w:val="bottom"/>
            <w:gridSpan w:val="2"/>
            <w:vMerge w:val="restart"/>
          </w:tcPr>
          <w:p>
            <w:pPr>
              <w:ind w:left="680"/>
              <w:spacing w:after="0"/>
              <w:rPr>
                <w:sz w:val="20"/>
                <w:szCs w:val="20"/>
                <w:color w:val="auto"/>
              </w:rPr>
            </w:pPr>
            <w:r>
              <w:rPr>
                <w:rFonts w:ascii="Times New Roman" w:cs="Times New Roman" w:eastAsia="Times New Roman" w:hAnsi="Times New Roman"/>
                <w:sz w:val="14"/>
                <w:szCs w:val="14"/>
                <w:b w:val="1"/>
                <w:bCs w:val="1"/>
                <w:color w:val="auto"/>
              </w:rPr>
              <w:t>AGAINST</w:t>
            </w:r>
          </w:p>
        </w:tc>
        <w:tc>
          <w:tcPr>
            <w:tcW w:w="212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ABSTAIN</w:t>
            </w:r>
          </w:p>
        </w:tc>
        <w:tc>
          <w:tcPr>
            <w:tcW w:w="19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BROKER</w:t>
            </w:r>
          </w:p>
        </w:tc>
        <w:tc>
          <w:tcPr>
            <w:tcW w:w="0" w:type="dxa"/>
            <w:vAlign w:val="bottom"/>
          </w:tcPr>
          <w:p>
            <w:pPr>
              <w:spacing w:after="0"/>
              <w:rPr>
                <w:sz w:val="1"/>
                <w:szCs w:val="1"/>
                <w:color w:val="auto"/>
              </w:rPr>
            </w:pPr>
          </w:p>
        </w:tc>
      </w:tr>
      <w:tr>
        <w:trPr>
          <w:trHeight w:val="187"/>
        </w:trPr>
        <w:tc>
          <w:tcPr>
            <w:tcW w:w="1960" w:type="dxa"/>
            <w:vAlign w:val="bottom"/>
            <w:gridSpan w:val="3"/>
            <w:vMerge w:val="continue"/>
          </w:tcPr>
          <w:p>
            <w:pPr>
              <w:spacing w:after="0"/>
              <w:rPr>
                <w:sz w:val="16"/>
                <w:szCs w:val="16"/>
                <w:color w:val="auto"/>
              </w:rPr>
            </w:pPr>
          </w:p>
        </w:tc>
        <w:tc>
          <w:tcPr>
            <w:tcW w:w="2020" w:type="dxa"/>
            <w:vAlign w:val="bottom"/>
            <w:gridSpan w:val="2"/>
            <w:vMerge w:val="continue"/>
          </w:tcPr>
          <w:p>
            <w:pPr>
              <w:spacing w:after="0"/>
              <w:rPr>
                <w:sz w:val="16"/>
                <w:szCs w:val="16"/>
                <w:color w:val="auto"/>
              </w:rPr>
            </w:pPr>
          </w:p>
        </w:tc>
        <w:tc>
          <w:tcPr>
            <w:tcW w:w="2100" w:type="dxa"/>
            <w:vAlign w:val="bottom"/>
            <w:gridSpan w:val="2"/>
            <w:vMerge w:val="continue"/>
          </w:tcPr>
          <w:p>
            <w:pPr>
              <w:spacing w:after="0"/>
              <w:rPr>
                <w:sz w:val="16"/>
                <w:szCs w:val="16"/>
                <w:color w:val="auto"/>
              </w:rPr>
            </w:pPr>
          </w:p>
        </w:tc>
        <w:tc>
          <w:tcPr>
            <w:tcW w:w="2120" w:type="dxa"/>
            <w:vAlign w:val="bottom"/>
            <w:gridSpan w:val="2"/>
            <w:vMerge w:val="continue"/>
          </w:tcPr>
          <w:p>
            <w:pPr>
              <w:spacing w:after="0"/>
              <w:rPr>
                <w:sz w:val="16"/>
                <w:szCs w:val="16"/>
                <w:color w:val="auto"/>
              </w:rPr>
            </w:pPr>
          </w:p>
        </w:tc>
        <w:tc>
          <w:tcPr>
            <w:tcW w:w="19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NON-VOTES</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180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Anthony G. Capuano</w:t>
            </w:r>
          </w:p>
        </w:tc>
        <w:tc>
          <w:tcPr>
            <w:tcW w:w="140" w:type="dxa"/>
            <w:vAlign w:val="bottom"/>
          </w:tcPr>
          <w:p>
            <w:pPr>
              <w:spacing w:after="0"/>
              <w:rPr>
                <w:sz w:val="16"/>
                <w:szCs w:val="16"/>
                <w:color w:val="auto"/>
              </w:rPr>
            </w:pPr>
          </w:p>
        </w:tc>
        <w:tc>
          <w:tcPr>
            <w:tcW w:w="192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rPr>
              <w:t>2,026,616,509</w:t>
            </w:r>
          </w:p>
        </w:tc>
        <w:tc>
          <w:tcPr>
            <w:tcW w:w="100" w:type="dxa"/>
            <w:vAlign w:val="bottom"/>
          </w:tcPr>
          <w:p>
            <w:pPr>
              <w:spacing w:after="0"/>
              <w:rPr>
                <w:sz w:val="16"/>
                <w:szCs w:val="16"/>
                <w:color w:val="auto"/>
              </w:rPr>
            </w:pPr>
          </w:p>
        </w:tc>
        <w:tc>
          <w:tcPr>
            <w:tcW w:w="202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8"/>
              </w:rPr>
              <w:t>16,571,343</w:t>
            </w:r>
          </w:p>
        </w:tc>
        <w:tc>
          <w:tcPr>
            <w:tcW w:w="80" w:type="dxa"/>
            <w:vAlign w:val="bottom"/>
          </w:tcPr>
          <w:p>
            <w:pPr>
              <w:spacing w:after="0"/>
              <w:rPr>
                <w:sz w:val="16"/>
                <w:szCs w:val="16"/>
                <w:color w:val="auto"/>
              </w:rPr>
            </w:pPr>
          </w:p>
        </w:tc>
        <w:tc>
          <w:tcPr>
            <w:tcW w:w="204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2,545,448</w:t>
            </w:r>
          </w:p>
        </w:tc>
        <w:tc>
          <w:tcPr>
            <w:tcW w:w="80" w:type="dxa"/>
            <w:vAlign w:val="bottom"/>
          </w:tcPr>
          <w:p>
            <w:pPr>
              <w:spacing w:after="0"/>
              <w:rPr>
                <w:sz w:val="16"/>
                <w:szCs w:val="16"/>
                <w:color w:val="auto"/>
              </w:rPr>
            </w:pPr>
          </w:p>
        </w:tc>
        <w:tc>
          <w:tcPr>
            <w:tcW w:w="192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349,298,362</w:t>
            </w:r>
          </w:p>
        </w:tc>
        <w:tc>
          <w:tcPr>
            <w:tcW w:w="0" w:type="dxa"/>
            <w:vAlign w:val="bottom"/>
          </w:tcPr>
          <w:p>
            <w:pPr>
              <w:spacing w:after="0"/>
              <w:rPr>
                <w:sz w:val="1"/>
                <w:szCs w:val="1"/>
                <w:color w:val="auto"/>
              </w:rPr>
            </w:pPr>
          </w:p>
        </w:tc>
      </w:tr>
      <w:tr>
        <w:trPr>
          <w:trHeight w:val="216"/>
        </w:trPr>
        <w:tc>
          <w:tcPr>
            <w:tcW w:w="19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Isabella D. Goren</w:t>
            </w:r>
          </w:p>
        </w:tc>
        <w:tc>
          <w:tcPr>
            <w:tcW w:w="19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2,025,816,496</w:t>
            </w:r>
          </w:p>
        </w:tc>
        <w:tc>
          <w:tcPr>
            <w:tcW w:w="100" w:type="dxa"/>
            <w:vAlign w:val="bottom"/>
          </w:tcPr>
          <w:p>
            <w:pPr>
              <w:spacing w:after="0"/>
              <w:rPr>
                <w:sz w:val="18"/>
                <w:szCs w:val="18"/>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15,482,592</w:t>
            </w:r>
          </w:p>
        </w:tc>
        <w:tc>
          <w:tcPr>
            <w:tcW w:w="80" w:type="dxa"/>
            <w:vAlign w:val="bottom"/>
          </w:tcPr>
          <w:p>
            <w:pPr>
              <w:spacing w:after="0"/>
              <w:rPr>
                <w:sz w:val="18"/>
                <w:szCs w:val="18"/>
                <w:color w:val="auto"/>
              </w:rPr>
            </w:pPr>
          </w:p>
        </w:tc>
        <w:tc>
          <w:tcPr>
            <w:tcW w:w="2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4,434,212</w:t>
            </w:r>
          </w:p>
        </w:tc>
        <w:tc>
          <w:tcPr>
            <w:tcW w:w="80" w:type="dxa"/>
            <w:vAlign w:val="bottom"/>
          </w:tcPr>
          <w:p>
            <w:pPr>
              <w:spacing w:after="0"/>
              <w:rPr>
                <w:sz w:val="18"/>
                <w:szCs w:val="18"/>
                <w:color w:val="auto"/>
              </w:rPr>
            </w:pPr>
          </w:p>
        </w:tc>
        <w:tc>
          <w:tcPr>
            <w:tcW w:w="1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349,298,362</w:t>
            </w:r>
          </w:p>
        </w:tc>
        <w:tc>
          <w:tcPr>
            <w:tcW w:w="0" w:type="dxa"/>
            <w:vAlign w:val="bottom"/>
          </w:tcPr>
          <w:p>
            <w:pPr>
              <w:spacing w:after="0"/>
              <w:rPr>
                <w:sz w:val="1"/>
                <w:szCs w:val="1"/>
                <w:color w:val="auto"/>
              </w:rPr>
            </w:pPr>
          </w:p>
        </w:tc>
      </w:tr>
      <w:tr>
        <w:trPr>
          <w:trHeight w:val="216"/>
        </w:trPr>
        <w:tc>
          <w:tcPr>
            <w:tcW w:w="19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Deborah M. Harrison</w:t>
            </w:r>
          </w:p>
        </w:tc>
        <w:tc>
          <w:tcPr>
            <w:tcW w:w="19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2,019,438,179</w:t>
            </w:r>
          </w:p>
        </w:tc>
        <w:tc>
          <w:tcPr>
            <w:tcW w:w="100" w:type="dxa"/>
            <w:vAlign w:val="bottom"/>
          </w:tcPr>
          <w:p>
            <w:pPr>
              <w:spacing w:after="0"/>
              <w:rPr>
                <w:sz w:val="18"/>
                <w:szCs w:val="18"/>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24,298,957</w:t>
            </w:r>
          </w:p>
        </w:tc>
        <w:tc>
          <w:tcPr>
            <w:tcW w:w="80" w:type="dxa"/>
            <w:vAlign w:val="bottom"/>
          </w:tcPr>
          <w:p>
            <w:pPr>
              <w:spacing w:after="0"/>
              <w:rPr>
                <w:sz w:val="18"/>
                <w:szCs w:val="18"/>
                <w:color w:val="auto"/>
              </w:rPr>
            </w:pPr>
          </w:p>
        </w:tc>
        <w:tc>
          <w:tcPr>
            <w:tcW w:w="2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1,996,164</w:t>
            </w:r>
          </w:p>
        </w:tc>
        <w:tc>
          <w:tcPr>
            <w:tcW w:w="80" w:type="dxa"/>
            <w:vAlign w:val="bottom"/>
          </w:tcPr>
          <w:p>
            <w:pPr>
              <w:spacing w:after="0"/>
              <w:rPr>
                <w:sz w:val="18"/>
                <w:szCs w:val="18"/>
                <w:color w:val="auto"/>
              </w:rPr>
            </w:pPr>
          </w:p>
        </w:tc>
        <w:tc>
          <w:tcPr>
            <w:tcW w:w="1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349,298,362</w:t>
            </w:r>
          </w:p>
        </w:tc>
        <w:tc>
          <w:tcPr>
            <w:tcW w:w="0" w:type="dxa"/>
            <w:vAlign w:val="bottom"/>
          </w:tcPr>
          <w:p>
            <w:pPr>
              <w:spacing w:after="0"/>
              <w:rPr>
                <w:sz w:val="1"/>
                <w:szCs w:val="1"/>
                <w:color w:val="auto"/>
              </w:rPr>
            </w:pPr>
          </w:p>
        </w:tc>
      </w:tr>
      <w:tr>
        <w:trPr>
          <w:trHeight w:val="216"/>
        </w:trPr>
        <w:tc>
          <w:tcPr>
            <w:tcW w:w="19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Frederick A. Henderson</w:t>
            </w:r>
          </w:p>
        </w:tc>
        <w:tc>
          <w:tcPr>
            <w:tcW w:w="19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1,991,483,517</w:t>
            </w:r>
          </w:p>
        </w:tc>
        <w:tc>
          <w:tcPr>
            <w:tcW w:w="100" w:type="dxa"/>
            <w:vAlign w:val="bottom"/>
          </w:tcPr>
          <w:p>
            <w:pPr>
              <w:spacing w:after="0"/>
              <w:rPr>
                <w:sz w:val="18"/>
                <w:szCs w:val="18"/>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51,056,053</w:t>
            </w:r>
          </w:p>
        </w:tc>
        <w:tc>
          <w:tcPr>
            <w:tcW w:w="80" w:type="dxa"/>
            <w:vAlign w:val="bottom"/>
          </w:tcPr>
          <w:p>
            <w:pPr>
              <w:spacing w:after="0"/>
              <w:rPr>
                <w:sz w:val="18"/>
                <w:szCs w:val="18"/>
                <w:color w:val="auto"/>
              </w:rPr>
            </w:pPr>
          </w:p>
        </w:tc>
        <w:tc>
          <w:tcPr>
            <w:tcW w:w="2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3,193,730</w:t>
            </w:r>
          </w:p>
        </w:tc>
        <w:tc>
          <w:tcPr>
            <w:tcW w:w="80" w:type="dxa"/>
            <w:vAlign w:val="bottom"/>
          </w:tcPr>
          <w:p>
            <w:pPr>
              <w:spacing w:after="0"/>
              <w:rPr>
                <w:sz w:val="18"/>
                <w:szCs w:val="18"/>
                <w:color w:val="auto"/>
              </w:rPr>
            </w:pPr>
          </w:p>
        </w:tc>
        <w:tc>
          <w:tcPr>
            <w:tcW w:w="1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349,298,362</w:t>
            </w:r>
          </w:p>
        </w:tc>
        <w:tc>
          <w:tcPr>
            <w:tcW w:w="0" w:type="dxa"/>
            <w:vAlign w:val="bottom"/>
          </w:tcPr>
          <w:p>
            <w:pPr>
              <w:spacing w:after="0"/>
              <w:rPr>
                <w:sz w:val="1"/>
                <w:szCs w:val="1"/>
                <w:color w:val="auto"/>
              </w:rPr>
            </w:pPr>
          </w:p>
        </w:tc>
      </w:tr>
      <w:tr>
        <w:trPr>
          <w:trHeight w:val="216"/>
        </w:trPr>
        <w:tc>
          <w:tcPr>
            <w:tcW w:w="19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Lauren R. Hobart</w:t>
            </w:r>
          </w:p>
        </w:tc>
        <w:tc>
          <w:tcPr>
            <w:tcW w:w="19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2,034,908,386</w:t>
            </w:r>
          </w:p>
        </w:tc>
        <w:tc>
          <w:tcPr>
            <w:tcW w:w="100" w:type="dxa"/>
            <w:vAlign w:val="bottom"/>
          </w:tcPr>
          <w:p>
            <w:pPr>
              <w:spacing w:after="0"/>
              <w:rPr>
                <w:sz w:val="18"/>
                <w:szCs w:val="18"/>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7,533,682</w:t>
            </w:r>
          </w:p>
        </w:tc>
        <w:tc>
          <w:tcPr>
            <w:tcW w:w="80" w:type="dxa"/>
            <w:vAlign w:val="bottom"/>
          </w:tcPr>
          <w:p>
            <w:pPr>
              <w:spacing w:after="0"/>
              <w:rPr>
                <w:sz w:val="18"/>
                <w:szCs w:val="18"/>
                <w:color w:val="auto"/>
              </w:rPr>
            </w:pPr>
          </w:p>
        </w:tc>
        <w:tc>
          <w:tcPr>
            <w:tcW w:w="2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3,291,232</w:t>
            </w:r>
          </w:p>
        </w:tc>
        <w:tc>
          <w:tcPr>
            <w:tcW w:w="80" w:type="dxa"/>
            <w:vAlign w:val="bottom"/>
          </w:tcPr>
          <w:p>
            <w:pPr>
              <w:spacing w:after="0"/>
              <w:rPr>
                <w:sz w:val="18"/>
                <w:szCs w:val="18"/>
                <w:color w:val="auto"/>
              </w:rPr>
            </w:pPr>
          </w:p>
        </w:tc>
        <w:tc>
          <w:tcPr>
            <w:tcW w:w="1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349,298,362</w:t>
            </w:r>
          </w:p>
        </w:tc>
        <w:tc>
          <w:tcPr>
            <w:tcW w:w="0" w:type="dxa"/>
            <w:vAlign w:val="bottom"/>
          </w:tcPr>
          <w:p>
            <w:pPr>
              <w:spacing w:after="0"/>
              <w:rPr>
                <w:sz w:val="1"/>
                <w:szCs w:val="1"/>
                <w:color w:val="auto"/>
              </w:rPr>
            </w:pPr>
          </w:p>
        </w:tc>
      </w:tr>
      <w:tr>
        <w:trPr>
          <w:trHeight w:val="216"/>
        </w:trPr>
        <w:tc>
          <w:tcPr>
            <w:tcW w:w="19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Aylwin B. Lewis</w:t>
            </w:r>
          </w:p>
        </w:tc>
        <w:tc>
          <w:tcPr>
            <w:tcW w:w="19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1,989,748,256</w:t>
            </w:r>
          </w:p>
        </w:tc>
        <w:tc>
          <w:tcPr>
            <w:tcW w:w="100" w:type="dxa"/>
            <w:vAlign w:val="bottom"/>
          </w:tcPr>
          <w:p>
            <w:pPr>
              <w:spacing w:after="0"/>
              <w:rPr>
                <w:sz w:val="18"/>
                <w:szCs w:val="18"/>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51,676,535</w:t>
            </w:r>
          </w:p>
        </w:tc>
        <w:tc>
          <w:tcPr>
            <w:tcW w:w="80" w:type="dxa"/>
            <w:vAlign w:val="bottom"/>
          </w:tcPr>
          <w:p>
            <w:pPr>
              <w:spacing w:after="0"/>
              <w:rPr>
                <w:sz w:val="18"/>
                <w:szCs w:val="18"/>
                <w:color w:val="auto"/>
              </w:rPr>
            </w:pPr>
          </w:p>
        </w:tc>
        <w:tc>
          <w:tcPr>
            <w:tcW w:w="2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4,308,509</w:t>
            </w:r>
          </w:p>
        </w:tc>
        <w:tc>
          <w:tcPr>
            <w:tcW w:w="80" w:type="dxa"/>
            <w:vAlign w:val="bottom"/>
          </w:tcPr>
          <w:p>
            <w:pPr>
              <w:spacing w:after="0"/>
              <w:rPr>
                <w:sz w:val="18"/>
                <w:szCs w:val="18"/>
                <w:color w:val="auto"/>
              </w:rPr>
            </w:pPr>
          </w:p>
        </w:tc>
        <w:tc>
          <w:tcPr>
            <w:tcW w:w="1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349,298,362</w:t>
            </w:r>
          </w:p>
        </w:tc>
        <w:tc>
          <w:tcPr>
            <w:tcW w:w="0" w:type="dxa"/>
            <w:vAlign w:val="bottom"/>
          </w:tcPr>
          <w:p>
            <w:pPr>
              <w:spacing w:after="0"/>
              <w:rPr>
                <w:sz w:val="1"/>
                <w:szCs w:val="1"/>
                <w:color w:val="auto"/>
              </w:rPr>
            </w:pPr>
          </w:p>
        </w:tc>
      </w:tr>
      <w:tr>
        <w:trPr>
          <w:trHeight w:val="216"/>
        </w:trPr>
        <w:tc>
          <w:tcPr>
            <w:tcW w:w="19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David S. Marriott</w:t>
            </w:r>
          </w:p>
        </w:tc>
        <w:tc>
          <w:tcPr>
            <w:tcW w:w="19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2,014,980,453</w:t>
            </w:r>
          </w:p>
        </w:tc>
        <w:tc>
          <w:tcPr>
            <w:tcW w:w="100" w:type="dxa"/>
            <w:vAlign w:val="bottom"/>
          </w:tcPr>
          <w:p>
            <w:pPr>
              <w:spacing w:after="0"/>
              <w:rPr>
                <w:sz w:val="18"/>
                <w:szCs w:val="18"/>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29,368,099</w:t>
            </w:r>
          </w:p>
        </w:tc>
        <w:tc>
          <w:tcPr>
            <w:tcW w:w="80" w:type="dxa"/>
            <w:vAlign w:val="bottom"/>
          </w:tcPr>
          <w:p>
            <w:pPr>
              <w:spacing w:after="0"/>
              <w:rPr>
                <w:sz w:val="18"/>
                <w:szCs w:val="18"/>
                <w:color w:val="auto"/>
              </w:rPr>
            </w:pPr>
          </w:p>
        </w:tc>
        <w:tc>
          <w:tcPr>
            <w:tcW w:w="2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1,384,748</w:t>
            </w:r>
          </w:p>
        </w:tc>
        <w:tc>
          <w:tcPr>
            <w:tcW w:w="80" w:type="dxa"/>
            <w:vAlign w:val="bottom"/>
          </w:tcPr>
          <w:p>
            <w:pPr>
              <w:spacing w:after="0"/>
              <w:rPr>
                <w:sz w:val="18"/>
                <w:szCs w:val="18"/>
                <w:color w:val="auto"/>
              </w:rPr>
            </w:pPr>
          </w:p>
        </w:tc>
        <w:tc>
          <w:tcPr>
            <w:tcW w:w="1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349,298,362</w:t>
            </w:r>
          </w:p>
        </w:tc>
        <w:tc>
          <w:tcPr>
            <w:tcW w:w="0" w:type="dxa"/>
            <w:vAlign w:val="bottom"/>
          </w:tcPr>
          <w:p>
            <w:pPr>
              <w:spacing w:after="0"/>
              <w:rPr>
                <w:sz w:val="1"/>
                <w:szCs w:val="1"/>
                <w:color w:val="auto"/>
              </w:rPr>
            </w:pPr>
          </w:p>
        </w:tc>
      </w:tr>
      <w:tr>
        <w:trPr>
          <w:trHeight w:val="216"/>
        </w:trPr>
        <w:tc>
          <w:tcPr>
            <w:tcW w:w="19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Margaret M. McCarthy</w:t>
            </w:r>
          </w:p>
        </w:tc>
        <w:tc>
          <w:tcPr>
            <w:tcW w:w="19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2,029,385,132</w:t>
            </w:r>
          </w:p>
        </w:tc>
        <w:tc>
          <w:tcPr>
            <w:tcW w:w="100" w:type="dxa"/>
            <w:vAlign w:val="bottom"/>
          </w:tcPr>
          <w:p>
            <w:pPr>
              <w:spacing w:after="0"/>
              <w:rPr>
                <w:sz w:val="18"/>
                <w:szCs w:val="18"/>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13,396,441</w:t>
            </w:r>
          </w:p>
        </w:tc>
        <w:tc>
          <w:tcPr>
            <w:tcW w:w="80" w:type="dxa"/>
            <w:vAlign w:val="bottom"/>
          </w:tcPr>
          <w:p>
            <w:pPr>
              <w:spacing w:after="0"/>
              <w:rPr>
                <w:sz w:val="18"/>
                <w:szCs w:val="18"/>
                <w:color w:val="auto"/>
              </w:rPr>
            </w:pPr>
          </w:p>
        </w:tc>
        <w:tc>
          <w:tcPr>
            <w:tcW w:w="2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2,951,727</w:t>
            </w:r>
          </w:p>
        </w:tc>
        <w:tc>
          <w:tcPr>
            <w:tcW w:w="80" w:type="dxa"/>
            <w:vAlign w:val="bottom"/>
          </w:tcPr>
          <w:p>
            <w:pPr>
              <w:spacing w:after="0"/>
              <w:rPr>
                <w:sz w:val="18"/>
                <w:szCs w:val="18"/>
                <w:color w:val="auto"/>
              </w:rPr>
            </w:pPr>
          </w:p>
        </w:tc>
        <w:tc>
          <w:tcPr>
            <w:tcW w:w="1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349,298,362</w:t>
            </w:r>
          </w:p>
        </w:tc>
        <w:tc>
          <w:tcPr>
            <w:tcW w:w="0" w:type="dxa"/>
            <w:vAlign w:val="bottom"/>
          </w:tcPr>
          <w:p>
            <w:pPr>
              <w:spacing w:after="0"/>
              <w:rPr>
                <w:sz w:val="1"/>
                <w:szCs w:val="1"/>
                <w:color w:val="auto"/>
              </w:rPr>
            </w:pPr>
          </w:p>
        </w:tc>
      </w:tr>
      <w:tr>
        <w:trPr>
          <w:trHeight w:val="216"/>
        </w:trPr>
        <w:tc>
          <w:tcPr>
            <w:tcW w:w="19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Grant F. Reid</w:t>
            </w:r>
          </w:p>
        </w:tc>
        <w:tc>
          <w:tcPr>
            <w:tcW w:w="19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2,034,347,354</w:t>
            </w:r>
          </w:p>
        </w:tc>
        <w:tc>
          <w:tcPr>
            <w:tcW w:w="100" w:type="dxa"/>
            <w:vAlign w:val="bottom"/>
          </w:tcPr>
          <w:p>
            <w:pPr>
              <w:spacing w:after="0"/>
              <w:rPr>
                <w:sz w:val="18"/>
                <w:szCs w:val="18"/>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8,684,610</w:t>
            </w:r>
          </w:p>
        </w:tc>
        <w:tc>
          <w:tcPr>
            <w:tcW w:w="80" w:type="dxa"/>
            <w:vAlign w:val="bottom"/>
          </w:tcPr>
          <w:p>
            <w:pPr>
              <w:spacing w:after="0"/>
              <w:rPr>
                <w:sz w:val="18"/>
                <w:szCs w:val="18"/>
                <w:color w:val="auto"/>
              </w:rPr>
            </w:pPr>
          </w:p>
        </w:tc>
        <w:tc>
          <w:tcPr>
            <w:tcW w:w="2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2,701,336</w:t>
            </w:r>
          </w:p>
        </w:tc>
        <w:tc>
          <w:tcPr>
            <w:tcW w:w="80" w:type="dxa"/>
            <w:vAlign w:val="bottom"/>
          </w:tcPr>
          <w:p>
            <w:pPr>
              <w:spacing w:after="0"/>
              <w:rPr>
                <w:sz w:val="18"/>
                <w:szCs w:val="18"/>
                <w:color w:val="auto"/>
              </w:rPr>
            </w:pPr>
          </w:p>
        </w:tc>
        <w:tc>
          <w:tcPr>
            <w:tcW w:w="1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349,298,362</w:t>
            </w:r>
          </w:p>
        </w:tc>
        <w:tc>
          <w:tcPr>
            <w:tcW w:w="0" w:type="dxa"/>
            <w:vAlign w:val="bottom"/>
          </w:tcPr>
          <w:p>
            <w:pPr>
              <w:spacing w:after="0"/>
              <w:rPr>
                <w:sz w:val="1"/>
                <w:szCs w:val="1"/>
                <w:color w:val="auto"/>
              </w:rPr>
            </w:pPr>
          </w:p>
        </w:tc>
      </w:tr>
      <w:tr>
        <w:trPr>
          <w:trHeight w:val="216"/>
        </w:trPr>
        <w:tc>
          <w:tcPr>
            <w:tcW w:w="19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Horacio D. Rozanski</w:t>
            </w:r>
          </w:p>
        </w:tc>
        <w:tc>
          <w:tcPr>
            <w:tcW w:w="19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2,020,939,961</w:t>
            </w:r>
          </w:p>
        </w:tc>
        <w:tc>
          <w:tcPr>
            <w:tcW w:w="100" w:type="dxa"/>
            <w:vAlign w:val="bottom"/>
          </w:tcPr>
          <w:p>
            <w:pPr>
              <w:spacing w:after="0"/>
              <w:rPr>
                <w:sz w:val="18"/>
                <w:szCs w:val="18"/>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21,185,578</w:t>
            </w:r>
          </w:p>
        </w:tc>
        <w:tc>
          <w:tcPr>
            <w:tcW w:w="80" w:type="dxa"/>
            <w:vAlign w:val="bottom"/>
          </w:tcPr>
          <w:p>
            <w:pPr>
              <w:spacing w:after="0"/>
              <w:rPr>
                <w:sz w:val="18"/>
                <w:szCs w:val="18"/>
                <w:color w:val="auto"/>
              </w:rPr>
            </w:pPr>
          </w:p>
        </w:tc>
        <w:tc>
          <w:tcPr>
            <w:tcW w:w="2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3,607,761</w:t>
            </w:r>
          </w:p>
        </w:tc>
        <w:tc>
          <w:tcPr>
            <w:tcW w:w="80" w:type="dxa"/>
            <w:vAlign w:val="bottom"/>
          </w:tcPr>
          <w:p>
            <w:pPr>
              <w:spacing w:after="0"/>
              <w:rPr>
                <w:sz w:val="18"/>
                <w:szCs w:val="18"/>
                <w:color w:val="auto"/>
              </w:rPr>
            </w:pPr>
          </w:p>
        </w:tc>
        <w:tc>
          <w:tcPr>
            <w:tcW w:w="1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349,298,362</w:t>
            </w:r>
          </w:p>
        </w:tc>
        <w:tc>
          <w:tcPr>
            <w:tcW w:w="0" w:type="dxa"/>
            <w:vAlign w:val="bottom"/>
          </w:tcPr>
          <w:p>
            <w:pPr>
              <w:spacing w:after="0"/>
              <w:rPr>
                <w:sz w:val="1"/>
                <w:szCs w:val="1"/>
                <w:color w:val="auto"/>
              </w:rPr>
            </w:pPr>
          </w:p>
        </w:tc>
      </w:tr>
      <w:tr>
        <w:trPr>
          <w:trHeight w:val="216"/>
        </w:trPr>
        <w:tc>
          <w:tcPr>
            <w:tcW w:w="19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Susan C. Schwab</w:t>
            </w:r>
          </w:p>
        </w:tc>
        <w:tc>
          <w:tcPr>
            <w:tcW w:w="19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2,015,643,280</w:t>
            </w:r>
          </w:p>
        </w:tc>
        <w:tc>
          <w:tcPr>
            <w:tcW w:w="100" w:type="dxa"/>
            <w:vAlign w:val="bottom"/>
          </w:tcPr>
          <w:p>
            <w:pPr>
              <w:spacing w:after="0"/>
              <w:rPr>
                <w:sz w:val="18"/>
                <w:szCs w:val="18"/>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26,984,153</w:t>
            </w:r>
          </w:p>
        </w:tc>
        <w:tc>
          <w:tcPr>
            <w:tcW w:w="80" w:type="dxa"/>
            <w:vAlign w:val="bottom"/>
          </w:tcPr>
          <w:p>
            <w:pPr>
              <w:spacing w:after="0"/>
              <w:rPr>
                <w:sz w:val="18"/>
                <w:szCs w:val="18"/>
                <w:color w:val="auto"/>
              </w:rPr>
            </w:pPr>
          </w:p>
        </w:tc>
        <w:tc>
          <w:tcPr>
            <w:tcW w:w="2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3,105,867</w:t>
            </w:r>
          </w:p>
        </w:tc>
        <w:tc>
          <w:tcPr>
            <w:tcW w:w="80" w:type="dxa"/>
            <w:vAlign w:val="bottom"/>
          </w:tcPr>
          <w:p>
            <w:pPr>
              <w:spacing w:after="0"/>
              <w:rPr>
                <w:sz w:val="18"/>
                <w:szCs w:val="18"/>
                <w:color w:val="auto"/>
              </w:rPr>
            </w:pPr>
          </w:p>
        </w:tc>
        <w:tc>
          <w:tcPr>
            <w:tcW w:w="1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349,298,362</w:t>
            </w:r>
          </w:p>
        </w:tc>
        <w:tc>
          <w:tcPr>
            <w:tcW w:w="0" w:type="dxa"/>
            <w:vAlign w:val="bottom"/>
          </w:tcPr>
          <w:p>
            <w:pPr>
              <w:spacing w:after="0"/>
              <w:rPr>
                <w:sz w:val="1"/>
                <w:szCs w:val="1"/>
                <w:color w:val="auto"/>
              </w:rPr>
            </w:pPr>
          </w:p>
        </w:tc>
      </w:tr>
      <w:tr>
        <w:trPr>
          <w:trHeight w:val="234"/>
        </w:trPr>
        <w:tc>
          <w:tcPr>
            <w:tcW w:w="19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Sean C. Tresvant</w:t>
            </w:r>
          </w:p>
        </w:tc>
        <w:tc>
          <w:tcPr>
            <w:tcW w:w="19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2,039,875,529</w:t>
            </w:r>
          </w:p>
        </w:tc>
        <w:tc>
          <w:tcPr>
            <w:tcW w:w="100" w:type="dxa"/>
            <w:vAlign w:val="bottom"/>
          </w:tcPr>
          <w:p>
            <w:pPr>
              <w:spacing w:after="0"/>
              <w:rPr>
                <w:sz w:val="20"/>
                <w:szCs w:val="20"/>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2,621,953</w:t>
            </w:r>
          </w:p>
        </w:tc>
        <w:tc>
          <w:tcPr>
            <w:tcW w:w="80" w:type="dxa"/>
            <w:vAlign w:val="bottom"/>
          </w:tcPr>
          <w:p>
            <w:pPr>
              <w:spacing w:after="0"/>
              <w:rPr>
                <w:sz w:val="20"/>
                <w:szCs w:val="20"/>
                <w:color w:val="auto"/>
              </w:rPr>
            </w:pPr>
          </w:p>
        </w:tc>
        <w:tc>
          <w:tcPr>
            <w:tcW w:w="2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3,235,818</w:t>
            </w:r>
          </w:p>
        </w:tc>
        <w:tc>
          <w:tcPr>
            <w:tcW w:w="80" w:type="dxa"/>
            <w:vAlign w:val="bottom"/>
          </w:tcPr>
          <w:p>
            <w:pPr>
              <w:spacing w:after="0"/>
              <w:rPr>
                <w:sz w:val="20"/>
                <w:szCs w:val="20"/>
                <w:color w:val="auto"/>
              </w:rPr>
            </w:pPr>
          </w:p>
        </w:tc>
        <w:tc>
          <w:tcPr>
            <w:tcW w:w="1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349,298,362</w:t>
            </w:r>
          </w:p>
        </w:tc>
        <w:tc>
          <w:tcPr>
            <w:tcW w:w="0" w:type="dxa"/>
            <w:vAlign w:val="bottom"/>
          </w:tcPr>
          <w:p>
            <w:pPr>
              <w:spacing w:after="0"/>
              <w:rPr>
                <w:sz w:val="1"/>
                <w:szCs w:val="1"/>
                <w:color w:val="auto"/>
              </w:rPr>
            </w:pPr>
          </w:p>
        </w:tc>
      </w:tr>
    </w:tbl>
    <w:p>
      <w:pPr>
        <w:spacing w:after="0" w:line="103" w:lineRule="exact"/>
        <w:rPr>
          <w:sz w:val="20"/>
          <w:szCs w:val="20"/>
          <w:color w:val="auto"/>
        </w:rPr>
      </w:pPr>
    </w:p>
    <w:p>
      <w:pPr>
        <w:ind w:left="424" w:hanging="424"/>
        <w:spacing w:after="0"/>
        <w:tabs>
          <w:tab w:leader="none" w:pos="424"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Marriott’s stockholders ratified the appointment of Ernst &amp; Young LLP as Marriott’s independent registered public accounting firm for fiscal year</w:t>
      </w:r>
    </w:p>
    <w:p>
      <w:pPr>
        <w:spacing w:after="0" w:line="38" w:lineRule="exact"/>
        <w:rPr>
          <w:rFonts w:ascii="Times New Roman" w:cs="Times New Roman" w:eastAsia="Times New Roman" w:hAnsi="Times New Roman"/>
          <w:sz w:val="17"/>
          <w:szCs w:val="17"/>
          <w:color w:val="auto"/>
        </w:rPr>
      </w:pPr>
    </w:p>
    <w:p>
      <w:pPr>
        <w:ind w:left="424"/>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2026 with the following votes:</w:t>
      </w:r>
    </w:p>
    <w:p>
      <w:pPr>
        <w:spacing w:after="0" w:line="227" w:lineRule="exact"/>
        <w:rPr>
          <w:sz w:val="20"/>
          <w:szCs w:val="20"/>
          <w:color w:val="auto"/>
        </w:rPr>
      </w:pPr>
    </w:p>
    <w:tbl>
      <w:tblPr>
        <w:tblLayout w:type="fixed"/>
        <w:tblInd w:w="1104" w:type="dxa"/>
        <w:tblCellMar>
          <w:top w:w="0" w:type="dxa"/>
          <w:left w:w="0" w:type="dxa"/>
          <w:bottom w:w="0" w:type="dxa"/>
          <w:right w:w="0" w:type="dxa"/>
        </w:tblCellMar>
      </w:tblPr>
      <w:tr>
        <w:trPr>
          <w:trHeight w:val="187"/>
        </w:trPr>
        <w:tc>
          <w:tcPr>
            <w:tcW w:w="31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FOR</w:t>
            </w:r>
          </w:p>
        </w:tc>
        <w:tc>
          <w:tcPr>
            <w:tcW w:w="290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AGAINST</w:t>
            </w:r>
          </w:p>
        </w:tc>
        <w:tc>
          <w:tcPr>
            <w:tcW w:w="28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ABSTAIN</w:t>
            </w:r>
          </w:p>
        </w:tc>
      </w:tr>
      <w:tr>
        <w:trPr>
          <w:trHeight w:val="228"/>
        </w:trPr>
        <w:tc>
          <w:tcPr>
            <w:tcW w:w="2980" w:type="dxa"/>
            <w:vAlign w:val="bottom"/>
            <w:tcBorders>
              <w:top w:val="single" w:sz="8" w:color="auto"/>
            </w:tcBorders>
          </w:tcPr>
          <w:p>
            <w:pPr>
              <w:jc w:val="right"/>
              <w:ind w:right="879"/>
              <w:spacing w:after="0"/>
              <w:rPr>
                <w:sz w:val="20"/>
                <w:szCs w:val="20"/>
                <w:color w:val="auto"/>
              </w:rPr>
            </w:pPr>
            <w:r>
              <w:rPr>
                <w:rFonts w:ascii="Times New Roman" w:cs="Times New Roman" w:eastAsia="Times New Roman" w:hAnsi="Times New Roman"/>
                <w:sz w:val="18"/>
                <w:szCs w:val="18"/>
                <w:color w:val="auto"/>
              </w:rPr>
              <w:t>2,320,955,526</w:t>
            </w:r>
          </w:p>
        </w:tc>
        <w:tc>
          <w:tcPr>
            <w:tcW w:w="120" w:type="dxa"/>
            <w:vAlign w:val="bottom"/>
          </w:tcPr>
          <w:p>
            <w:pPr>
              <w:spacing w:after="0"/>
              <w:rPr>
                <w:sz w:val="19"/>
                <w:szCs w:val="19"/>
                <w:color w:val="auto"/>
              </w:rPr>
            </w:pPr>
          </w:p>
        </w:tc>
        <w:tc>
          <w:tcPr>
            <w:tcW w:w="2820" w:type="dxa"/>
            <w:vAlign w:val="bottom"/>
            <w:tcBorders>
              <w:top w:val="single" w:sz="8" w:color="auto"/>
            </w:tcBorders>
          </w:tcPr>
          <w:p>
            <w:pPr>
              <w:jc w:val="right"/>
              <w:ind w:right="919"/>
              <w:spacing w:after="0"/>
              <w:rPr>
                <w:sz w:val="20"/>
                <w:szCs w:val="20"/>
                <w:color w:val="auto"/>
              </w:rPr>
            </w:pPr>
            <w:r>
              <w:rPr>
                <w:rFonts w:ascii="Times New Roman" w:cs="Times New Roman" w:eastAsia="Times New Roman" w:hAnsi="Times New Roman"/>
                <w:sz w:val="18"/>
                <w:szCs w:val="18"/>
                <w:color w:val="auto"/>
              </w:rPr>
              <w:t>70,972,898</w:t>
            </w:r>
          </w:p>
        </w:tc>
        <w:tc>
          <w:tcPr>
            <w:tcW w:w="80" w:type="dxa"/>
            <w:vAlign w:val="bottom"/>
          </w:tcPr>
          <w:p>
            <w:pPr>
              <w:spacing w:after="0"/>
              <w:rPr>
                <w:sz w:val="19"/>
                <w:szCs w:val="19"/>
                <w:color w:val="auto"/>
              </w:rPr>
            </w:pPr>
          </w:p>
        </w:tc>
        <w:tc>
          <w:tcPr>
            <w:tcW w:w="2800" w:type="dxa"/>
            <w:vAlign w:val="bottom"/>
            <w:tcBorders>
              <w:top w:val="single" w:sz="8" w:color="auto"/>
            </w:tcBorders>
          </w:tcPr>
          <w:p>
            <w:pPr>
              <w:jc w:val="right"/>
              <w:ind w:right="959"/>
              <w:spacing w:after="0"/>
              <w:rPr>
                <w:sz w:val="20"/>
                <w:szCs w:val="20"/>
                <w:color w:val="auto"/>
              </w:rPr>
            </w:pPr>
            <w:r>
              <w:rPr>
                <w:rFonts w:ascii="Times New Roman" w:cs="Times New Roman" w:eastAsia="Times New Roman" w:hAnsi="Times New Roman"/>
                <w:sz w:val="18"/>
                <w:szCs w:val="18"/>
                <w:color w:val="auto"/>
              </w:rPr>
              <w:t>3,103,238</w:t>
            </w:r>
          </w:p>
        </w:tc>
      </w:tr>
    </w:tbl>
    <w:p>
      <w:pPr>
        <w:spacing w:after="0" w:line="85" w:lineRule="exact"/>
        <w:rPr>
          <w:sz w:val="20"/>
          <w:szCs w:val="20"/>
          <w:color w:val="auto"/>
        </w:rPr>
      </w:pPr>
    </w:p>
    <w:p>
      <w:pPr>
        <w:ind w:left="424" w:hanging="424"/>
        <w:spacing w:after="0"/>
        <w:tabs>
          <w:tab w:leader="none" w:pos="42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Marriott’s stockholders approved the advisory resolution on the compensation of Marriott’s named executive officers with the following votes:</w:t>
      </w:r>
    </w:p>
    <w:p>
      <w:pPr>
        <w:spacing w:after="0" w:line="233" w:lineRule="exact"/>
        <w:rPr>
          <w:sz w:val="20"/>
          <w:szCs w:val="20"/>
          <w:color w:val="auto"/>
        </w:rPr>
      </w:pPr>
    </w:p>
    <w:tbl>
      <w:tblPr>
        <w:tblLayout w:type="fixed"/>
        <w:tblInd w:w="444" w:type="dxa"/>
        <w:tblCellMar>
          <w:top w:w="0" w:type="dxa"/>
          <w:left w:w="0" w:type="dxa"/>
          <w:bottom w:w="0" w:type="dxa"/>
          <w:right w:w="0" w:type="dxa"/>
        </w:tblCellMar>
      </w:tblPr>
      <w:tr>
        <w:trPr>
          <w:trHeight w:val="161"/>
        </w:trPr>
        <w:tc>
          <w:tcPr>
            <w:tcW w:w="25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FOR</w:t>
            </w:r>
          </w:p>
        </w:tc>
        <w:tc>
          <w:tcPr>
            <w:tcW w:w="252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AGAINST</w:t>
            </w:r>
          </w:p>
        </w:tc>
        <w:tc>
          <w:tcPr>
            <w:tcW w:w="262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ABSTAIN</w:t>
            </w:r>
          </w:p>
        </w:tc>
        <w:tc>
          <w:tcPr>
            <w:tcW w:w="24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BROKER</w:t>
            </w:r>
          </w:p>
        </w:tc>
        <w:tc>
          <w:tcPr>
            <w:tcW w:w="0" w:type="dxa"/>
            <w:vAlign w:val="bottom"/>
          </w:tcPr>
          <w:p>
            <w:pPr>
              <w:spacing w:after="0"/>
              <w:rPr>
                <w:sz w:val="1"/>
                <w:szCs w:val="1"/>
                <w:color w:val="auto"/>
              </w:rPr>
            </w:pPr>
          </w:p>
        </w:tc>
      </w:tr>
      <w:tr>
        <w:trPr>
          <w:trHeight w:val="187"/>
        </w:trPr>
        <w:tc>
          <w:tcPr>
            <w:tcW w:w="2560" w:type="dxa"/>
            <w:vAlign w:val="bottom"/>
            <w:gridSpan w:val="2"/>
            <w:vMerge w:val="continue"/>
          </w:tcPr>
          <w:p>
            <w:pPr>
              <w:spacing w:after="0"/>
              <w:rPr>
                <w:sz w:val="16"/>
                <w:szCs w:val="16"/>
                <w:color w:val="auto"/>
              </w:rPr>
            </w:pPr>
          </w:p>
        </w:tc>
        <w:tc>
          <w:tcPr>
            <w:tcW w:w="2520" w:type="dxa"/>
            <w:vAlign w:val="bottom"/>
            <w:gridSpan w:val="2"/>
            <w:vMerge w:val="continue"/>
          </w:tcPr>
          <w:p>
            <w:pPr>
              <w:spacing w:after="0"/>
              <w:rPr>
                <w:sz w:val="16"/>
                <w:szCs w:val="16"/>
                <w:color w:val="auto"/>
              </w:rPr>
            </w:pPr>
          </w:p>
        </w:tc>
        <w:tc>
          <w:tcPr>
            <w:tcW w:w="2620" w:type="dxa"/>
            <w:vAlign w:val="bottom"/>
            <w:gridSpan w:val="2"/>
            <w:vMerge w:val="continue"/>
          </w:tcPr>
          <w:p>
            <w:pPr>
              <w:spacing w:after="0"/>
              <w:rPr>
                <w:sz w:val="16"/>
                <w:szCs w:val="16"/>
                <w:color w:val="auto"/>
              </w:rPr>
            </w:pPr>
          </w:p>
        </w:tc>
        <w:tc>
          <w:tcPr>
            <w:tcW w:w="24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NON-VOTES</w:t>
            </w:r>
          </w:p>
        </w:tc>
        <w:tc>
          <w:tcPr>
            <w:tcW w:w="0" w:type="dxa"/>
            <w:vAlign w:val="bottom"/>
          </w:tcPr>
          <w:p>
            <w:pPr>
              <w:spacing w:after="0"/>
              <w:rPr>
                <w:sz w:val="1"/>
                <w:szCs w:val="1"/>
                <w:color w:val="auto"/>
              </w:rPr>
            </w:pPr>
          </w:p>
        </w:tc>
      </w:tr>
      <w:tr>
        <w:trPr>
          <w:trHeight w:val="228"/>
        </w:trPr>
        <w:tc>
          <w:tcPr>
            <w:tcW w:w="2440" w:type="dxa"/>
            <w:vAlign w:val="bottom"/>
            <w:tcBorders>
              <w:top w:val="single" w:sz="8" w:color="auto"/>
            </w:tcBorders>
          </w:tcPr>
          <w:p>
            <w:pPr>
              <w:jc w:val="right"/>
              <w:ind w:right="619"/>
              <w:spacing w:after="0"/>
              <w:rPr>
                <w:sz w:val="20"/>
                <w:szCs w:val="20"/>
                <w:color w:val="auto"/>
              </w:rPr>
            </w:pPr>
            <w:r>
              <w:rPr>
                <w:rFonts w:ascii="Times New Roman" w:cs="Times New Roman" w:eastAsia="Times New Roman" w:hAnsi="Times New Roman"/>
                <w:sz w:val="18"/>
                <w:szCs w:val="18"/>
                <w:color w:val="auto"/>
              </w:rPr>
              <w:t>1,895,785,665</w:t>
            </w:r>
          </w:p>
        </w:tc>
        <w:tc>
          <w:tcPr>
            <w:tcW w:w="120" w:type="dxa"/>
            <w:vAlign w:val="bottom"/>
          </w:tcPr>
          <w:p>
            <w:pPr>
              <w:spacing w:after="0"/>
              <w:rPr>
                <w:sz w:val="19"/>
                <w:szCs w:val="19"/>
                <w:color w:val="auto"/>
              </w:rPr>
            </w:pPr>
          </w:p>
        </w:tc>
        <w:tc>
          <w:tcPr>
            <w:tcW w:w="2420" w:type="dxa"/>
            <w:vAlign w:val="bottom"/>
            <w:tcBorders>
              <w:top w:val="single" w:sz="8" w:color="auto"/>
            </w:tcBorders>
          </w:tcPr>
          <w:p>
            <w:pPr>
              <w:jc w:val="right"/>
              <w:ind w:right="679"/>
              <w:spacing w:after="0"/>
              <w:rPr>
                <w:sz w:val="20"/>
                <w:szCs w:val="20"/>
                <w:color w:val="auto"/>
              </w:rPr>
            </w:pPr>
            <w:r>
              <w:rPr>
                <w:rFonts w:ascii="Times New Roman" w:cs="Times New Roman" w:eastAsia="Times New Roman" w:hAnsi="Times New Roman"/>
                <w:sz w:val="18"/>
                <w:szCs w:val="18"/>
                <w:color w:val="auto"/>
              </w:rPr>
              <w:t>143,344,423</w:t>
            </w:r>
          </w:p>
        </w:tc>
        <w:tc>
          <w:tcPr>
            <w:tcW w:w="100" w:type="dxa"/>
            <w:vAlign w:val="bottom"/>
          </w:tcPr>
          <w:p>
            <w:pPr>
              <w:spacing w:after="0"/>
              <w:rPr>
                <w:sz w:val="19"/>
                <w:szCs w:val="19"/>
                <w:color w:val="auto"/>
              </w:rPr>
            </w:pPr>
          </w:p>
        </w:tc>
        <w:tc>
          <w:tcPr>
            <w:tcW w:w="2520" w:type="dxa"/>
            <w:vAlign w:val="bottom"/>
            <w:tcBorders>
              <w:top w:val="single" w:sz="8" w:color="auto"/>
            </w:tcBorders>
          </w:tcPr>
          <w:p>
            <w:pPr>
              <w:jc w:val="right"/>
              <w:ind w:right="819"/>
              <w:spacing w:after="0"/>
              <w:rPr>
                <w:sz w:val="20"/>
                <w:szCs w:val="20"/>
                <w:color w:val="auto"/>
              </w:rPr>
            </w:pPr>
            <w:r>
              <w:rPr>
                <w:rFonts w:ascii="Times New Roman" w:cs="Times New Roman" w:eastAsia="Times New Roman" w:hAnsi="Times New Roman"/>
                <w:sz w:val="18"/>
                <w:szCs w:val="18"/>
                <w:color w:val="auto"/>
              </w:rPr>
              <w:t>6,603,212</w:t>
            </w:r>
          </w:p>
        </w:tc>
        <w:tc>
          <w:tcPr>
            <w:tcW w:w="100" w:type="dxa"/>
            <w:vAlign w:val="bottom"/>
          </w:tcPr>
          <w:p>
            <w:pPr>
              <w:spacing w:after="0"/>
              <w:rPr>
                <w:sz w:val="19"/>
                <w:szCs w:val="19"/>
                <w:color w:val="auto"/>
              </w:rPr>
            </w:pPr>
          </w:p>
        </w:tc>
        <w:tc>
          <w:tcPr>
            <w:tcW w:w="24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349,298,362</w:t>
            </w:r>
          </w:p>
        </w:tc>
        <w:tc>
          <w:tcPr>
            <w:tcW w:w="0" w:type="dxa"/>
            <w:vAlign w:val="bottom"/>
          </w:tcPr>
          <w:p>
            <w:pPr>
              <w:spacing w:after="0"/>
              <w:rPr>
                <w:sz w:val="1"/>
                <w:szCs w:val="1"/>
                <w:color w:val="auto"/>
              </w:rPr>
            </w:pPr>
          </w:p>
        </w:tc>
      </w:tr>
    </w:tbl>
    <w:p>
      <w:pPr>
        <w:sectPr>
          <w:pgSz w:w="11900" w:h="16838" w:orient="portrait"/>
          <w:cols w:equalWidth="0" w:num="1">
            <w:col w:w="10924"/>
          </w:cols>
          <w:pgMar w:left="436" w:top="293" w:right="539" w:bottom="1440" w:gutter="0" w:footer="0" w:header="0"/>
        </w:sectPr>
      </w:pPr>
    </w:p>
    <w:bookmarkStart w:id="2" w:name="page3"/>
    <w:bookmarkEnd w:id="2"/>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55245"/>
                    </a:xfrm>
                    <a:prstGeom prst="rect">
                      <a:avLst/>
                    </a:prstGeom>
                    <a:noFill/>
                  </pic:spPr>
                </pic:pic>
              </a:graphicData>
            </a:graphic>
          </wp:anchor>
        </w:drawing>
        <w:t>SIGNATURE</w:t>
      </w:r>
    </w:p>
    <w:p>
      <w:pPr>
        <w:spacing w:after="0" w:line="229"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8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MARRIOTT INTERNATIONAL, INC.</w:t>
      </w:r>
    </w:p>
    <w:p>
      <w:pPr>
        <w:spacing w:after="0" w:line="229" w:lineRule="exact"/>
        <w:rPr>
          <w:sz w:val="20"/>
          <w:szCs w:val="20"/>
          <w:color w:val="auto"/>
        </w:rPr>
      </w:pPr>
    </w:p>
    <w:p>
      <w:pPr>
        <w:spacing w:after="0"/>
        <w:tabs>
          <w:tab w:leader="none" w:pos="5600" w:val="left"/>
          <w:tab w:leader="none" w:pos="6040" w:val="left"/>
        </w:tabs>
        <w:rPr>
          <w:sz w:val="20"/>
          <w:szCs w:val="20"/>
          <w:color w:val="auto"/>
        </w:rPr>
      </w:pPr>
      <w:r>
        <w:rPr>
          <w:rFonts w:ascii="Times New Roman" w:cs="Times New Roman" w:eastAsia="Times New Roman" w:hAnsi="Times New Roman"/>
          <w:sz w:val="18"/>
          <w:szCs w:val="18"/>
          <w:color w:val="auto"/>
        </w:rPr>
        <w:t>Date: May 13,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Andrew P.C. Wright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3846195</wp:posOffset>
            </wp:positionH>
            <wp:positionV relativeFrom="paragraph">
              <wp:posOffset>17145</wp:posOffset>
            </wp:positionV>
            <wp:extent cx="314579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16"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Andrew P.C. Wright</w:t>
      </w:r>
    </w:p>
    <w:p>
      <w:pPr>
        <w:spacing w:after="0" w:line="27"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Senior Vice President, Assistant General Counsel, and</w:t>
      </w:r>
    </w:p>
    <w:p>
      <w:pPr>
        <w:spacing w:after="0" w:line="9"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Secretary</w:t>
      </w:r>
    </w:p>
    <w:sectPr>
      <w:pgSz w:w="11900" w:h="16838" w:orient="portrait"/>
      <w:cols w:equalWidth="0" w:num="1">
        <w:col w:w="10700"/>
      </w:cols>
      <w:pgMar w:left="440" w:top="293" w:right="7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1."/>
      <w:numFmt w:val="decimal"/>
      <w:start w:val="2"/>
    </w:lvl>
  </w:abstractNum>
  <w:abstractNum w:abstractNumId="3">
    <w:nsid w:val="625558EC"/>
    <w:multiLevelType w:val="hybridMultilevel"/>
    <w:lvl w:ilvl="0">
      <w:lvlJc w:val="left"/>
      <w:lvlText w:val="%1."/>
      <w:numFmt w:val="decimal"/>
      <w:start w:val="3"/>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2026-05-13T09:02:16Z</dcterms:created>
  <dcterms:modified xsi:type="dcterms:W3CDTF">2026-05-13T09:02:16Z</dcterms:modified>
</cp:coreProperties>
</file>