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259080</wp:posOffset>
            </wp:positionV>
            <wp:extent cx="72466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(RULE 14a-101)</w:t>
      </w: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INFORMATION REQUIRED IN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2865755</wp:posOffset>
            </wp:positionH>
            <wp:positionV relativeFrom="paragraph">
              <wp:posOffset>232410</wp:posOffset>
            </wp:positionV>
            <wp:extent cx="15246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46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2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2865755</wp:posOffset>
            </wp:positionH>
            <wp:positionV relativeFrom="paragraph">
              <wp:posOffset>218440</wp:posOffset>
            </wp:positionV>
            <wp:extent cx="15246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4635"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spacing w:after="0" w:line="207" w:lineRule="exact"/>
        <w:tabs>
          <w:tab w:leader="none" w:pos="318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3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2"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6" w:lineRule="exact"/>
        <w:rPr>
          <w:rFonts w:ascii="MS PGothic" w:cs="MS PGothic" w:eastAsia="MS PGothic" w:hAnsi="MS PGothic"/>
          <w:sz w:val="18"/>
          <w:szCs w:val="18"/>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9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0"/>
          <w:szCs w:val="40"/>
          <w:b w:val="1"/>
          <w:bCs w:val="1"/>
          <w:color w:val="auto"/>
        </w:rPr>
        <w:t>Marriott International, Inc.</w:t>
      </w:r>
    </w:p>
    <w:p>
      <w:pPr>
        <w:spacing w:after="0" w:line="4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34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3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24" w:lineRule="exact"/>
        <w:rPr>
          <w:rFonts w:ascii="MS PGothic" w:cs="MS PGothic" w:eastAsia="MS PGothic" w:hAnsi="MS PGothic"/>
          <w:sz w:val="18"/>
          <w:szCs w:val="18"/>
          <w:color w:val="auto"/>
        </w:rPr>
      </w:pPr>
    </w:p>
    <w:p>
      <w:pPr>
        <w:ind w:left="1160" w:hanging="572"/>
        <w:spacing w:after="0"/>
        <w:tabs>
          <w:tab w:leader="none" w:pos="11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94"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94" w:lineRule="exact"/>
        <w:rPr>
          <w:rFonts w:ascii="Times New Roman" w:cs="Times New Roman" w:eastAsia="Times New Roman" w:hAnsi="Times New Roman"/>
          <w:sz w:val="18"/>
          <w:szCs w:val="18"/>
          <w:color w:val="auto"/>
        </w:rPr>
      </w:pPr>
    </w:p>
    <w:p>
      <w:pPr>
        <w:ind w:left="1160" w:hanging="572"/>
        <w:spacing w:after="0" w:line="281" w:lineRule="auto"/>
        <w:tabs>
          <w:tab w:leader="none" w:pos="11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Times New Roman" w:cs="Times New Roman" w:eastAsia="Times New Roman" w:hAnsi="Times New Roman"/>
          <w:sz w:val="18"/>
          <w:szCs w:val="18"/>
          <w:color w:val="auto"/>
        </w:rPr>
      </w:pPr>
    </w:p>
    <w:p>
      <w:pPr>
        <w:spacing w:after="0" w:line="232"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00" w:lineRule="exact"/>
        <w:rPr>
          <w:rFonts w:ascii="Times New Roman" w:cs="Times New Roman" w:eastAsia="Times New Roman" w:hAnsi="Times New Roman"/>
          <w:sz w:val="18"/>
          <w:szCs w:val="18"/>
          <w:color w:val="auto"/>
        </w:rPr>
      </w:pPr>
    </w:p>
    <w:p>
      <w:pPr>
        <w:spacing w:after="0" w:line="294"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8"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332" w:lineRule="exact"/>
        <w:rPr>
          <w:rFonts w:ascii="MS PGothic" w:cs="MS PGothic" w:eastAsia="MS PGothic" w:hAnsi="MS PGothic"/>
          <w:sz w:val="18"/>
          <w:szCs w:val="18"/>
          <w:color w:val="auto"/>
        </w:rPr>
      </w:pPr>
    </w:p>
    <w:p>
      <w:pPr>
        <w:ind w:left="580" w:right="280" w:hanging="572"/>
        <w:spacing w:after="0" w:line="281" w:lineRule="auto"/>
        <w:tabs>
          <w:tab w:leader="none" w:pos="5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70" w:lineRule="exact"/>
        <w:rPr>
          <w:rFonts w:ascii="MS PGothic" w:cs="MS PGothic" w:eastAsia="MS PGothic" w:hAnsi="MS PGothic"/>
          <w:sz w:val="18"/>
          <w:szCs w:val="18"/>
          <w:color w:val="auto"/>
        </w:rPr>
      </w:pPr>
    </w:p>
    <w:p>
      <w:pPr>
        <w:ind w:left="1160" w:hanging="572"/>
        <w:spacing w:after="0"/>
        <w:tabs>
          <w:tab w:leader="none" w:pos="11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00" w:lineRule="exact"/>
        <w:rPr>
          <w:rFonts w:ascii="Times New Roman" w:cs="Times New Roman" w:eastAsia="Times New Roman" w:hAnsi="Times New Roman"/>
          <w:sz w:val="18"/>
          <w:szCs w:val="18"/>
          <w:color w:val="auto"/>
        </w:rPr>
      </w:pPr>
    </w:p>
    <w:p>
      <w:pPr>
        <w:spacing w:after="0" w:line="294"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733425</wp:posOffset>
            </wp:positionH>
            <wp:positionV relativeFrom="paragraph">
              <wp:posOffset>-3528060</wp:posOffset>
            </wp:positionV>
            <wp:extent cx="65189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8910"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-3082925</wp:posOffset>
            </wp:positionV>
            <wp:extent cx="65189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8910"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-2500630</wp:posOffset>
            </wp:positionV>
            <wp:extent cx="65189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8910"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-2054860</wp:posOffset>
            </wp:positionV>
            <wp:extent cx="65189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8910"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-1609725</wp:posOffset>
            </wp:positionV>
            <wp:extent cx="65189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8910"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-136525</wp:posOffset>
            </wp:positionV>
            <wp:extent cx="65189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8910"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308610</wp:posOffset>
            </wp:positionV>
            <wp:extent cx="65189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8910" cy="8255"/>
                    </a:xfrm>
                    <a:prstGeom prst="rect">
                      <a:avLst/>
                    </a:prstGeom>
                    <a:noFill/>
                  </pic:spPr>
                </pic:pic>
              </a:graphicData>
            </a:graphic>
          </wp:anchor>
        </w:drawing>
      </w:r>
    </w:p>
    <w:p>
      <w:pPr>
        <w:sectPr>
          <w:pgSz w:w="11900" w:h="16838" w:orient="portrait"/>
          <w:cols w:equalWidth="0" w:num="1">
            <w:col w:w="11380"/>
          </w:cols>
          <w:pgMar w:left="240" w:top="226" w:right="279" w:bottom="365" w:gutter="0" w:footer="0" w:header="0"/>
        </w:sectPr>
      </w:pPr>
    </w:p>
    <w:bookmarkStart w:id="1" w:name="page2"/>
    <w:bookmarkEnd w:id="1"/>
    <w:p>
      <w:pPr>
        <w:ind w:left="572" w:hanging="572"/>
        <w:spacing w:after="0"/>
        <w:tabs>
          <w:tab w:leader="none" w:pos="572"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Filing party:</w:t>
      </w:r>
    </w:p>
    <w:p>
      <w:pPr>
        <w:spacing w:after="0" w:line="200" w:lineRule="exact"/>
        <w:rPr>
          <w:rFonts w:ascii="Times New Roman" w:cs="Times New Roman" w:eastAsia="Times New Roman" w:hAnsi="Times New Roman"/>
          <w:sz w:val="17"/>
          <w:szCs w:val="17"/>
          <w:color w:val="auto"/>
        </w:rPr>
      </w:pPr>
    </w:p>
    <w:p>
      <w:pPr>
        <w:spacing w:after="0" w:line="305" w:lineRule="exact"/>
        <w:rPr>
          <w:rFonts w:ascii="Times New Roman" w:cs="Times New Roman" w:eastAsia="Times New Roman" w:hAnsi="Times New Roman"/>
          <w:sz w:val="17"/>
          <w:szCs w:val="17"/>
          <w:color w:val="auto"/>
        </w:rPr>
      </w:pPr>
    </w:p>
    <w:p>
      <w:pPr>
        <w:ind w:left="572" w:hanging="572"/>
        <w:spacing w:after="0"/>
        <w:tabs>
          <w:tab w:leader="none" w:pos="57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-136525</wp:posOffset>
            </wp:positionV>
            <wp:extent cx="65189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8910" cy="8255"/>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308610</wp:posOffset>
            </wp:positionV>
            <wp:extent cx="65189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8910" cy="8255"/>
                    </a:xfrm>
                    <a:prstGeom prst="rect">
                      <a:avLst/>
                    </a:prstGeom>
                    <a:noFill/>
                  </pic:spPr>
                </pic:pic>
              </a:graphicData>
            </a:graphic>
          </wp:anchor>
        </w:drawing>
        <w:drawing>
          <wp:anchor simplePos="0" relativeHeight="251657728" behindDoc="1" locked="0" layoutInCell="0" allowOverlap="1">
            <wp:simplePos x="0" y="0"/>
            <wp:positionH relativeFrom="column">
              <wp:posOffset>-367665</wp:posOffset>
            </wp:positionH>
            <wp:positionV relativeFrom="paragraph">
              <wp:posOffset>488315</wp:posOffset>
            </wp:positionV>
            <wp:extent cx="72466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column">
              <wp:posOffset>-367665</wp:posOffset>
            </wp:positionH>
            <wp:positionV relativeFrom="paragraph">
              <wp:posOffset>531495</wp:posOffset>
            </wp:positionV>
            <wp:extent cx="72466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9631"/>
          </w:cols>
          <w:pgMar w:left="828" w:top="135" w:right="1440" w:bottom="1440" w:gutter="0" w:footer="0" w:header="0"/>
        </w:sectPr>
      </w:pPr>
    </w:p>
    <w:bookmarkStart w:id="2" w:name="page3"/>
    <w:bookmarkEnd w:id="2"/>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215265</wp:posOffset>
            </wp:positionV>
            <wp:extent cx="7181850" cy="92513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1850" cy="9251315"/>
                    </a:xfrm>
                    <a:prstGeom prst="rect">
                      <a:avLst/>
                    </a:prstGeom>
                    <a:noFill/>
                  </pic:spPr>
                </pic:pic>
              </a:graphicData>
            </a:graphic>
          </wp:anchor>
        </w:drawing>
      </w:r>
    </w:p>
    <w:p>
      <w:pPr>
        <w:sectPr>
          <w:pgSz w:w="11900" w:h="16838" w:orient="portrait"/>
          <w:cols w:equalWidth="0" w:num="1">
            <w:col w:w="10219"/>
          </w:cols>
          <w:pgMar w:left="240" w:top="455" w:right="1440"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Letter from our 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April 4, 2018</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25"/>
          <w:szCs w:val="25"/>
          <w:color w:val="998C87"/>
        </w:rPr>
        <w:t>LETTER FROM OUR CHAIRMAN AND OUR CHIEF EXECUTIVE OFFICER</w:t>
      </w:r>
    </w:p>
    <w:p>
      <w:pPr>
        <w:spacing w:after="0" w:line="246"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998C87"/>
        </w:rPr>
        <w:t>Dear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4561840</wp:posOffset>
            </wp:positionH>
            <wp:positionV relativeFrom="paragraph">
              <wp:posOffset>-136525</wp:posOffset>
            </wp:positionV>
            <wp:extent cx="2560955" cy="19875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60955" cy="1987550"/>
                    </a:xfrm>
                    <a:prstGeom prst="rect">
                      <a:avLst/>
                    </a:prstGeom>
                    <a:noFill/>
                  </pic:spPr>
                </pic:pic>
              </a:graphicData>
            </a:graphic>
          </wp:anchor>
        </w:drawing>
      </w:r>
    </w:p>
    <w:p>
      <w:pPr>
        <w:spacing w:after="0" w:line="100" w:lineRule="exact"/>
        <w:rPr>
          <w:sz w:val="20"/>
          <w:szCs w:val="20"/>
          <w:color w:val="auto"/>
        </w:rPr>
      </w:pPr>
    </w:p>
    <w:p>
      <w:pPr>
        <w:ind w:left="220" w:right="4300"/>
        <w:spacing w:after="0" w:line="242" w:lineRule="auto"/>
        <w:rPr>
          <w:sz w:val="20"/>
          <w:szCs w:val="20"/>
          <w:color w:val="auto"/>
        </w:rPr>
      </w:pPr>
      <w:r>
        <w:rPr>
          <w:rFonts w:ascii="Arial" w:cs="Arial" w:eastAsia="Arial" w:hAnsi="Arial"/>
          <w:sz w:val="17"/>
          <w:szCs w:val="17"/>
          <w:color w:val="auto"/>
        </w:rPr>
        <w:t>2017 was an exciting year of moving forward, as we worked to integrate the Starwood acquisition and continued to innovate in our business. In our 2017 Letter to stockholders, which is included in the accompanying Annual Report, we discuss the Company’s performance strategy and outlook for the future. However, we highlight below a few items that we believe would be of particular interest to you.</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Business Highlights</w:t>
      </w:r>
    </w:p>
    <w:p>
      <w:pPr>
        <w:spacing w:after="0" w:line="117" w:lineRule="exact"/>
        <w:rPr>
          <w:sz w:val="20"/>
          <w:szCs w:val="20"/>
          <w:color w:val="auto"/>
        </w:rPr>
      </w:pPr>
    </w:p>
    <w:p>
      <w:pPr>
        <w:ind w:left="220" w:right="4080"/>
        <w:spacing w:after="0"/>
        <w:rPr>
          <w:sz w:val="20"/>
          <w:szCs w:val="20"/>
          <w:color w:val="auto"/>
        </w:rPr>
      </w:pPr>
      <w:r>
        <w:rPr>
          <w:rFonts w:ascii="Arial" w:cs="Arial" w:eastAsia="Arial" w:hAnsi="Arial"/>
          <w:sz w:val="17"/>
          <w:szCs w:val="17"/>
          <w:color w:val="auto"/>
        </w:rPr>
        <w:t>In 2017, reported earnings per share increased 37 percent. Our unit growth remained strong, our development pipeline increased, and our loyalty programs reached 110 million members. We announced a joint venture with Chinese e-commerce giant Alibaba; now offer mobile check-in at more than 6,000 hotels worldwide; and reached terrific deals for co-branded credit cards that should produce valuable benefits for our guests, owners and Marriott.</w:t>
      </w:r>
    </w:p>
    <w:p>
      <w:pPr>
        <w:spacing w:after="0" w:line="30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Diversity, Inclusion and Social Responsibility</w:t>
      </w:r>
    </w:p>
    <w:p>
      <w:pPr>
        <w:spacing w:after="0" w:line="103" w:lineRule="exact"/>
        <w:rPr>
          <w:sz w:val="20"/>
          <w:szCs w:val="20"/>
          <w:color w:val="auto"/>
        </w:rPr>
      </w:pPr>
    </w:p>
    <w:p>
      <w:pPr>
        <w:ind w:left="220" w:right="100"/>
        <w:spacing w:after="0" w:line="242" w:lineRule="auto"/>
        <w:rPr>
          <w:sz w:val="20"/>
          <w:szCs w:val="20"/>
          <w:color w:val="auto"/>
        </w:rPr>
      </w:pPr>
      <w:r>
        <w:rPr>
          <w:rFonts w:ascii="Arial" w:cs="Arial" w:eastAsia="Arial" w:hAnsi="Arial"/>
          <w:sz w:val="17"/>
          <w:szCs w:val="17"/>
          <w:color w:val="auto"/>
        </w:rPr>
        <w:t>We continue to strive to deliver outstanding financial results for our stockholders, but we also recognize the importance of working to make a difference in the communities where we do business. With hotels located in 127 different countries and territories across 30 brands, diversity and inclusion are integral to how we do business, for both our associates and our guests. We are in the business of welcoming everyone, from all walks of life, wherever they are coming from and wherever they are going. The hospitality values we’ve embraced over the past nine decades make our Company great. We work to make the world a little bit more tolerant, peaceful, and welcoming.</w:t>
      </w:r>
    </w:p>
    <w:p>
      <w:pPr>
        <w:spacing w:after="0" w:line="67" w:lineRule="exact"/>
        <w:rPr>
          <w:sz w:val="20"/>
          <w:szCs w:val="20"/>
          <w:color w:val="auto"/>
        </w:rPr>
      </w:pPr>
    </w:p>
    <w:p>
      <w:pPr>
        <w:ind w:left="220"/>
        <w:spacing w:after="0" w:line="246" w:lineRule="auto"/>
        <w:rPr>
          <w:sz w:val="20"/>
          <w:szCs w:val="20"/>
          <w:color w:val="auto"/>
        </w:rPr>
      </w:pPr>
      <w:r>
        <w:rPr>
          <w:rFonts w:ascii="Arial" w:cs="Arial" w:eastAsia="Arial" w:hAnsi="Arial"/>
          <w:sz w:val="17"/>
          <w:szCs w:val="17"/>
          <w:color w:val="auto"/>
        </w:rPr>
        <w:t>We are committed to building a more sustainable future. In 2017, we launched Serve 360, our social impact and sustainability initiative designed to foster business growth and enhance our sustainability efforts while balancing the needs of associates, customers, owners, the environment and communities. Guided by the United Nations’ Sustainable Development Goals, Marriott’s Serve 360 guides the Company’s commitment and delivers positive results through four priority areas:</w:t>
      </w:r>
    </w:p>
    <w:p>
      <w:pPr>
        <w:spacing w:after="0" w:line="33" w:lineRule="exact"/>
        <w:rPr>
          <w:sz w:val="20"/>
          <w:szCs w:val="20"/>
          <w:color w:val="auto"/>
        </w:rPr>
      </w:pPr>
    </w:p>
    <w:p>
      <w:pPr>
        <w:ind w:left="420" w:hanging="210"/>
        <w:spacing w:after="0"/>
        <w:tabs>
          <w:tab w:leader="none" w:pos="42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998C87"/>
        </w:rPr>
        <w:t xml:space="preserve">Nurture Our World </w:t>
      </w:r>
      <w:r>
        <w:rPr>
          <w:rFonts w:ascii="Arial" w:cs="Arial" w:eastAsia="Arial" w:hAnsi="Arial"/>
          <w:sz w:val="17"/>
          <w:szCs w:val="17"/>
          <w:color w:val="000000"/>
        </w:rPr>
        <w:t>– Advancing the resiliency and development of our communities.</w:t>
      </w:r>
    </w:p>
    <w:p>
      <w:pPr>
        <w:spacing w:after="0" w:line="74" w:lineRule="exact"/>
        <w:rPr>
          <w:rFonts w:ascii="Arial" w:cs="Arial" w:eastAsia="Arial" w:hAnsi="Arial"/>
          <w:sz w:val="17"/>
          <w:szCs w:val="17"/>
          <w:color w:val="auto"/>
        </w:rPr>
      </w:pPr>
    </w:p>
    <w:p>
      <w:pPr>
        <w:ind w:left="420" w:right="600" w:hanging="210"/>
        <w:spacing w:after="0" w:line="277" w:lineRule="auto"/>
        <w:tabs>
          <w:tab w:leader="none" w:pos="42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998C87"/>
        </w:rPr>
        <w:t xml:space="preserve">Sustain Responsible Operations </w:t>
      </w:r>
      <w:r>
        <w:rPr>
          <w:rFonts w:ascii="Arial" w:cs="Arial" w:eastAsia="Arial" w:hAnsi="Arial"/>
          <w:sz w:val="17"/>
          <w:szCs w:val="17"/>
          <w:color w:val="000000"/>
        </w:rPr>
        <w:t>– Reducing the Company’s environmental impacts, sourcing responsibly and building and operating</w:t>
      </w:r>
      <w:r>
        <w:rPr>
          <w:rFonts w:ascii="Arial" w:cs="Arial" w:eastAsia="Arial" w:hAnsi="Arial"/>
          <w:sz w:val="17"/>
          <w:szCs w:val="17"/>
          <w:b w:val="1"/>
          <w:bCs w:val="1"/>
          <w:color w:val="998C87"/>
        </w:rPr>
        <w:t xml:space="preserve"> </w:t>
      </w:r>
      <w:r>
        <w:rPr>
          <w:rFonts w:ascii="Arial" w:cs="Arial" w:eastAsia="Arial" w:hAnsi="Arial"/>
          <w:sz w:val="17"/>
          <w:szCs w:val="17"/>
          <w:color w:val="000000"/>
        </w:rPr>
        <w:t>sustainable hotels.</w:t>
      </w:r>
    </w:p>
    <w:p>
      <w:pPr>
        <w:spacing w:after="0" w:line="7" w:lineRule="exact"/>
        <w:rPr>
          <w:rFonts w:ascii="Arial" w:cs="Arial" w:eastAsia="Arial" w:hAnsi="Arial"/>
          <w:sz w:val="17"/>
          <w:szCs w:val="17"/>
          <w:color w:val="auto"/>
        </w:rPr>
      </w:pPr>
    </w:p>
    <w:p>
      <w:pPr>
        <w:ind w:left="420" w:hanging="210"/>
        <w:spacing w:after="0"/>
        <w:tabs>
          <w:tab w:leader="none" w:pos="42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998C87"/>
        </w:rPr>
        <w:t xml:space="preserve">Empower Through Opportunity </w:t>
      </w:r>
      <w:r>
        <w:rPr>
          <w:rFonts w:ascii="Arial" w:cs="Arial" w:eastAsia="Arial" w:hAnsi="Arial"/>
          <w:sz w:val="17"/>
          <w:szCs w:val="17"/>
          <w:color w:val="000000"/>
        </w:rPr>
        <w:t>– Helping people prepare for jobs in the hospitality industry.</w:t>
      </w:r>
    </w:p>
    <w:p>
      <w:pPr>
        <w:spacing w:after="0" w:line="74" w:lineRule="exact"/>
        <w:rPr>
          <w:rFonts w:ascii="Arial" w:cs="Arial" w:eastAsia="Arial" w:hAnsi="Arial"/>
          <w:sz w:val="17"/>
          <w:szCs w:val="17"/>
          <w:color w:val="auto"/>
        </w:rPr>
      </w:pPr>
    </w:p>
    <w:p>
      <w:pPr>
        <w:ind w:left="420" w:hanging="210"/>
        <w:spacing w:after="0"/>
        <w:tabs>
          <w:tab w:leader="none" w:pos="42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998C87"/>
        </w:rPr>
        <w:t xml:space="preserve">Welcome All &amp; Advance Human Rights </w:t>
      </w:r>
      <w:r>
        <w:rPr>
          <w:rFonts w:ascii="Arial" w:cs="Arial" w:eastAsia="Arial" w:hAnsi="Arial"/>
          <w:sz w:val="17"/>
          <w:szCs w:val="17"/>
          <w:color w:val="000000"/>
        </w:rPr>
        <w:t>– Creating a safe and welcoming world for associates and travelers alike.</w:t>
      </w:r>
    </w:p>
    <w:p>
      <w:pPr>
        <w:spacing w:after="0" w:line="103" w:lineRule="exact"/>
        <w:rPr>
          <w:sz w:val="20"/>
          <w:szCs w:val="20"/>
          <w:color w:val="auto"/>
        </w:rPr>
      </w:pPr>
    </w:p>
    <w:p>
      <w:pPr>
        <w:ind w:left="220" w:right="200"/>
        <w:spacing w:after="0" w:line="253" w:lineRule="auto"/>
        <w:rPr>
          <w:sz w:val="20"/>
          <w:szCs w:val="20"/>
          <w:color w:val="auto"/>
        </w:rPr>
      </w:pPr>
      <w:r>
        <w:rPr>
          <w:rFonts w:ascii="Arial" w:cs="Arial" w:eastAsia="Arial" w:hAnsi="Arial"/>
          <w:sz w:val="17"/>
          <w:szCs w:val="17"/>
          <w:color w:val="auto"/>
        </w:rPr>
        <w:t>Incorporating these environmental and social initiatives has a direct impact on our profits. As a global corporate citizen, we have a responsibility and unique opportunity to be a force for good in all aspects of our business – from helping to reduce carbon and water use to providing our associates with human trafficking awareness training. We recognize that how we do business is as important as the business that we do.</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Stockholder Engagement</w:t>
      </w:r>
    </w:p>
    <w:p>
      <w:pPr>
        <w:spacing w:after="0" w:line="103" w:lineRule="exact"/>
        <w:rPr>
          <w:sz w:val="20"/>
          <w:szCs w:val="20"/>
          <w:color w:val="auto"/>
        </w:rPr>
      </w:pPr>
    </w:p>
    <w:p>
      <w:pPr>
        <w:ind w:left="220" w:right="160"/>
        <w:spacing w:after="0" w:line="246" w:lineRule="auto"/>
        <w:rPr>
          <w:sz w:val="20"/>
          <w:szCs w:val="20"/>
          <w:color w:val="auto"/>
        </w:rPr>
      </w:pPr>
      <w:r>
        <w:rPr>
          <w:rFonts w:ascii="Arial" w:cs="Arial" w:eastAsia="Arial" w:hAnsi="Arial"/>
          <w:sz w:val="17"/>
          <w:szCs w:val="17"/>
          <w:color w:val="auto"/>
        </w:rPr>
        <w:t>Stockholder engagement is also a key focus for our Company. We emphasize transparency in our approach to stockholder communications and seek out engagement and feedback from current and prospective stockholders on corporate strategy, executive compensation, and corporate governance. We value an open dialog and exchange of ideas. In a survey of investors completed in 2017, respondents noted that Marriott provides clear and consistent</w:t>
      </w:r>
    </w:p>
    <w:p>
      <w:pPr>
        <w:sectPr>
          <w:pgSz w:w="11900" w:h="16838" w:orient="portrait"/>
          <w:cols w:equalWidth="0" w:num="1">
            <w:col w:w="11220"/>
          </w:cols>
          <w:pgMar w:left="240" w:top="455" w:right="4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ind w:left="220"/>
        <w:spacing w:after="0"/>
        <w:rPr>
          <w:sz w:val="20"/>
          <w:szCs w:val="20"/>
          <w:color w:val="auto"/>
        </w:rPr>
      </w:pPr>
      <w:r>
        <w:rPr>
          <w:rFonts w:ascii="Arial" w:cs="Arial" w:eastAsia="Arial" w:hAnsi="Arial"/>
          <w:sz w:val="15"/>
          <w:szCs w:val="15"/>
          <w:color w:val="7F7F7F"/>
        </w:rPr>
        <w:t>Letter from our 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1" w:lineRule="exact"/>
        <w:rPr>
          <w:sz w:val="20"/>
          <w:szCs w:val="20"/>
          <w:color w:val="auto"/>
        </w:rPr>
      </w:pPr>
    </w:p>
    <w:p>
      <w:pPr>
        <w:ind w:left="220" w:right="180"/>
        <w:spacing w:after="0" w:line="253" w:lineRule="auto"/>
        <w:rPr>
          <w:sz w:val="20"/>
          <w:szCs w:val="20"/>
          <w:color w:val="auto"/>
        </w:rPr>
      </w:pPr>
      <w:r>
        <w:rPr>
          <w:rFonts w:ascii="Arial" w:cs="Arial" w:eastAsia="Arial" w:hAnsi="Arial"/>
          <w:sz w:val="17"/>
          <w:szCs w:val="17"/>
          <w:color w:val="auto"/>
        </w:rPr>
        <w:t>communications, is candid about the opportunities and potential risks to its business, effectively manages investor and analyst expectations, promptly responds to questions and requests for information, and is available at conferences, investor meetings, and Analyst Days. In 2017, we met with over 300 institutional investors.</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Governance Practices</w:t>
      </w:r>
    </w:p>
    <w:p>
      <w:pPr>
        <w:spacing w:after="0" w:line="103" w:lineRule="exact"/>
        <w:rPr>
          <w:sz w:val="20"/>
          <w:szCs w:val="20"/>
          <w:color w:val="auto"/>
        </w:rPr>
      </w:pPr>
    </w:p>
    <w:p>
      <w:pPr>
        <w:ind w:left="220"/>
        <w:spacing w:after="0" w:line="246" w:lineRule="auto"/>
        <w:rPr>
          <w:sz w:val="20"/>
          <w:szCs w:val="20"/>
          <w:color w:val="auto"/>
        </w:rPr>
      </w:pPr>
      <w:r>
        <w:rPr>
          <w:rFonts w:ascii="Arial" w:cs="Arial" w:eastAsia="Arial" w:hAnsi="Arial"/>
          <w:sz w:val="17"/>
          <w:szCs w:val="17"/>
          <w:color w:val="auto"/>
        </w:rPr>
        <w:t>Our success is rooted in good governance. Members of our Board of Directors are committed, offer diverse experiences and skills, and provide valuable feedback and guidance that position us for success. The Board draws on the depth of experience of long time members while welcoming new skills and insights from new members. We have welcomed 6 new Board members in the past 5 years. Our Board is actively engaged in the company’s strategy, supports our approach to environmental and social initiatives, and embraces good governance.</w:t>
      </w:r>
    </w:p>
    <w:p>
      <w:pPr>
        <w:spacing w:after="0" w:line="75" w:lineRule="exact"/>
        <w:rPr>
          <w:sz w:val="20"/>
          <w:szCs w:val="20"/>
          <w:color w:val="auto"/>
        </w:rPr>
      </w:pPr>
    </w:p>
    <w:p>
      <w:pPr>
        <w:ind w:left="420" w:right="320" w:hanging="210"/>
        <w:spacing w:after="0" w:line="274" w:lineRule="auto"/>
        <w:tabs>
          <w:tab w:leader="none" w:pos="4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positions of Chairman of the Board and Chief Executive Officer are separate with J.W. Marriott, Jr. serving as Executive Chairman and Chairman of the Board, and Arne M. Sorenson serving as President and CEO.</w:t>
      </w:r>
    </w:p>
    <w:p>
      <w:pPr>
        <w:spacing w:after="0" w:line="52" w:lineRule="exact"/>
        <w:rPr>
          <w:rFonts w:ascii="Arial" w:cs="Arial" w:eastAsia="Arial" w:hAnsi="Arial"/>
          <w:sz w:val="17"/>
          <w:szCs w:val="17"/>
          <w:color w:val="auto"/>
        </w:rPr>
      </w:pPr>
    </w:p>
    <w:p>
      <w:pPr>
        <w:ind w:left="420" w:right="200" w:hanging="210"/>
        <w:spacing w:after="0" w:line="274" w:lineRule="auto"/>
        <w:tabs>
          <w:tab w:leader="none" w:pos="4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Board has an independent Lead Director, Lawrence W. Kellner, who also is the Chairman of our Nominating and Corporate Governance Committee.</w:t>
      </w:r>
    </w:p>
    <w:p>
      <w:pPr>
        <w:spacing w:after="0" w:line="52" w:lineRule="exact"/>
        <w:rPr>
          <w:rFonts w:ascii="Arial" w:cs="Arial" w:eastAsia="Arial" w:hAnsi="Arial"/>
          <w:sz w:val="17"/>
          <w:szCs w:val="17"/>
          <w:color w:val="auto"/>
        </w:rPr>
      </w:pPr>
    </w:p>
    <w:p>
      <w:pPr>
        <w:ind w:left="420" w:right="660" w:hanging="210"/>
        <w:spacing w:after="0" w:line="274" w:lineRule="auto"/>
        <w:tabs>
          <w:tab w:leader="none" w:pos="420" w:val="left"/>
        </w:tabs>
        <w:numPr>
          <w:ilvl w:val="0"/>
          <w:numId w:val="8"/>
        </w:numPr>
        <w:rPr>
          <w:rFonts w:ascii="Arial" w:cs="Arial" w:eastAsia="Arial" w:hAnsi="Arial"/>
          <w:sz w:val="17"/>
          <w:szCs w:val="17"/>
          <w:color w:val="auto"/>
        </w:rPr>
      </w:pPr>
      <w:r>
        <w:rPr>
          <w:rFonts w:ascii="Arial" w:cs="Arial" w:eastAsia="Arial" w:hAnsi="Arial"/>
          <w:sz w:val="17"/>
          <w:szCs w:val="17"/>
          <w:color w:val="auto"/>
        </w:rPr>
        <w:t>Eleven of our 14 director nominees are independent, and the Audit, Compensation Policy, and Nominating and Corporate Governance committees are composed solely of independent directors.</w:t>
      </w:r>
    </w:p>
    <w:p>
      <w:pPr>
        <w:spacing w:after="0" w:line="52" w:lineRule="exact"/>
        <w:rPr>
          <w:rFonts w:ascii="Arial" w:cs="Arial" w:eastAsia="Arial" w:hAnsi="Arial"/>
          <w:sz w:val="17"/>
          <w:szCs w:val="17"/>
          <w:color w:val="auto"/>
        </w:rPr>
      </w:pPr>
    </w:p>
    <w:p>
      <w:pPr>
        <w:ind w:left="420" w:hanging="210"/>
        <w:spacing w:after="0"/>
        <w:tabs>
          <w:tab w:leader="none" w:pos="4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Board membership is diverse and includes four women, four minorities, and individuals with varied business backgrounds.</w:t>
      </w:r>
    </w:p>
    <w:p>
      <w:pPr>
        <w:spacing w:after="0" w:line="114" w:lineRule="exact"/>
        <w:rPr>
          <w:rFonts w:ascii="Arial" w:cs="Arial" w:eastAsia="Arial" w:hAnsi="Arial"/>
          <w:sz w:val="17"/>
          <w:szCs w:val="17"/>
          <w:color w:val="auto"/>
        </w:rPr>
      </w:pPr>
    </w:p>
    <w:p>
      <w:pPr>
        <w:ind w:left="420" w:right="820" w:hanging="210"/>
        <w:spacing w:after="0" w:line="274" w:lineRule="auto"/>
        <w:tabs>
          <w:tab w:leader="none" w:pos="4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 also has a mandatory retirement age of 72 for Board members, which has proven to be a very effective tool for Board refreshment over the years.</w:t>
      </w:r>
    </w:p>
    <w:p>
      <w:pPr>
        <w:spacing w:after="0" w:line="52" w:lineRule="exact"/>
        <w:rPr>
          <w:rFonts w:ascii="Arial" w:cs="Arial" w:eastAsia="Arial" w:hAnsi="Arial"/>
          <w:sz w:val="17"/>
          <w:szCs w:val="17"/>
          <w:color w:val="auto"/>
        </w:rPr>
      </w:pPr>
    </w:p>
    <w:p>
      <w:pPr>
        <w:ind w:left="420" w:hanging="210"/>
        <w:spacing w:after="0"/>
        <w:tabs>
          <w:tab w:leader="none" w:pos="4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 has a market-standard proxy access right.</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Meeting Information</w:t>
      </w:r>
    </w:p>
    <w:p>
      <w:pPr>
        <w:spacing w:after="0" w:line="103" w:lineRule="exact"/>
        <w:rPr>
          <w:sz w:val="20"/>
          <w:szCs w:val="20"/>
          <w:color w:val="auto"/>
        </w:rPr>
      </w:pPr>
    </w:p>
    <w:p>
      <w:pPr>
        <w:ind w:left="220" w:right="260"/>
        <w:spacing w:after="0" w:line="274" w:lineRule="auto"/>
        <w:rPr>
          <w:sz w:val="20"/>
          <w:szCs w:val="20"/>
          <w:color w:val="auto"/>
        </w:rPr>
      </w:pPr>
      <w:r>
        <w:rPr>
          <w:rFonts w:ascii="Arial" w:cs="Arial" w:eastAsia="Arial" w:hAnsi="Arial"/>
          <w:sz w:val="17"/>
          <w:szCs w:val="17"/>
          <w:color w:val="auto"/>
        </w:rPr>
        <w:t>We hope you can join us at our upcoming Annual Stockholders Meeting. The meeting will be held at the JW Marriott Hotel, 1331 Pennsylvania Avenue, N.W., Washington, D.C. 20004 on Friday, May 4, 2018, beginning at 11:00 a.m. Doors to the meeting will open at 10:30 a.m.</w:t>
      </w:r>
    </w:p>
    <w:p>
      <w:pPr>
        <w:spacing w:after="0" w:line="39" w:lineRule="exact"/>
        <w:rPr>
          <w:sz w:val="20"/>
          <w:szCs w:val="20"/>
          <w:color w:val="auto"/>
        </w:rPr>
      </w:pPr>
    </w:p>
    <w:p>
      <w:pPr>
        <w:jc w:val="both"/>
        <w:ind w:left="220" w:right="220"/>
        <w:spacing w:after="0" w:line="253" w:lineRule="auto"/>
        <w:rPr>
          <w:sz w:val="20"/>
          <w:szCs w:val="20"/>
          <w:color w:val="auto"/>
        </w:rPr>
      </w:pPr>
      <w:r>
        <w:rPr>
          <w:rFonts w:ascii="Arial" w:cs="Arial" w:eastAsia="Arial" w:hAnsi="Arial"/>
          <w:sz w:val="17"/>
          <w:szCs w:val="17"/>
          <w:color w:val="auto"/>
        </w:rPr>
        <w:t>There is a lot of excitement at Marriott today. We are embracing change as never before while remaining true to our culture and commitment to excellence, to the benefit of our guests, owners, associates, communities, and stockholders. Thank you for your support and joining us on this journey.</w:t>
      </w:r>
    </w:p>
    <w:p>
      <w:pPr>
        <w:spacing w:after="0" w:line="16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159385</wp:posOffset>
            </wp:positionV>
            <wp:extent cx="1901825" cy="4622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01825" cy="46228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159385</wp:posOffset>
            </wp:positionV>
            <wp:extent cx="1858645" cy="5397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58645" cy="539750"/>
                    </a:xfrm>
                    <a:prstGeom prst="rect">
                      <a:avLst/>
                    </a:prstGeom>
                    <a:noFill/>
                  </pic:spPr>
                </pic:pic>
              </a:graphicData>
            </a:graphic>
          </wp:anchor>
        </w:drawing>
      </w:r>
    </w:p>
    <w:p>
      <w:pPr>
        <w:sectPr>
          <w:pgSz w:w="11900" w:h="16838" w:orient="portrait"/>
          <w:cols w:equalWidth="0" w:num="1">
            <w:col w:w="11200"/>
          </w:cols>
          <w:pgMar w:left="240" w:top="45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J.W. “Bill” Marriott, Jr.</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Executive Chairman and 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Arne M. Sorenson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President and CEO</w:t>
      </w:r>
    </w:p>
    <w:p>
      <w:pPr>
        <w:sectPr>
          <w:pgSz w:w="11900" w:h="16838" w:orient="portrait"/>
          <w:cols w:equalWidth="0" w:num="2">
            <w:col w:w="5340" w:space="720"/>
            <w:col w:w="5140"/>
          </w:cols>
          <w:pgMar w:left="240" w:top="455" w:right="459" w:bottom="1440" w:gutter="0" w:footer="0" w:header="0"/>
          <w:type w:val="continuous"/>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220" w:type="dxa"/>
        <w:tblCellMar>
          <w:top w:w="0" w:type="dxa"/>
          <w:left w:w="0" w:type="dxa"/>
          <w:bottom w:w="0" w:type="dxa"/>
          <w:right w:w="0" w:type="dxa"/>
        </w:tblCellMar>
      </w:tblPr>
      <w:tr>
        <w:trPr>
          <w:trHeight w:val="206"/>
        </w:trPr>
        <w:tc>
          <w:tcPr>
            <w:tcW w:w="5000" w:type="dxa"/>
            <w:vAlign w:val="bottom"/>
          </w:tcPr>
          <w:p>
            <w:pPr>
              <w:ind w:left="1860"/>
              <w:spacing w:after="0"/>
              <w:rPr>
                <w:sz w:val="20"/>
                <w:szCs w:val="20"/>
                <w:color w:val="auto"/>
              </w:rPr>
            </w:pPr>
            <w:r>
              <w:rPr>
                <w:rFonts w:ascii="Arial" w:cs="Arial" w:eastAsia="Arial" w:hAnsi="Arial"/>
                <w:sz w:val="15"/>
                <w:szCs w:val="15"/>
                <w:color w:val="7F7F7F"/>
              </w:rPr>
              <w:t>Corporate Headquarters and Mailing Address</w:t>
            </w:r>
          </w:p>
        </w:tc>
        <w:tc>
          <w:tcPr>
            <w:tcW w:w="6000" w:type="dxa"/>
            <w:vAlign w:val="bottom"/>
          </w:tcPr>
          <w:p>
            <w:pPr>
              <w:ind w:left="100"/>
              <w:spacing w:after="0"/>
              <w:rPr>
                <w:sz w:val="20"/>
                <w:szCs w:val="20"/>
                <w:color w:val="auto"/>
              </w:rPr>
            </w:pPr>
            <w:r>
              <w:rPr>
                <w:rFonts w:ascii="Times New Roman" w:cs="Times New Roman" w:eastAsia="Times New Roman" w:hAnsi="Times New Roman"/>
                <w:sz w:val="15"/>
                <w:szCs w:val="15"/>
                <w:color w:val="7F7F7F"/>
              </w:rPr>
              <w:t xml:space="preserve">v  </w:t>
            </w:r>
            <w:r>
              <w:rPr>
                <w:rFonts w:ascii="Arial" w:cs="Arial" w:eastAsia="Arial" w:hAnsi="Arial"/>
                <w:sz w:val="15"/>
                <w:szCs w:val="15"/>
                <w:color w:val="7F7F7F"/>
              </w:rPr>
              <w:t>10400 Fernwood Road</w:t>
            </w:r>
            <w:r>
              <w:rPr>
                <w:rFonts w:ascii="Times New Roman" w:cs="Times New Roman" w:eastAsia="Times New Roman" w:hAnsi="Times New Roman"/>
                <w:sz w:val="15"/>
                <w:szCs w:val="15"/>
                <w:color w:val="7F7F7F"/>
              </w:rPr>
              <w:t xml:space="preserve">  v  </w:t>
            </w:r>
            <w:r>
              <w:rPr>
                <w:rFonts w:ascii="Arial" w:cs="Arial" w:eastAsia="Arial" w:hAnsi="Arial"/>
                <w:sz w:val="15"/>
                <w:szCs w:val="15"/>
                <w:color w:val="7F7F7F"/>
              </w:rPr>
              <w:t>Bethesda, Maryland 20817</w:t>
            </w:r>
          </w:p>
        </w:tc>
      </w:tr>
      <w:tr>
        <w:trPr>
          <w:trHeight w:val="33"/>
        </w:trPr>
        <w:tc>
          <w:tcPr>
            <w:tcW w:w="11000" w:type="dxa"/>
            <w:vAlign w:val="bottom"/>
            <w:tcBorders>
              <w:bottom w:val="single" w:sz="8" w:color="998C87"/>
            </w:tcBorders>
            <w:gridSpan w:val="2"/>
          </w:tcPr>
          <w:p>
            <w:pPr>
              <w:spacing w:after="0"/>
              <w:rPr>
                <w:sz w:val="2"/>
                <w:szCs w:val="2"/>
                <w:color w:val="auto"/>
              </w:rPr>
            </w:pPr>
          </w:p>
        </w:tc>
      </w:tr>
      <w:tr>
        <w:trPr>
          <w:trHeight w:val="492"/>
        </w:trPr>
        <w:tc>
          <w:tcPr>
            <w:tcW w:w="11000" w:type="dxa"/>
            <w:vAlign w:val="bottom"/>
            <w:gridSpan w:val="2"/>
          </w:tcPr>
          <w:p>
            <w:pPr>
              <w:spacing w:after="0"/>
              <w:rPr>
                <w:sz w:val="20"/>
                <w:szCs w:val="20"/>
                <w:color w:val="auto"/>
              </w:rPr>
            </w:pPr>
            <w:r>
              <w:rPr>
                <w:rFonts w:ascii="Arial" w:cs="Arial" w:eastAsia="Arial" w:hAnsi="Arial"/>
                <w:sz w:val="25"/>
                <w:szCs w:val="25"/>
                <w:color w:val="998C87"/>
              </w:rPr>
              <w:t>NOTICE OF ANNUAL MEETING OF STOCKHOLDERS</w:t>
            </w:r>
          </w:p>
        </w:tc>
      </w:tr>
      <w:tr>
        <w:trPr>
          <w:trHeight w:val="445"/>
        </w:trPr>
        <w:tc>
          <w:tcPr>
            <w:tcW w:w="5000" w:type="dxa"/>
            <w:vAlign w:val="bottom"/>
          </w:tcPr>
          <w:p>
            <w:pPr>
              <w:spacing w:after="0"/>
              <w:rPr>
                <w:sz w:val="20"/>
                <w:szCs w:val="20"/>
                <w:color w:val="auto"/>
              </w:rPr>
            </w:pPr>
            <w:r>
              <w:rPr>
                <w:rFonts w:ascii="Arial" w:cs="Arial" w:eastAsia="Arial" w:hAnsi="Arial"/>
                <w:sz w:val="17"/>
                <w:szCs w:val="17"/>
                <w:b w:val="1"/>
                <w:bCs w:val="1"/>
                <w:color w:val="998C87"/>
              </w:rPr>
              <w:t>Date and Time:</w:t>
            </w:r>
            <w:r>
              <w:rPr>
                <w:rFonts w:ascii="Arial" w:cs="Arial" w:eastAsia="Arial" w:hAnsi="Arial"/>
                <w:sz w:val="17"/>
                <w:szCs w:val="17"/>
                <w:color w:val="auto"/>
              </w:rPr>
              <w:t>Friday</w:t>
            </w:r>
          </w:p>
        </w:tc>
        <w:tc>
          <w:tcPr>
            <w:tcW w:w="6000" w:type="dxa"/>
            <w:vAlign w:val="bottom"/>
          </w:tcPr>
          <w:p>
            <w:pPr>
              <w:ind w:left="600"/>
              <w:spacing w:after="0"/>
              <w:rPr>
                <w:sz w:val="20"/>
                <w:szCs w:val="20"/>
                <w:color w:val="auto"/>
              </w:rPr>
            </w:pPr>
            <w:r>
              <w:rPr>
                <w:rFonts w:ascii="Arial" w:cs="Arial" w:eastAsia="Arial" w:hAnsi="Arial"/>
                <w:sz w:val="17"/>
                <w:szCs w:val="17"/>
                <w:b w:val="1"/>
                <w:bCs w:val="1"/>
                <w:color w:val="998C87"/>
              </w:rPr>
              <w:t xml:space="preserve">Place:   </w:t>
            </w:r>
            <w:r>
              <w:rPr>
                <w:rFonts w:ascii="Arial" w:cs="Arial" w:eastAsia="Arial" w:hAnsi="Arial"/>
                <w:sz w:val="17"/>
                <w:szCs w:val="17"/>
                <w:color w:val="000000"/>
              </w:rPr>
              <w:t>JW Marriott Hotel</w:t>
            </w:r>
          </w:p>
        </w:tc>
      </w:tr>
      <w:tr>
        <w:trPr>
          <w:trHeight w:val="189"/>
        </w:trPr>
        <w:tc>
          <w:tcPr>
            <w:tcW w:w="5000" w:type="dxa"/>
            <w:vAlign w:val="bottom"/>
          </w:tcPr>
          <w:p>
            <w:pPr>
              <w:ind w:left="1640"/>
              <w:spacing w:after="0" w:line="189" w:lineRule="exact"/>
              <w:rPr>
                <w:sz w:val="20"/>
                <w:szCs w:val="20"/>
                <w:color w:val="auto"/>
              </w:rPr>
            </w:pPr>
            <w:r>
              <w:rPr>
                <w:rFonts w:ascii="Arial" w:cs="Arial" w:eastAsia="Arial" w:hAnsi="Arial"/>
                <w:sz w:val="17"/>
                <w:szCs w:val="17"/>
                <w:color w:val="auto"/>
              </w:rPr>
              <w:t>May 4, 2018</w:t>
            </w:r>
          </w:p>
        </w:tc>
        <w:tc>
          <w:tcPr>
            <w:tcW w:w="6000" w:type="dxa"/>
            <w:vAlign w:val="bottom"/>
          </w:tcPr>
          <w:p>
            <w:pPr>
              <w:ind w:left="1420"/>
              <w:spacing w:after="0" w:line="189" w:lineRule="exact"/>
              <w:rPr>
                <w:sz w:val="20"/>
                <w:szCs w:val="20"/>
                <w:color w:val="auto"/>
              </w:rPr>
            </w:pPr>
            <w:r>
              <w:rPr>
                <w:rFonts w:ascii="Arial" w:cs="Arial" w:eastAsia="Arial" w:hAnsi="Arial"/>
                <w:sz w:val="17"/>
                <w:szCs w:val="17"/>
                <w:color w:val="auto"/>
              </w:rPr>
              <w:t>1331 Pennsylvania Avenue, N.W.</w:t>
            </w:r>
          </w:p>
        </w:tc>
      </w:tr>
      <w:tr>
        <w:trPr>
          <w:trHeight w:val="231"/>
        </w:trPr>
        <w:tc>
          <w:tcPr>
            <w:tcW w:w="5000" w:type="dxa"/>
            <w:vAlign w:val="bottom"/>
          </w:tcPr>
          <w:p>
            <w:pPr>
              <w:ind w:left="1640"/>
              <w:spacing w:after="0"/>
              <w:rPr>
                <w:sz w:val="20"/>
                <w:szCs w:val="20"/>
                <w:color w:val="auto"/>
              </w:rPr>
            </w:pPr>
            <w:r>
              <w:rPr>
                <w:rFonts w:ascii="Arial" w:cs="Arial" w:eastAsia="Arial" w:hAnsi="Arial"/>
                <w:sz w:val="17"/>
                <w:szCs w:val="17"/>
                <w:color w:val="auto"/>
              </w:rPr>
              <w:t>11:00 a.m.</w:t>
            </w:r>
          </w:p>
        </w:tc>
        <w:tc>
          <w:tcPr>
            <w:tcW w:w="6000" w:type="dxa"/>
            <w:vAlign w:val="bottom"/>
          </w:tcPr>
          <w:p>
            <w:pPr>
              <w:ind w:left="1420"/>
              <w:spacing w:after="0"/>
              <w:rPr>
                <w:sz w:val="20"/>
                <w:szCs w:val="20"/>
                <w:color w:val="auto"/>
              </w:rPr>
            </w:pPr>
            <w:r>
              <w:rPr>
                <w:rFonts w:ascii="Arial" w:cs="Arial" w:eastAsia="Arial" w:hAnsi="Arial"/>
                <w:sz w:val="17"/>
                <w:szCs w:val="17"/>
                <w:color w:val="auto"/>
              </w:rPr>
              <w:t>Washington, D.C. 20004</w:t>
            </w:r>
          </w:p>
        </w:tc>
      </w:tr>
    </w:tbl>
    <w:p>
      <w:pPr>
        <w:spacing w:after="0" w:line="200" w:lineRule="exact"/>
        <w:rPr>
          <w:sz w:val="20"/>
          <w:szCs w:val="20"/>
          <w:color w:val="auto"/>
        </w:rPr>
      </w:pPr>
    </w:p>
    <w:p>
      <w:pPr>
        <w:spacing w:after="0" w:line="296"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FFFFFF"/>
        </w:rPr>
        <w:t>How to Vote Your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-113030</wp:posOffset>
            </wp:positionV>
            <wp:extent cx="6989445" cy="2571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89445" cy="257175"/>
                    </a:xfrm>
                    <a:prstGeom prst="rect">
                      <a:avLst/>
                    </a:prstGeom>
                    <a:noFill/>
                  </pic:spPr>
                </pic:pic>
              </a:graphicData>
            </a:graphic>
          </wp:anchor>
        </w:drawing>
      </w:r>
    </w:p>
    <w:p>
      <w:pPr>
        <w:jc w:val="center"/>
        <w:ind w:right="-319"/>
        <w:spacing w:after="0"/>
        <w:rPr>
          <w:sz w:val="20"/>
          <w:szCs w:val="20"/>
          <w:color w:val="auto"/>
        </w:rPr>
      </w:pPr>
      <w:r>
        <w:rPr>
          <w:rFonts w:ascii="Arial" w:cs="Arial" w:eastAsia="Arial" w:hAnsi="Arial"/>
          <w:sz w:val="17"/>
          <w:szCs w:val="17"/>
          <w:b w:val="1"/>
          <w:bCs w:val="1"/>
          <w:color w:val="FFFFFF"/>
        </w:rPr>
        <w:t>(see pages 66 – 70 for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8255</wp:posOffset>
            </wp:positionV>
            <wp:extent cx="69894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89445" cy="8255"/>
                    </a:xfrm>
                    <a:prstGeom prst="rect">
                      <a:avLst/>
                    </a:prstGeom>
                    <a:noFill/>
                  </pic:spPr>
                </pic:pic>
              </a:graphicData>
            </a:graphic>
          </wp:anchor>
        </w:drawing>
        <w:drawing>
          <wp:anchor simplePos="0" relativeHeight="251657728" behindDoc="1" locked="0" layoutInCell="0" allowOverlap="1">
            <wp:simplePos x="0" y="0"/>
            <wp:positionH relativeFrom="column">
              <wp:posOffset>1033145</wp:posOffset>
            </wp:positionH>
            <wp:positionV relativeFrom="paragraph">
              <wp:posOffset>145415</wp:posOffset>
            </wp:positionV>
            <wp:extent cx="513715" cy="5651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3715" cy="565150"/>
                    </a:xfrm>
                    <a:prstGeom prst="rect">
                      <a:avLst/>
                    </a:prstGeom>
                    <a:noFill/>
                  </pic:spPr>
                </pic:pic>
              </a:graphicData>
            </a:graphic>
          </wp:anchor>
        </w:drawing>
        <w:drawing>
          <wp:anchor simplePos="0" relativeHeight="251657728" behindDoc="1" locked="0" layoutInCell="0" allowOverlap="1">
            <wp:simplePos x="0" y="0"/>
            <wp:positionH relativeFrom="column">
              <wp:posOffset>3405505</wp:posOffset>
            </wp:positionH>
            <wp:positionV relativeFrom="paragraph">
              <wp:posOffset>170815</wp:posOffset>
            </wp:positionV>
            <wp:extent cx="522605" cy="5054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2605" cy="505460"/>
                    </a:xfrm>
                    <a:prstGeom prst="rect">
                      <a:avLst/>
                    </a:prstGeom>
                    <a:noFill/>
                  </pic:spPr>
                </pic:pic>
              </a:graphicData>
            </a:graphic>
          </wp:anchor>
        </w:drawing>
        <w:drawing>
          <wp:anchor simplePos="0" relativeHeight="251657728" behindDoc="1" locked="0" layoutInCell="0" allowOverlap="1">
            <wp:simplePos x="0" y="0"/>
            <wp:positionH relativeFrom="column">
              <wp:posOffset>5650230</wp:posOffset>
            </wp:positionH>
            <wp:positionV relativeFrom="paragraph">
              <wp:posOffset>222250</wp:posOffset>
            </wp:positionV>
            <wp:extent cx="711200" cy="410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200" cy="410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480"/>
        <w:spacing w:after="0"/>
        <w:tabs>
          <w:tab w:leader="none" w:pos="5100" w:val="left"/>
          <w:tab w:leader="none" w:pos="9140" w:val="left"/>
        </w:tabs>
        <w:rPr>
          <w:sz w:val="20"/>
          <w:szCs w:val="20"/>
          <w:color w:val="auto"/>
        </w:rPr>
      </w:pPr>
      <w:r>
        <w:rPr>
          <w:rFonts w:ascii="Arial" w:cs="Arial" w:eastAsia="Arial" w:hAnsi="Arial"/>
          <w:sz w:val="14"/>
          <w:szCs w:val="14"/>
          <w:b w:val="1"/>
          <w:bCs w:val="1"/>
          <w:color w:val="998C87"/>
        </w:rPr>
        <w:t>BY TELEPHONE</w:t>
      </w:r>
      <w:r>
        <w:rPr>
          <w:sz w:val="20"/>
          <w:szCs w:val="20"/>
          <w:color w:val="auto"/>
        </w:rPr>
        <w:tab/>
      </w:r>
      <w:r>
        <w:rPr>
          <w:rFonts w:ascii="Arial" w:cs="Arial" w:eastAsia="Arial" w:hAnsi="Arial"/>
          <w:sz w:val="14"/>
          <w:szCs w:val="14"/>
          <w:b w:val="1"/>
          <w:bCs w:val="1"/>
          <w:color w:val="998C87"/>
        </w:rPr>
        <w:t>VIA THE INTERNET</w:t>
      </w:r>
      <w:r>
        <w:rPr>
          <w:sz w:val="20"/>
          <w:szCs w:val="20"/>
          <w:color w:val="auto"/>
        </w:rPr>
        <w:tab/>
      </w:r>
      <w:r>
        <w:rPr>
          <w:rFonts w:ascii="Arial" w:cs="Arial" w:eastAsia="Arial" w:hAnsi="Arial"/>
          <w:sz w:val="14"/>
          <w:szCs w:val="14"/>
          <w:b w:val="1"/>
          <w:bCs w:val="1"/>
          <w:color w:val="998C87"/>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44450</wp:posOffset>
            </wp:positionV>
            <wp:extent cx="698944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351"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998C87"/>
        </w:rPr>
        <w:t>To Our Stockholders:</w:t>
      </w:r>
    </w:p>
    <w:p>
      <w:pPr>
        <w:spacing w:after="0" w:line="106" w:lineRule="exact"/>
        <w:rPr>
          <w:sz w:val="20"/>
          <w:szCs w:val="20"/>
          <w:color w:val="auto"/>
        </w:rPr>
      </w:pPr>
    </w:p>
    <w:p>
      <w:pPr>
        <w:ind w:left="220" w:right="140"/>
        <w:spacing w:after="0" w:line="253" w:lineRule="auto"/>
        <w:rPr>
          <w:sz w:val="20"/>
          <w:szCs w:val="20"/>
          <w:color w:val="auto"/>
        </w:rPr>
      </w:pPr>
      <w:r>
        <w:rPr>
          <w:rFonts w:ascii="Arial" w:cs="Arial" w:eastAsia="Arial" w:hAnsi="Arial"/>
          <w:sz w:val="17"/>
          <w:szCs w:val="17"/>
          <w:color w:val="auto"/>
        </w:rPr>
        <w:t>The 2018 annual meeting of stockholders of Marriott International, Inc. (“we,” “us,” “our,” “Marriott,” or the “Company”) will be held at the JW Marriott Hotel, 1331 Pennsylvania Avenue, N.W., Washington, D.C. 20004 on Friday, May 4, 2018, beginning at 11:00 a.m. Doors to the meeting will open at 10:30 a.m. At the meeting, stockholders will act on the following matters:</w:t>
      </w:r>
    </w:p>
    <w:p>
      <w:pPr>
        <w:spacing w:after="0" w:line="70" w:lineRule="exact"/>
        <w:rPr>
          <w:sz w:val="20"/>
          <w:szCs w:val="20"/>
          <w:color w:val="auto"/>
        </w:rPr>
      </w:pPr>
    </w:p>
    <w:p>
      <w:pPr>
        <w:ind w:left="640" w:hanging="430"/>
        <w:spacing w:after="0"/>
        <w:tabs>
          <w:tab w:leader="none" w:pos="640" w:val="left"/>
        </w:tabs>
        <w:numPr>
          <w:ilvl w:val="0"/>
          <w:numId w:val="9"/>
        </w:numPr>
        <w:rPr>
          <w:rFonts w:ascii="Arial" w:cs="Arial" w:eastAsia="Arial" w:hAnsi="Arial"/>
          <w:sz w:val="17"/>
          <w:szCs w:val="17"/>
          <w:b w:val="1"/>
          <w:bCs w:val="1"/>
          <w:color w:val="998C87"/>
        </w:rPr>
      </w:pPr>
      <w:r>
        <w:rPr>
          <w:rFonts w:ascii="Arial" w:cs="Arial" w:eastAsia="Arial" w:hAnsi="Arial"/>
          <w:sz w:val="17"/>
          <w:szCs w:val="17"/>
          <w:color w:val="auto"/>
        </w:rPr>
        <w:t>Election of each of the 14 director nominees named in the proxy statement;</w:t>
      </w:r>
    </w:p>
    <w:p>
      <w:pPr>
        <w:spacing w:after="0" w:line="114" w:lineRule="exact"/>
        <w:rPr>
          <w:rFonts w:ascii="Arial" w:cs="Arial" w:eastAsia="Arial" w:hAnsi="Arial"/>
          <w:sz w:val="17"/>
          <w:szCs w:val="17"/>
          <w:b w:val="1"/>
          <w:bCs w:val="1"/>
          <w:color w:val="998C87"/>
        </w:rPr>
      </w:pPr>
    </w:p>
    <w:p>
      <w:pPr>
        <w:ind w:left="640" w:hanging="430"/>
        <w:spacing w:after="0"/>
        <w:tabs>
          <w:tab w:leader="none" w:pos="640" w:val="left"/>
        </w:tabs>
        <w:numPr>
          <w:ilvl w:val="0"/>
          <w:numId w:val="9"/>
        </w:numPr>
        <w:rPr>
          <w:rFonts w:ascii="Arial" w:cs="Arial" w:eastAsia="Arial" w:hAnsi="Arial"/>
          <w:sz w:val="17"/>
          <w:szCs w:val="17"/>
          <w:b w:val="1"/>
          <w:bCs w:val="1"/>
          <w:color w:val="998C87"/>
        </w:rPr>
      </w:pPr>
      <w:r>
        <w:rPr>
          <w:rFonts w:ascii="Arial" w:cs="Arial" w:eastAsia="Arial" w:hAnsi="Arial"/>
          <w:sz w:val="17"/>
          <w:szCs w:val="17"/>
          <w:color w:val="auto"/>
        </w:rPr>
        <w:t>Ratification of the appointment of Ernst &amp; Young LLP as the Company’s independent registered public accounting firm for fiscal year 2018;</w:t>
      </w:r>
    </w:p>
    <w:p>
      <w:pPr>
        <w:spacing w:after="0" w:line="114" w:lineRule="exact"/>
        <w:rPr>
          <w:rFonts w:ascii="Arial" w:cs="Arial" w:eastAsia="Arial" w:hAnsi="Arial"/>
          <w:sz w:val="17"/>
          <w:szCs w:val="17"/>
          <w:b w:val="1"/>
          <w:bCs w:val="1"/>
          <w:color w:val="998C87"/>
        </w:rPr>
      </w:pPr>
    </w:p>
    <w:p>
      <w:pPr>
        <w:ind w:left="640" w:hanging="430"/>
        <w:spacing w:after="0"/>
        <w:tabs>
          <w:tab w:leader="none" w:pos="640" w:val="left"/>
        </w:tabs>
        <w:numPr>
          <w:ilvl w:val="0"/>
          <w:numId w:val="9"/>
        </w:numPr>
        <w:rPr>
          <w:rFonts w:ascii="Arial" w:cs="Arial" w:eastAsia="Arial" w:hAnsi="Arial"/>
          <w:sz w:val="17"/>
          <w:szCs w:val="17"/>
          <w:b w:val="1"/>
          <w:bCs w:val="1"/>
          <w:color w:val="998C87"/>
        </w:rPr>
      </w:pPr>
      <w:r>
        <w:rPr>
          <w:rFonts w:ascii="Arial" w:cs="Arial" w:eastAsia="Arial" w:hAnsi="Arial"/>
          <w:sz w:val="17"/>
          <w:szCs w:val="17"/>
          <w:color w:val="auto"/>
        </w:rPr>
        <w:t>An advisory vote to approve executive compensation;</w:t>
      </w:r>
    </w:p>
    <w:p>
      <w:pPr>
        <w:spacing w:after="0" w:line="114" w:lineRule="exact"/>
        <w:rPr>
          <w:rFonts w:ascii="Arial" w:cs="Arial" w:eastAsia="Arial" w:hAnsi="Arial"/>
          <w:sz w:val="17"/>
          <w:szCs w:val="17"/>
          <w:b w:val="1"/>
          <w:bCs w:val="1"/>
          <w:color w:val="998C87"/>
        </w:rPr>
      </w:pPr>
    </w:p>
    <w:p>
      <w:pPr>
        <w:ind w:left="640" w:right="680" w:hanging="430"/>
        <w:spacing w:after="0" w:line="274" w:lineRule="auto"/>
        <w:tabs>
          <w:tab w:leader="none" w:pos="640" w:val="left"/>
        </w:tabs>
        <w:numPr>
          <w:ilvl w:val="0"/>
          <w:numId w:val="9"/>
        </w:numPr>
        <w:rPr>
          <w:rFonts w:ascii="Arial" w:cs="Arial" w:eastAsia="Arial" w:hAnsi="Arial"/>
          <w:sz w:val="17"/>
          <w:szCs w:val="17"/>
          <w:b w:val="1"/>
          <w:bCs w:val="1"/>
          <w:color w:val="998C87"/>
        </w:rPr>
      </w:pPr>
      <w:r>
        <w:rPr>
          <w:rFonts w:ascii="Arial" w:cs="Arial" w:eastAsia="Arial" w:hAnsi="Arial"/>
          <w:sz w:val="17"/>
          <w:szCs w:val="17"/>
          <w:color w:val="auto"/>
        </w:rPr>
        <w:t>Approval of proposed amendments to the Company’s Restated Certificate of Incorporation and Bylaws to provide holders of 25% of Company stock the right to call special meetings;</w:t>
      </w:r>
    </w:p>
    <w:p>
      <w:pPr>
        <w:spacing w:after="0" w:line="52" w:lineRule="exact"/>
        <w:rPr>
          <w:rFonts w:ascii="Arial" w:cs="Arial" w:eastAsia="Arial" w:hAnsi="Arial"/>
          <w:sz w:val="17"/>
          <w:szCs w:val="17"/>
          <w:b w:val="1"/>
          <w:bCs w:val="1"/>
          <w:color w:val="998C87"/>
        </w:rPr>
      </w:pPr>
    </w:p>
    <w:p>
      <w:pPr>
        <w:ind w:left="640" w:hanging="430"/>
        <w:spacing w:after="0"/>
        <w:tabs>
          <w:tab w:leader="none" w:pos="640" w:val="left"/>
        </w:tabs>
        <w:numPr>
          <w:ilvl w:val="0"/>
          <w:numId w:val="9"/>
        </w:numPr>
        <w:rPr>
          <w:rFonts w:ascii="Arial" w:cs="Arial" w:eastAsia="Arial" w:hAnsi="Arial"/>
          <w:sz w:val="17"/>
          <w:szCs w:val="17"/>
          <w:b w:val="1"/>
          <w:bCs w:val="1"/>
          <w:color w:val="998C87"/>
        </w:rPr>
      </w:pPr>
      <w:r>
        <w:rPr>
          <w:rFonts w:ascii="Arial" w:cs="Arial" w:eastAsia="Arial" w:hAnsi="Arial"/>
          <w:sz w:val="17"/>
          <w:szCs w:val="17"/>
          <w:color w:val="auto"/>
        </w:rPr>
        <w:t>A stockholder resolution to allow holders of 15% of Company stock to call special meetings;</w:t>
      </w:r>
    </w:p>
    <w:p>
      <w:pPr>
        <w:spacing w:after="0" w:line="114" w:lineRule="exact"/>
        <w:rPr>
          <w:rFonts w:ascii="Arial" w:cs="Arial" w:eastAsia="Arial" w:hAnsi="Arial"/>
          <w:sz w:val="17"/>
          <w:szCs w:val="17"/>
          <w:b w:val="1"/>
          <w:bCs w:val="1"/>
          <w:color w:val="998C87"/>
        </w:rPr>
      </w:pPr>
    </w:p>
    <w:p>
      <w:pPr>
        <w:ind w:left="640" w:hanging="430"/>
        <w:spacing w:after="0"/>
        <w:tabs>
          <w:tab w:leader="none" w:pos="640" w:val="left"/>
        </w:tabs>
        <w:numPr>
          <w:ilvl w:val="0"/>
          <w:numId w:val="9"/>
        </w:numPr>
        <w:rPr>
          <w:rFonts w:ascii="Arial" w:cs="Arial" w:eastAsia="Arial" w:hAnsi="Arial"/>
          <w:sz w:val="17"/>
          <w:szCs w:val="17"/>
          <w:b w:val="1"/>
          <w:bCs w:val="1"/>
          <w:color w:val="998C87"/>
        </w:rPr>
      </w:pPr>
      <w:r>
        <w:rPr>
          <w:rFonts w:ascii="Arial" w:cs="Arial" w:eastAsia="Arial" w:hAnsi="Arial"/>
          <w:sz w:val="17"/>
          <w:szCs w:val="17"/>
          <w:color w:val="auto"/>
        </w:rPr>
        <w:t>A stockholder resolution recommending implementation of a simple majority voting standard in our governance documents; and</w:t>
      </w:r>
    </w:p>
    <w:p>
      <w:pPr>
        <w:spacing w:after="0" w:line="114" w:lineRule="exact"/>
        <w:rPr>
          <w:rFonts w:ascii="Arial" w:cs="Arial" w:eastAsia="Arial" w:hAnsi="Arial"/>
          <w:sz w:val="17"/>
          <w:szCs w:val="17"/>
          <w:b w:val="1"/>
          <w:bCs w:val="1"/>
          <w:color w:val="998C87"/>
        </w:rPr>
      </w:pPr>
    </w:p>
    <w:p>
      <w:pPr>
        <w:ind w:left="640" w:hanging="430"/>
        <w:spacing w:after="0"/>
        <w:tabs>
          <w:tab w:leader="none" w:pos="640" w:val="left"/>
        </w:tabs>
        <w:numPr>
          <w:ilvl w:val="0"/>
          <w:numId w:val="9"/>
        </w:numPr>
        <w:rPr>
          <w:rFonts w:ascii="Arial" w:cs="Arial" w:eastAsia="Arial" w:hAnsi="Arial"/>
          <w:sz w:val="17"/>
          <w:szCs w:val="17"/>
          <w:b w:val="1"/>
          <w:bCs w:val="1"/>
          <w:color w:val="998C87"/>
        </w:rPr>
      </w:pPr>
      <w:r>
        <w:rPr>
          <w:rFonts w:ascii="Arial" w:cs="Arial" w:eastAsia="Arial" w:hAnsi="Arial"/>
          <w:sz w:val="17"/>
          <w:szCs w:val="17"/>
          <w:color w:val="auto"/>
        </w:rPr>
        <w:t>Any other matters that may properly be presented at the meeting.</w:t>
      </w:r>
    </w:p>
    <w:p>
      <w:pPr>
        <w:spacing w:after="0" w:line="9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998C87"/>
        </w:rPr>
        <w:t xml:space="preserve">Record Date: </w:t>
      </w:r>
      <w:r>
        <w:rPr>
          <w:rFonts w:ascii="Arial" w:cs="Arial" w:eastAsia="Arial" w:hAnsi="Arial"/>
          <w:sz w:val="17"/>
          <w:szCs w:val="17"/>
          <w:color w:val="000000"/>
        </w:rPr>
        <w:t>Stockholders of record at the close of business on March 12, 2018, are entitled to notice of and to vote at this meeting.</w:t>
      </w:r>
    </w:p>
    <w:p>
      <w:pPr>
        <w:spacing w:after="0" w:line="101"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998C87"/>
        </w:rPr>
        <w:t xml:space="preserve">Distribution Date: </w:t>
      </w:r>
      <w:r>
        <w:rPr>
          <w:rFonts w:ascii="Arial" w:cs="Arial" w:eastAsia="Arial" w:hAnsi="Arial"/>
          <w:sz w:val="17"/>
          <w:szCs w:val="17"/>
          <w:color w:val="000000"/>
        </w:rPr>
        <w:t>This proxy statement is first being made available to our stockholders on or about April 4, 2018.</w:t>
      </w:r>
    </w:p>
    <w:p>
      <w:pPr>
        <w:spacing w:after="0" w:line="103" w:lineRule="exact"/>
        <w:rPr>
          <w:sz w:val="20"/>
          <w:szCs w:val="20"/>
          <w:color w:val="auto"/>
        </w:rPr>
      </w:pPr>
    </w:p>
    <w:p>
      <w:pPr>
        <w:ind w:left="220" w:right="120"/>
        <w:spacing w:after="0" w:line="253" w:lineRule="auto"/>
        <w:rPr>
          <w:sz w:val="20"/>
          <w:szCs w:val="20"/>
          <w:color w:val="auto"/>
        </w:rPr>
      </w:pPr>
      <w:r>
        <w:rPr>
          <w:rFonts w:ascii="Arial" w:cs="Arial" w:eastAsia="Arial" w:hAnsi="Arial"/>
          <w:sz w:val="17"/>
          <w:szCs w:val="17"/>
          <w:color w:val="auto"/>
        </w:rPr>
        <w:t>For the convenience of our stockholders, proxies may be given either by telephone, electronically through the Internet, or by completing, signing, and returning the enclosed proxy card. In addition, stockholders may elect to receive future stockholder communications, including proxy materials, through the Internet. Instructions for each of these options can be found in the enclosed materials.</w:t>
      </w:r>
    </w:p>
    <w:p>
      <w:pPr>
        <w:spacing w:after="0" w:line="16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167640</wp:posOffset>
            </wp:positionV>
            <wp:extent cx="1644650" cy="6597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4465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Bancroft S. Gordon</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Secretary</w:t>
      </w:r>
    </w:p>
    <w:p>
      <w:pPr>
        <w:ind w:left="220"/>
        <w:spacing w:after="0"/>
        <w:rPr>
          <w:sz w:val="20"/>
          <w:szCs w:val="20"/>
          <w:color w:val="auto"/>
        </w:rPr>
      </w:pPr>
      <w:r>
        <w:rPr>
          <w:rFonts w:ascii="Arial" w:cs="Arial" w:eastAsia="Arial" w:hAnsi="Arial"/>
          <w:sz w:val="17"/>
          <w:szCs w:val="17"/>
          <w:color w:val="auto"/>
        </w:rPr>
        <w:t>April 4, 2018</w:t>
      </w:r>
    </w:p>
    <w:p>
      <w:pPr>
        <w:spacing w:after="0" w:line="185"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7F7F7F"/>
        </w:rPr>
        <w:t>PLEASE REFER TO THE LAST PAGE OF THIS PROXY STATEMENT FOR DIRECTIONS TO THE MEETING AND</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7F7F7F"/>
        </w:rPr>
        <w:t>INFORMATION ON PARKING, PUBLIC TRANSPORTATION AND LODGING.</w:t>
      </w:r>
    </w:p>
    <w:p>
      <w:pPr>
        <w:sectPr>
          <w:pgSz w:w="11900" w:h="16838" w:orient="portrait"/>
          <w:cols w:equalWidth="0" w:num="1">
            <w:col w:w="11220"/>
          </w:cols>
          <w:pgMar w:left="240" w:top="455" w:right="4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25"/>
          <w:szCs w:val="25"/>
          <w:color w:val="998C87"/>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213995</wp:posOffset>
            </wp:positionV>
            <wp:extent cx="6989445" cy="46170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89445" cy="4617085"/>
                    </a:xfrm>
                    <a:prstGeom prst="rect">
                      <a:avLst/>
                    </a:prstGeom>
                    <a:noFill/>
                  </pic:spPr>
                </pic:pic>
              </a:graphicData>
            </a:graphic>
          </wp:anchor>
        </w:drawing>
      </w:r>
    </w:p>
    <w:p>
      <w:pPr>
        <w:sectPr>
          <w:pgSz w:w="11900" w:h="16838" w:orient="portrait"/>
          <w:cols w:equalWidth="0" w:num="1">
            <w:col w:w="11220"/>
          </w:cols>
          <w:pgMar w:left="240" w:top="455" w:right="439" w:bottom="1440" w:gutter="0" w:footer="0" w:header="0"/>
        </w:sectPr>
      </w:pPr>
    </w:p>
    <w:p>
      <w:pPr>
        <w:spacing w:after="0" w:line="374" w:lineRule="exact"/>
        <w:rPr>
          <w:sz w:val="20"/>
          <w:szCs w:val="20"/>
          <w:color w:val="auto"/>
        </w:rPr>
      </w:pPr>
    </w:p>
    <w:p>
      <w:pPr>
        <w:ind w:left="900" w:hanging="429"/>
        <w:spacing w:after="0"/>
        <w:tabs>
          <w:tab w:leader="none" w:pos="900" w:val="left"/>
        </w:tabs>
        <w:numPr>
          <w:ilvl w:val="0"/>
          <w:numId w:val="10"/>
        </w:numPr>
        <w:rPr>
          <w:rFonts w:ascii="Arial" w:cs="Arial" w:eastAsia="Arial" w:hAnsi="Arial"/>
          <w:sz w:val="17"/>
          <w:szCs w:val="17"/>
          <w:b w:val="1"/>
          <w:bCs w:val="1"/>
          <w:u w:val="single" w:color="auto"/>
          <w:color w:val="0000EE"/>
        </w:rPr>
      </w:pPr>
      <w:hyperlink w:anchor="page8">
        <w:r>
          <w:rPr>
            <w:rFonts w:ascii="Arial" w:cs="Arial" w:eastAsia="Arial" w:hAnsi="Arial"/>
            <w:sz w:val="17"/>
            <w:szCs w:val="17"/>
            <w:b w:val="1"/>
            <w:bCs w:val="1"/>
            <w:u w:val="single" w:color="auto"/>
            <w:color w:val="0000EE"/>
          </w:rPr>
          <w:t>Proxy Statement Summary</w:t>
        </w:r>
      </w:hyperlink>
    </w:p>
    <w:p>
      <w:pPr>
        <w:spacing w:after="0" w:line="87" w:lineRule="exact"/>
        <w:rPr>
          <w:rFonts w:ascii="Arial" w:cs="Arial" w:eastAsia="Arial" w:hAnsi="Arial"/>
          <w:sz w:val="17"/>
          <w:szCs w:val="17"/>
          <w:b w:val="1"/>
          <w:bCs w:val="1"/>
          <w:u w:val="single" w:color="auto"/>
          <w:color w:val="0000EE"/>
        </w:rPr>
      </w:pPr>
    </w:p>
    <w:p>
      <w:pPr>
        <w:ind w:left="480"/>
        <w:spacing w:after="0"/>
        <w:rPr>
          <w:rFonts w:ascii="Arial" w:cs="Arial" w:eastAsia="Arial" w:hAnsi="Arial"/>
          <w:sz w:val="17"/>
          <w:szCs w:val="17"/>
          <w:b w:val="1"/>
          <w:bCs w:val="1"/>
          <w:color w:val="998C87"/>
        </w:rPr>
      </w:pPr>
      <w:r>
        <w:rPr>
          <w:rFonts w:ascii="Arial" w:cs="Arial" w:eastAsia="Arial" w:hAnsi="Arial"/>
          <w:sz w:val="17"/>
          <w:szCs w:val="17"/>
          <w:b w:val="1"/>
          <w:bCs w:val="1"/>
          <w:color w:val="998C87"/>
        </w:rPr>
        <w:t xml:space="preserve">8    </w:t>
      </w:r>
      <w:hyperlink w:anchor="page15">
        <w:r>
          <w:rPr>
            <w:rFonts w:ascii="Arial" w:cs="Arial" w:eastAsia="Arial" w:hAnsi="Arial"/>
            <w:sz w:val="17"/>
            <w:szCs w:val="17"/>
            <w:b w:val="1"/>
            <w:bCs w:val="1"/>
            <w:u w:val="single" w:color="auto"/>
            <w:color w:val="0000EE"/>
          </w:rPr>
          <w:t>Items to be Voted On</w:t>
        </w:r>
      </w:hyperlink>
    </w:p>
    <w:p>
      <w:pPr>
        <w:spacing w:after="0" w:line="89" w:lineRule="exact"/>
        <w:rPr>
          <w:rFonts w:ascii="Arial" w:cs="Arial" w:eastAsia="Arial" w:hAnsi="Arial"/>
          <w:sz w:val="17"/>
          <w:szCs w:val="17"/>
          <w:b w:val="1"/>
          <w:bCs w:val="1"/>
          <w:color w:val="998C87"/>
        </w:rPr>
      </w:pPr>
    </w:p>
    <w:p>
      <w:pPr>
        <w:ind w:left="480"/>
        <w:spacing w:after="0"/>
        <w:rPr>
          <w:rFonts w:ascii="Arial" w:cs="Arial" w:eastAsia="Arial" w:hAnsi="Arial"/>
          <w:sz w:val="17"/>
          <w:szCs w:val="17"/>
          <w:u w:val="single" w:color="auto"/>
          <w:color w:val="0000EE"/>
        </w:rPr>
      </w:pPr>
      <w:r>
        <w:rPr>
          <w:rFonts w:ascii="Arial" w:cs="Arial" w:eastAsia="Arial" w:hAnsi="Arial"/>
          <w:sz w:val="17"/>
          <w:szCs w:val="17"/>
          <w:color w:val="auto"/>
        </w:rPr>
        <w:t>8</w:t>
      </w:r>
      <w:hyperlink w:anchor="page15">
        <w:r>
          <w:rPr>
            <w:rFonts w:ascii="Arial" w:cs="Arial" w:eastAsia="Arial" w:hAnsi="Arial"/>
            <w:sz w:val="17"/>
            <w:szCs w:val="17"/>
            <w:u w:val="single" w:color="auto"/>
            <w:color w:val="0000EE"/>
          </w:rPr>
          <w:t>Item 1 – Election of Directors</w:t>
        </w:r>
      </w:hyperlink>
    </w:p>
    <w:p>
      <w:pPr>
        <w:spacing w:after="0" w:line="88" w:lineRule="exact"/>
        <w:rPr>
          <w:rFonts w:ascii="Arial" w:cs="Arial" w:eastAsia="Arial" w:hAnsi="Arial"/>
          <w:sz w:val="17"/>
          <w:szCs w:val="17"/>
          <w:b w:val="1"/>
          <w:bCs w:val="1"/>
          <w:u w:val="single" w:color="auto"/>
          <w:color w:val="0000EE"/>
        </w:rPr>
      </w:pPr>
    </w:p>
    <w:p>
      <w:pPr>
        <w:ind w:left="900" w:right="660" w:hanging="429"/>
        <w:spacing w:after="0" w:line="274" w:lineRule="auto"/>
        <w:tabs>
          <w:tab w:leader="none" w:pos="900" w:val="left"/>
        </w:tabs>
        <w:numPr>
          <w:ilvl w:val="0"/>
          <w:numId w:val="11"/>
        </w:numPr>
        <w:rPr>
          <w:rFonts w:ascii="Arial" w:cs="Arial" w:eastAsia="Arial" w:hAnsi="Arial"/>
          <w:sz w:val="17"/>
          <w:szCs w:val="17"/>
          <w:u w:val="single" w:color="auto"/>
          <w:color w:val="0000EE"/>
        </w:rPr>
      </w:pPr>
      <w:hyperlink w:anchor="page15">
        <w:r>
          <w:rPr>
            <w:rFonts w:ascii="Arial" w:cs="Arial" w:eastAsia="Arial" w:hAnsi="Arial"/>
            <w:sz w:val="17"/>
            <w:szCs w:val="17"/>
            <w:u w:val="single" w:color="auto"/>
            <w:color w:val="0000EE"/>
          </w:rPr>
          <w:t>Item 2 – Ratification of Appointment of Independent</w:t>
        </w:r>
      </w:hyperlink>
      <w:r>
        <w:rPr>
          <w:rFonts w:ascii="Arial" w:cs="Arial" w:eastAsia="Arial" w:hAnsi="Arial"/>
          <w:sz w:val="17"/>
          <w:szCs w:val="17"/>
          <w:u w:val="single" w:color="auto"/>
          <w:color w:val="0000EE"/>
        </w:rPr>
        <w:t xml:space="preserve"> </w:t>
      </w:r>
      <w:hyperlink w:anchor="page15">
        <w:r>
          <w:rPr>
            <w:rFonts w:ascii="Arial" w:cs="Arial" w:eastAsia="Arial" w:hAnsi="Arial"/>
            <w:sz w:val="17"/>
            <w:szCs w:val="17"/>
            <w:u w:val="single" w:color="auto"/>
            <w:color w:val="0000EE"/>
          </w:rPr>
          <w:t>Registered Public Accounting Firm</w:t>
        </w:r>
      </w:hyperlink>
    </w:p>
    <w:p>
      <w:pPr>
        <w:spacing w:after="0" w:line="26" w:lineRule="exact"/>
        <w:rPr>
          <w:rFonts w:ascii="Arial" w:cs="Arial" w:eastAsia="Arial" w:hAnsi="Arial"/>
          <w:sz w:val="17"/>
          <w:szCs w:val="17"/>
          <w:color w:val="auto"/>
        </w:rPr>
      </w:pPr>
    </w:p>
    <w:p>
      <w:pPr>
        <w:ind w:left="900" w:hanging="429"/>
        <w:spacing w:after="0"/>
        <w:tabs>
          <w:tab w:leader="none" w:pos="900" w:val="left"/>
        </w:tabs>
        <w:numPr>
          <w:ilvl w:val="0"/>
          <w:numId w:val="12"/>
        </w:numPr>
        <w:rPr>
          <w:rFonts w:ascii="Arial" w:cs="Arial" w:eastAsia="Arial" w:hAnsi="Arial"/>
          <w:sz w:val="17"/>
          <w:szCs w:val="17"/>
          <w:u w:val="single" w:color="auto"/>
          <w:color w:val="0000EE"/>
        </w:rPr>
      </w:pPr>
      <w:hyperlink w:anchor="page16">
        <w:r>
          <w:rPr>
            <w:rFonts w:ascii="Arial" w:cs="Arial" w:eastAsia="Arial" w:hAnsi="Arial"/>
            <w:sz w:val="17"/>
            <w:szCs w:val="17"/>
            <w:u w:val="single" w:color="auto"/>
            <w:color w:val="0000EE"/>
          </w:rPr>
          <w:t>Item 3 – Advisory Vote to Approve Executive Compensation</w:t>
        </w:r>
      </w:hyperlink>
    </w:p>
    <w:p>
      <w:pPr>
        <w:spacing w:after="0" w:line="87" w:lineRule="exact"/>
        <w:rPr>
          <w:rFonts w:ascii="Arial" w:cs="Arial" w:eastAsia="Arial" w:hAnsi="Arial"/>
          <w:sz w:val="17"/>
          <w:szCs w:val="17"/>
          <w:u w:val="single" w:color="auto"/>
          <w:color w:val="0000EE"/>
        </w:rPr>
      </w:pPr>
    </w:p>
    <w:p>
      <w:pPr>
        <w:ind w:left="900" w:hanging="429"/>
        <w:spacing w:after="0" w:line="253" w:lineRule="auto"/>
        <w:tabs>
          <w:tab w:leader="none" w:pos="900" w:val="left"/>
        </w:tabs>
        <w:numPr>
          <w:ilvl w:val="0"/>
          <w:numId w:val="12"/>
        </w:numPr>
        <w:rPr>
          <w:rFonts w:ascii="Arial" w:cs="Arial" w:eastAsia="Arial" w:hAnsi="Arial"/>
          <w:sz w:val="17"/>
          <w:szCs w:val="17"/>
          <w:u w:val="single" w:color="auto"/>
          <w:color w:val="0000EE"/>
        </w:rPr>
      </w:pPr>
      <w:hyperlink w:anchor="page16">
        <w:r>
          <w:rPr>
            <w:rFonts w:ascii="Arial" w:cs="Arial" w:eastAsia="Arial" w:hAnsi="Arial"/>
            <w:sz w:val="17"/>
            <w:szCs w:val="17"/>
            <w:u w:val="single" w:color="auto"/>
            <w:color w:val="0000EE"/>
          </w:rPr>
          <w:t>Item 4 – Approval of Proposed Amendments to the</w:t>
        </w:r>
      </w:hyperlink>
      <w:r>
        <w:rPr>
          <w:rFonts w:ascii="Arial" w:cs="Arial" w:eastAsia="Arial" w:hAnsi="Arial"/>
          <w:sz w:val="17"/>
          <w:szCs w:val="17"/>
          <w:u w:val="single" w:color="auto"/>
          <w:color w:val="0000EE"/>
        </w:rPr>
        <w:t xml:space="preserve"> </w:t>
      </w:r>
      <w:hyperlink w:anchor="page16">
        <w:r>
          <w:rPr>
            <w:rFonts w:ascii="Arial" w:cs="Arial" w:eastAsia="Arial" w:hAnsi="Arial"/>
            <w:sz w:val="17"/>
            <w:szCs w:val="17"/>
            <w:u w:val="single" w:color="auto"/>
            <w:color w:val="0000EE"/>
          </w:rPr>
          <w:t>Company’s Restated Certificate of Incorporation and Bylaws</w:t>
        </w:r>
      </w:hyperlink>
      <w:r>
        <w:rPr>
          <w:rFonts w:ascii="Arial" w:cs="Arial" w:eastAsia="Arial" w:hAnsi="Arial"/>
          <w:sz w:val="17"/>
          <w:szCs w:val="17"/>
          <w:u w:val="single" w:color="auto"/>
          <w:color w:val="0000EE"/>
        </w:rPr>
        <w:t xml:space="preserve"> </w:t>
      </w:r>
      <w:hyperlink w:anchor="page16">
        <w:r>
          <w:rPr>
            <w:rFonts w:ascii="Arial" w:cs="Arial" w:eastAsia="Arial" w:hAnsi="Arial"/>
            <w:sz w:val="17"/>
            <w:szCs w:val="17"/>
            <w:u w:val="single" w:color="auto"/>
            <w:color w:val="0000EE"/>
          </w:rPr>
          <w:t>to Provide Stockholders the Right to Call Special Meetings</w:t>
        </w:r>
      </w:hyperlink>
    </w:p>
    <w:p>
      <w:pPr>
        <w:spacing w:after="0" w:line="43" w:lineRule="exact"/>
        <w:rPr>
          <w:rFonts w:ascii="Arial" w:cs="Arial" w:eastAsia="Arial" w:hAnsi="Arial"/>
          <w:sz w:val="17"/>
          <w:szCs w:val="17"/>
          <w:u w:val="single" w:color="auto"/>
          <w:color w:val="0000EE"/>
        </w:rPr>
      </w:pPr>
    </w:p>
    <w:p>
      <w:pPr>
        <w:ind w:left="900" w:right="100" w:hanging="524"/>
        <w:spacing w:after="0" w:line="274" w:lineRule="auto"/>
        <w:tabs>
          <w:tab w:leader="none" w:pos="900" w:val="left"/>
        </w:tabs>
        <w:numPr>
          <w:ilvl w:val="0"/>
          <w:numId w:val="13"/>
        </w:numPr>
        <w:rPr>
          <w:rFonts w:ascii="Arial" w:cs="Arial" w:eastAsia="Arial" w:hAnsi="Arial"/>
          <w:sz w:val="17"/>
          <w:szCs w:val="17"/>
          <w:u w:val="single" w:color="auto"/>
          <w:color w:val="0000EE"/>
        </w:rPr>
      </w:pPr>
      <w:hyperlink w:anchor="page19">
        <w:r>
          <w:rPr>
            <w:rFonts w:ascii="Arial" w:cs="Arial" w:eastAsia="Arial" w:hAnsi="Arial"/>
            <w:sz w:val="17"/>
            <w:szCs w:val="17"/>
            <w:u w:val="single" w:color="auto"/>
            <w:color w:val="0000EE"/>
          </w:rPr>
          <w:t>Item 5 – A Stockholder Resolution to Allow Stockholders to</w:t>
        </w:r>
      </w:hyperlink>
      <w:r>
        <w:rPr>
          <w:rFonts w:ascii="Arial" w:cs="Arial" w:eastAsia="Arial" w:hAnsi="Arial"/>
          <w:sz w:val="17"/>
          <w:szCs w:val="17"/>
          <w:u w:val="single" w:color="auto"/>
          <w:color w:val="0000EE"/>
        </w:rPr>
        <w:t xml:space="preserve"> </w:t>
      </w:r>
      <w:hyperlink w:anchor="page19">
        <w:r>
          <w:rPr>
            <w:rFonts w:ascii="Arial" w:cs="Arial" w:eastAsia="Arial" w:hAnsi="Arial"/>
            <w:sz w:val="17"/>
            <w:szCs w:val="17"/>
            <w:u w:val="single" w:color="auto"/>
            <w:color w:val="0000EE"/>
          </w:rPr>
          <w:t>Call Special Meetings</w:t>
        </w:r>
      </w:hyperlink>
    </w:p>
    <w:p>
      <w:pPr>
        <w:spacing w:after="0" w:line="26" w:lineRule="exact"/>
        <w:rPr>
          <w:rFonts w:ascii="Arial" w:cs="Arial" w:eastAsia="Arial" w:hAnsi="Arial"/>
          <w:sz w:val="17"/>
          <w:szCs w:val="17"/>
          <w:color w:val="auto"/>
        </w:rPr>
      </w:pPr>
    </w:p>
    <w:p>
      <w:pPr>
        <w:ind w:left="900" w:right="100" w:hanging="524"/>
        <w:spacing w:after="0" w:line="253" w:lineRule="auto"/>
        <w:tabs>
          <w:tab w:leader="none" w:pos="900" w:val="left"/>
        </w:tabs>
        <w:numPr>
          <w:ilvl w:val="0"/>
          <w:numId w:val="14"/>
        </w:numPr>
        <w:rPr>
          <w:rFonts w:ascii="Arial" w:cs="Arial" w:eastAsia="Arial" w:hAnsi="Arial"/>
          <w:sz w:val="17"/>
          <w:szCs w:val="17"/>
          <w:u w:val="single" w:color="auto"/>
          <w:color w:val="0000EE"/>
        </w:rPr>
      </w:pPr>
      <w:hyperlink w:anchor="page21">
        <w:r>
          <w:rPr>
            <w:rFonts w:ascii="Arial" w:cs="Arial" w:eastAsia="Arial" w:hAnsi="Arial"/>
            <w:sz w:val="17"/>
            <w:szCs w:val="17"/>
            <w:u w:val="single" w:color="auto"/>
            <w:color w:val="0000EE"/>
          </w:rPr>
          <w:t>Item 6 – A Stockholder Resolution Recommending</w:t>
        </w:r>
      </w:hyperlink>
      <w:r>
        <w:rPr>
          <w:rFonts w:ascii="Arial" w:cs="Arial" w:eastAsia="Arial" w:hAnsi="Arial"/>
          <w:sz w:val="17"/>
          <w:szCs w:val="17"/>
          <w:u w:val="single" w:color="auto"/>
          <w:color w:val="0000EE"/>
        </w:rPr>
        <w:t xml:space="preserve"> </w:t>
      </w:r>
      <w:hyperlink w:anchor="page21">
        <w:r>
          <w:rPr>
            <w:rFonts w:ascii="Arial" w:cs="Arial" w:eastAsia="Arial" w:hAnsi="Arial"/>
            <w:sz w:val="17"/>
            <w:szCs w:val="17"/>
            <w:u w:val="single" w:color="auto"/>
            <w:color w:val="0000EE"/>
          </w:rPr>
          <w:t>Implementation of a Simple Majority Voting Standard in our</w:t>
        </w:r>
      </w:hyperlink>
      <w:r>
        <w:rPr>
          <w:rFonts w:ascii="Arial" w:cs="Arial" w:eastAsia="Arial" w:hAnsi="Arial"/>
          <w:sz w:val="17"/>
          <w:szCs w:val="17"/>
          <w:u w:val="single" w:color="auto"/>
          <w:color w:val="0000EE"/>
        </w:rPr>
        <w:t xml:space="preserve"> </w:t>
      </w:r>
      <w:hyperlink w:anchor="page21">
        <w:r>
          <w:rPr>
            <w:rFonts w:ascii="Arial" w:cs="Arial" w:eastAsia="Arial" w:hAnsi="Arial"/>
            <w:sz w:val="17"/>
            <w:szCs w:val="17"/>
            <w:u w:val="single" w:color="auto"/>
            <w:color w:val="0000EE"/>
          </w:rPr>
          <w:t>Governance Documents</w:t>
        </w:r>
      </w:hyperlink>
    </w:p>
    <w:p>
      <w:pPr>
        <w:spacing w:after="0" w:line="41" w:lineRule="exact"/>
        <w:rPr>
          <w:rFonts w:ascii="Arial" w:cs="Arial" w:eastAsia="Arial" w:hAnsi="Arial"/>
          <w:sz w:val="17"/>
          <w:szCs w:val="17"/>
          <w:u w:val="single" w:color="auto"/>
          <w:color w:val="0000EE"/>
        </w:rPr>
      </w:pPr>
    </w:p>
    <w:p>
      <w:pPr>
        <w:ind w:left="900" w:hanging="524"/>
        <w:spacing w:after="0"/>
        <w:tabs>
          <w:tab w:leader="none" w:pos="900" w:val="left"/>
        </w:tabs>
        <w:numPr>
          <w:ilvl w:val="0"/>
          <w:numId w:val="15"/>
        </w:numPr>
        <w:rPr>
          <w:rFonts w:ascii="Arial" w:cs="Arial" w:eastAsia="Arial" w:hAnsi="Arial"/>
          <w:sz w:val="17"/>
          <w:szCs w:val="17"/>
          <w:b w:val="1"/>
          <w:bCs w:val="1"/>
          <w:u w:val="single" w:color="auto"/>
          <w:color w:val="0000EE"/>
        </w:rPr>
      </w:pPr>
      <w:hyperlink w:anchor="page24">
        <w:r>
          <w:rPr>
            <w:rFonts w:ascii="Arial" w:cs="Arial" w:eastAsia="Arial" w:hAnsi="Arial"/>
            <w:sz w:val="17"/>
            <w:szCs w:val="17"/>
            <w:b w:val="1"/>
            <w:bCs w:val="1"/>
            <w:u w:val="single" w:color="auto"/>
            <w:color w:val="0000EE"/>
          </w:rPr>
          <w:t>Corporate Governance</w:t>
        </w:r>
      </w:hyperlink>
    </w:p>
    <w:p>
      <w:pPr>
        <w:spacing w:after="0" w:line="89" w:lineRule="exact"/>
        <w:rPr>
          <w:rFonts w:ascii="Arial" w:cs="Arial" w:eastAsia="Arial" w:hAnsi="Arial"/>
          <w:sz w:val="17"/>
          <w:szCs w:val="17"/>
          <w:b w:val="1"/>
          <w:bCs w:val="1"/>
          <w:u w:val="single" w:color="auto"/>
          <w:color w:val="0000EE"/>
        </w:rPr>
      </w:pPr>
    </w:p>
    <w:p>
      <w:pPr>
        <w:ind w:left="900" w:hanging="524"/>
        <w:spacing w:after="0"/>
        <w:tabs>
          <w:tab w:leader="none" w:pos="900" w:val="left"/>
        </w:tabs>
        <w:numPr>
          <w:ilvl w:val="0"/>
          <w:numId w:val="16"/>
        </w:numPr>
        <w:rPr>
          <w:rFonts w:ascii="Arial" w:cs="Arial" w:eastAsia="Arial" w:hAnsi="Arial"/>
          <w:sz w:val="17"/>
          <w:szCs w:val="17"/>
          <w:u w:val="single" w:color="auto"/>
          <w:color w:val="0000EE"/>
        </w:rPr>
      </w:pPr>
      <w:hyperlink w:anchor="page24">
        <w:r>
          <w:rPr>
            <w:rFonts w:ascii="Arial" w:cs="Arial" w:eastAsia="Arial" w:hAnsi="Arial"/>
            <w:sz w:val="17"/>
            <w:szCs w:val="17"/>
            <w:u w:val="single" w:color="auto"/>
            <w:color w:val="0000EE"/>
          </w:rPr>
          <w:t>Board Leadership Structure</w:t>
        </w:r>
      </w:hyperlink>
    </w:p>
    <w:p>
      <w:pPr>
        <w:spacing w:after="0" w:line="87" w:lineRule="exact"/>
        <w:rPr>
          <w:rFonts w:ascii="Arial" w:cs="Arial" w:eastAsia="Arial" w:hAnsi="Arial"/>
          <w:sz w:val="17"/>
          <w:szCs w:val="17"/>
          <w:u w:val="single" w:color="auto"/>
          <w:color w:val="0000EE"/>
        </w:rPr>
      </w:pPr>
    </w:p>
    <w:p>
      <w:pPr>
        <w:ind w:left="900" w:hanging="524"/>
        <w:spacing w:after="0"/>
        <w:tabs>
          <w:tab w:leader="none" w:pos="900" w:val="left"/>
        </w:tabs>
        <w:numPr>
          <w:ilvl w:val="0"/>
          <w:numId w:val="17"/>
        </w:numPr>
        <w:rPr>
          <w:rFonts w:ascii="Arial" w:cs="Arial" w:eastAsia="Arial" w:hAnsi="Arial"/>
          <w:sz w:val="17"/>
          <w:szCs w:val="17"/>
          <w:u w:val="single" w:color="auto"/>
          <w:color w:val="0000EE"/>
        </w:rPr>
      </w:pPr>
      <w:hyperlink w:anchor="page24">
        <w:r>
          <w:rPr>
            <w:rFonts w:ascii="Arial" w:cs="Arial" w:eastAsia="Arial" w:hAnsi="Arial"/>
            <w:sz w:val="17"/>
            <w:szCs w:val="17"/>
            <w:u w:val="single" w:color="auto"/>
            <w:color w:val="0000EE"/>
          </w:rPr>
          <w:t>Selection of Director Nominees</w:t>
        </w:r>
      </w:hyperlink>
    </w:p>
    <w:p>
      <w:pPr>
        <w:spacing w:after="0" w:line="87" w:lineRule="exact"/>
        <w:rPr>
          <w:rFonts w:ascii="Arial" w:cs="Arial" w:eastAsia="Arial" w:hAnsi="Arial"/>
          <w:sz w:val="17"/>
          <w:szCs w:val="17"/>
          <w:u w:val="single" w:color="auto"/>
          <w:color w:val="0000EE"/>
        </w:rPr>
      </w:pPr>
    </w:p>
    <w:p>
      <w:pPr>
        <w:ind w:left="900" w:hanging="524"/>
        <w:spacing w:after="0"/>
        <w:tabs>
          <w:tab w:leader="none" w:pos="900" w:val="left"/>
        </w:tabs>
        <w:numPr>
          <w:ilvl w:val="0"/>
          <w:numId w:val="18"/>
        </w:numPr>
        <w:rPr>
          <w:rFonts w:ascii="Arial" w:cs="Arial" w:eastAsia="Arial" w:hAnsi="Arial"/>
          <w:sz w:val="17"/>
          <w:szCs w:val="17"/>
          <w:u w:val="single" w:color="auto"/>
          <w:color w:val="0000EE"/>
        </w:rPr>
      </w:pPr>
      <w:hyperlink w:anchor="page26">
        <w:r>
          <w:rPr>
            <w:rFonts w:ascii="Arial" w:cs="Arial" w:eastAsia="Arial" w:hAnsi="Arial"/>
            <w:sz w:val="17"/>
            <w:szCs w:val="17"/>
            <w:u w:val="single" w:color="auto"/>
            <w:color w:val="0000EE"/>
          </w:rPr>
          <w:t>Nominees to our Board of Directors</w:t>
        </w:r>
      </w:hyperlink>
    </w:p>
    <w:p>
      <w:pPr>
        <w:spacing w:after="0" w:line="87" w:lineRule="exact"/>
        <w:rPr>
          <w:rFonts w:ascii="Arial" w:cs="Arial" w:eastAsia="Arial" w:hAnsi="Arial"/>
          <w:sz w:val="17"/>
          <w:szCs w:val="17"/>
          <w:u w:val="single" w:color="auto"/>
          <w:color w:val="0000EE"/>
        </w:rPr>
      </w:pPr>
    </w:p>
    <w:p>
      <w:pPr>
        <w:ind w:left="900" w:hanging="524"/>
        <w:spacing w:after="0"/>
        <w:tabs>
          <w:tab w:leader="none" w:pos="900" w:val="left"/>
        </w:tabs>
        <w:numPr>
          <w:ilvl w:val="0"/>
          <w:numId w:val="19"/>
        </w:numPr>
        <w:rPr>
          <w:rFonts w:ascii="Arial" w:cs="Arial" w:eastAsia="Arial" w:hAnsi="Arial"/>
          <w:sz w:val="17"/>
          <w:szCs w:val="17"/>
          <w:u w:val="single" w:color="auto"/>
          <w:color w:val="0000EE"/>
        </w:rPr>
      </w:pPr>
      <w:hyperlink w:anchor="page33">
        <w:r>
          <w:rPr>
            <w:rFonts w:ascii="Arial" w:cs="Arial" w:eastAsia="Arial" w:hAnsi="Arial"/>
            <w:sz w:val="17"/>
            <w:szCs w:val="17"/>
            <w:u w:val="single" w:color="auto"/>
            <w:color w:val="0000EE"/>
          </w:rPr>
          <w:t>Board Meetings and Attendance</w:t>
        </w:r>
      </w:hyperlink>
    </w:p>
    <w:p>
      <w:pPr>
        <w:spacing w:after="0" w:line="87" w:lineRule="exact"/>
        <w:rPr>
          <w:rFonts w:ascii="Arial" w:cs="Arial" w:eastAsia="Arial" w:hAnsi="Arial"/>
          <w:sz w:val="17"/>
          <w:szCs w:val="17"/>
          <w:u w:val="single" w:color="auto"/>
          <w:color w:val="0000EE"/>
        </w:rPr>
      </w:pPr>
    </w:p>
    <w:p>
      <w:pPr>
        <w:ind w:left="900" w:hanging="524"/>
        <w:spacing w:after="0"/>
        <w:tabs>
          <w:tab w:leader="none" w:pos="900" w:val="left"/>
        </w:tabs>
        <w:numPr>
          <w:ilvl w:val="0"/>
          <w:numId w:val="20"/>
        </w:numPr>
        <w:rPr>
          <w:rFonts w:ascii="Arial" w:cs="Arial" w:eastAsia="Arial" w:hAnsi="Arial"/>
          <w:sz w:val="17"/>
          <w:szCs w:val="17"/>
          <w:u w:val="single" w:color="auto"/>
          <w:color w:val="0000EE"/>
        </w:rPr>
      </w:pPr>
      <w:hyperlink w:anchor="page33">
        <w:r>
          <w:rPr>
            <w:rFonts w:ascii="Arial" w:cs="Arial" w:eastAsia="Arial" w:hAnsi="Arial"/>
            <w:sz w:val="17"/>
            <w:szCs w:val="17"/>
            <w:u w:val="single" w:color="auto"/>
            <w:color w:val="0000EE"/>
          </w:rPr>
          <w:t>Governance Principles</w:t>
        </w:r>
      </w:hyperlink>
    </w:p>
    <w:p>
      <w:pPr>
        <w:spacing w:after="0" w:line="87" w:lineRule="exact"/>
        <w:rPr>
          <w:rFonts w:ascii="Arial" w:cs="Arial" w:eastAsia="Arial" w:hAnsi="Arial"/>
          <w:sz w:val="17"/>
          <w:szCs w:val="17"/>
          <w:u w:val="single" w:color="auto"/>
          <w:color w:val="0000EE"/>
        </w:rPr>
      </w:pPr>
    </w:p>
    <w:p>
      <w:pPr>
        <w:ind w:left="900" w:hanging="524"/>
        <w:spacing w:after="0"/>
        <w:tabs>
          <w:tab w:leader="none" w:pos="900" w:val="left"/>
        </w:tabs>
        <w:numPr>
          <w:ilvl w:val="0"/>
          <w:numId w:val="21"/>
        </w:numPr>
        <w:rPr>
          <w:rFonts w:ascii="Arial" w:cs="Arial" w:eastAsia="Arial" w:hAnsi="Arial"/>
          <w:sz w:val="17"/>
          <w:szCs w:val="17"/>
          <w:u w:val="single" w:color="auto"/>
          <w:color w:val="0000EE"/>
        </w:rPr>
      </w:pPr>
      <w:hyperlink w:anchor="page33">
        <w:r>
          <w:rPr>
            <w:rFonts w:ascii="Arial" w:cs="Arial" w:eastAsia="Arial" w:hAnsi="Arial"/>
            <w:sz w:val="17"/>
            <w:szCs w:val="17"/>
            <w:u w:val="single" w:color="auto"/>
            <w:color w:val="0000EE"/>
          </w:rPr>
          <w:t>Director Independence</w:t>
        </w:r>
      </w:hyperlink>
    </w:p>
    <w:p>
      <w:pPr>
        <w:spacing w:after="0" w:line="87" w:lineRule="exact"/>
        <w:rPr>
          <w:rFonts w:ascii="Arial" w:cs="Arial" w:eastAsia="Arial" w:hAnsi="Arial"/>
          <w:sz w:val="17"/>
          <w:szCs w:val="17"/>
          <w:u w:val="single" w:color="auto"/>
          <w:color w:val="0000EE"/>
        </w:rPr>
      </w:pPr>
    </w:p>
    <w:p>
      <w:pPr>
        <w:ind w:left="900" w:hanging="524"/>
        <w:spacing w:after="0"/>
        <w:tabs>
          <w:tab w:leader="none" w:pos="900" w:val="left"/>
        </w:tabs>
        <w:numPr>
          <w:ilvl w:val="0"/>
          <w:numId w:val="21"/>
        </w:numPr>
        <w:rPr>
          <w:rFonts w:ascii="Arial" w:cs="Arial" w:eastAsia="Arial" w:hAnsi="Arial"/>
          <w:sz w:val="17"/>
          <w:szCs w:val="17"/>
          <w:u w:val="single" w:color="auto"/>
          <w:color w:val="0000EE"/>
        </w:rPr>
      </w:pPr>
      <w:hyperlink w:anchor="page34">
        <w:r>
          <w:rPr>
            <w:rFonts w:ascii="Arial" w:cs="Arial" w:eastAsia="Arial" w:hAnsi="Arial"/>
            <w:sz w:val="17"/>
            <w:szCs w:val="17"/>
            <w:u w:val="single" w:color="auto"/>
            <w:color w:val="0000EE"/>
          </w:rPr>
          <w:t>Committees of the Board</w:t>
        </w:r>
      </w:hyperlink>
    </w:p>
    <w:p>
      <w:pPr>
        <w:spacing w:after="0" w:line="88" w:lineRule="exact"/>
        <w:rPr>
          <w:rFonts w:ascii="Arial" w:cs="Arial" w:eastAsia="Arial" w:hAnsi="Arial"/>
          <w:sz w:val="17"/>
          <w:szCs w:val="17"/>
          <w:color w:val="auto"/>
        </w:rPr>
      </w:pPr>
    </w:p>
    <w:p>
      <w:pPr>
        <w:ind w:left="900" w:right="920" w:hanging="524"/>
        <w:spacing w:after="0" w:line="274" w:lineRule="auto"/>
        <w:tabs>
          <w:tab w:leader="none" w:pos="900" w:val="left"/>
        </w:tabs>
        <w:numPr>
          <w:ilvl w:val="0"/>
          <w:numId w:val="22"/>
        </w:numPr>
        <w:rPr>
          <w:rFonts w:ascii="Arial" w:cs="Arial" w:eastAsia="Arial" w:hAnsi="Arial"/>
          <w:sz w:val="17"/>
          <w:szCs w:val="17"/>
          <w:u w:val="single" w:color="auto"/>
          <w:color w:val="0000EE"/>
        </w:rPr>
      </w:pPr>
      <w:hyperlink w:anchor="page37">
        <w:r>
          <w:rPr>
            <w:rFonts w:ascii="Arial" w:cs="Arial" w:eastAsia="Arial" w:hAnsi="Arial"/>
            <w:sz w:val="17"/>
            <w:szCs w:val="17"/>
            <w:u w:val="single" w:color="auto"/>
            <w:color w:val="0000EE"/>
          </w:rPr>
          <w:t>Compensation Committee Interlocks and Insider</w:t>
        </w:r>
      </w:hyperlink>
      <w:r>
        <w:rPr>
          <w:rFonts w:ascii="Arial" w:cs="Arial" w:eastAsia="Arial" w:hAnsi="Arial"/>
          <w:sz w:val="17"/>
          <w:szCs w:val="17"/>
          <w:u w:val="single" w:color="auto"/>
          <w:color w:val="0000EE"/>
        </w:rPr>
        <w:t xml:space="preserve"> </w:t>
      </w:r>
      <w:hyperlink w:anchor="page37">
        <w:r>
          <w:rPr>
            <w:rFonts w:ascii="Arial" w:cs="Arial" w:eastAsia="Arial" w:hAnsi="Arial"/>
            <w:sz w:val="17"/>
            <w:szCs w:val="17"/>
            <w:u w:val="single" w:color="auto"/>
            <w:color w:val="0000EE"/>
          </w:rPr>
          <w:t>Participation</w:t>
        </w:r>
      </w:hyperlink>
    </w:p>
    <w:p>
      <w:pPr>
        <w:spacing w:after="0" w:line="26" w:lineRule="exact"/>
        <w:rPr>
          <w:rFonts w:ascii="Arial" w:cs="Arial" w:eastAsia="Arial" w:hAnsi="Arial"/>
          <w:sz w:val="17"/>
          <w:szCs w:val="17"/>
          <w:color w:val="auto"/>
        </w:rPr>
      </w:pPr>
    </w:p>
    <w:p>
      <w:pPr>
        <w:ind w:left="900" w:hanging="524"/>
        <w:spacing w:after="0"/>
        <w:tabs>
          <w:tab w:leader="none" w:pos="900" w:val="left"/>
        </w:tabs>
        <w:numPr>
          <w:ilvl w:val="0"/>
          <w:numId w:val="23"/>
        </w:numPr>
        <w:rPr>
          <w:rFonts w:ascii="Arial" w:cs="Arial" w:eastAsia="Arial" w:hAnsi="Arial"/>
          <w:sz w:val="17"/>
          <w:szCs w:val="17"/>
          <w:u w:val="single" w:color="auto"/>
          <w:color w:val="0000EE"/>
        </w:rPr>
      </w:pPr>
      <w:hyperlink w:anchor="page37">
        <w:r>
          <w:rPr>
            <w:rFonts w:ascii="Arial" w:cs="Arial" w:eastAsia="Arial" w:hAnsi="Arial"/>
            <w:sz w:val="17"/>
            <w:szCs w:val="17"/>
            <w:u w:val="single" w:color="auto"/>
            <w:color w:val="0000EE"/>
          </w:rPr>
          <w:t>Meetings of Independent Directors</w:t>
        </w:r>
      </w:hyperlink>
    </w:p>
    <w:p>
      <w:pPr>
        <w:spacing w:after="0" w:line="87" w:lineRule="exact"/>
        <w:rPr>
          <w:rFonts w:ascii="Arial" w:cs="Arial" w:eastAsia="Arial" w:hAnsi="Arial"/>
          <w:sz w:val="17"/>
          <w:szCs w:val="17"/>
          <w:u w:val="single" w:color="auto"/>
          <w:color w:val="0000EE"/>
        </w:rPr>
      </w:pPr>
    </w:p>
    <w:p>
      <w:pPr>
        <w:ind w:left="900" w:hanging="524"/>
        <w:spacing w:after="0"/>
        <w:tabs>
          <w:tab w:leader="none" w:pos="900" w:val="left"/>
        </w:tabs>
        <w:numPr>
          <w:ilvl w:val="0"/>
          <w:numId w:val="24"/>
        </w:numPr>
        <w:rPr>
          <w:rFonts w:ascii="Arial" w:cs="Arial" w:eastAsia="Arial" w:hAnsi="Arial"/>
          <w:sz w:val="17"/>
          <w:szCs w:val="17"/>
          <w:u w:val="single" w:color="auto"/>
          <w:color w:val="0000EE"/>
        </w:rPr>
      </w:pPr>
      <w:hyperlink w:anchor="page37">
        <w:r>
          <w:rPr>
            <w:rFonts w:ascii="Arial" w:cs="Arial" w:eastAsia="Arial" w:hAnsi="Arial"/>
            <w:sz w:val="17"/>
            <w:szCs w:val="17"/>
            <w:u w:val="single" w:color="auto"/>
            <w:color w:val="0000EE"/>
          </w:rPr>
          <w:t>Risk Oversight</w:t>
        </w:r>
      </w:hyperlink>
    </w:p>
    <w:p>
      <w:pPr>
        <w:spacing w:after="0" w:line="87" w:lineRule="exact"/>
        <w:rPr>
          <w:rFonts w:ascii="Arial" w:cs="Arial" w:eastAsia="Arial" w:hAnsi="Arial"/>
          <w:sz w:val="17"/>
          <w:szCs w:val="17"/>
          <w:u w:val="single" w:color="auto"/>
          <w:color w:val="0000EE"/>
        </w:rPr>
      </w:pPr>
    </w:p>
    <w:p>
      <w:pPr>
        <w:ind w:left="900" w:hanging="524"/>
        <w:spacing w:after="0"/>
        <w:tabs>
          <w:tab w:leader="none" w:pos="900" w:val="left"/>
        </w:tabs>
        <w:numPr>
          <w:ilvl w:val="0"/>
          <w:numId w:val="25"/>
        </w:numPr>
        <w:rPr>
          <w:rFonts w:ascii="Arial" w:cs="Arial" w:eastAsia="Arial" w:hAnsi="Arial"/>
          <w:sz w:val="17"/>
          <w:szCs w:val="17"/>
          <w:u w:val="single" w:color="auto"/>
          <w:color w:val="0000EE"/>
        </w:rPr>
      </w:pPr>
      <w:hyperlink w:anchor="page37">
        <w:r>
          <w:rPr>
            <w:rFonts w:ascii="Arial" w:cs="Arial" w:eastAsia="Arial" w:hAnsi="Arial"/>
            <w:sz w:val="17"/>
            <w:szCs w:val="17"/>
            <w:u w:val="single" w:color="auto"/>
            <w:color w:val="0000EE"/>
          </w:rPr>
          <w:t>Stockholder Communications with the Board</w:t>
        </w:r>
      </w:hyperlink>
    </w:p>
    <w:p>
      <w:pPr>
        <w:spacing w:after="0" w:line="87" w:lineRule="exact"/>
        <w:rPr>
          <w:rFonts w:ascii="Arial" w:cs="Arial" w:eastAsia="Arial" w:hAnsi="Arial"/>
          <w:sz w:val="17"/>
          <w:szCs w:val="17"/>
          <w:u w:val="single" w:color="auto"/>
          <w:color w:val="0000EE"/>
        </w:rPr>
      </w:pPr>
    </w:p>
    <w:p>
      <w:pPr>
        <w:ind w:left="900" w:hanging="524"/>
        <w:spacing w:after="0"/>
        <w:tabs>
          <w:tab w:leader="none" w:pos="900" w:val="left"/>
        </w:tabs>
        <w:numPr>
          <w:ilvl w:val="0"/>
          <w:numId w:val="26"/>
        </w:numPr>
        <w:rPr>
          <w:rFonts w:ascii="Arial" w:cs="Arial" w:eastAsia="Arial" w:hAnsi="Arial"/>
          <w:sz w:val="17"/>
          <w:szCs w:val="17"/>
          <w:u w:val="single" w:color="auto"/>
          <w:color w:val="0000EE"/>
        </w:rPr>
      </w:pPr>
      <w:hyperlink w:anchor="page37">
        <w:r>
          <w:rPr>
            <w:rFonts w:ascii="Arial" w:cs="Arial" w:eastAsia="Arial" w:hAnsi="Arial"/>
            <w:sz w:val="17"/>
            <w:szCs w:val="17"/>
            <w:u w:val="single" w:color="auto"/>
            <w:color w:val="0000EE"/>
          </w:rPr>
          <w:t>Code of Ethics and Business Conduct Guide</w:t>
        </w:r>
      </w:hyperlink>
    </w:p>
    <w:p>
      <w:pPr>
        <w:spacing w:after="0" w:line="20" w:lineRule="exact"/>
        <w:rPr>
          <w:rFonts w:ascii="Arial" w:cs="Arial" w:eastAsia="Arial" w:hAnsi="Arial"/>
          <w:sz w:val="17"/>
          <w:szCs w:val="17"/>
          <w:color w:val="auto"/>
        </w:rPr>
      </w:pPr>
      <w:r>
        <w:rPr>
          <w:rFonts w:ascii="Arial" w:cs="Arial" w:eastAsia="Arial" w:hAnsi="Arial"/>
          <w:sz w:val="17"/>
          <w:szCs w:val="17"/>
          <w:color w:val="auto"/>
        </w:rPr>
        <w:br w:type="column"/>
      </w:r>
    </w:p>
    <w:p>
      <w:pPr>
        <w:spacing w:after="0" w:line="354" w:lineRule="exact"/>
        <w:rPr>
          <w:rFonts w:ascii="Arial" w:cs="Arial" w:eastAsia="Arial" w:hAnsi="Arial"/>
          <w:sz w:val="17"/>
          <w:szCs w:val="17"/>
          <w:color w:val="auto"/>
        </w:rPr>
      </w:pPr>
    </w:p>
    <w:p>
      <w:pPr>
        <w:ind w:left="620" w:hanging="528"/>
        <w:spacing w:after="0"/>
        <w:tabs>
          <w:tab w:leader="none" w:pos="620" w:val="left"/>
        </w:tabs>
        <w:numPr>
          <w:ilvl w:val="0"/>
          <w:numId w:val="27"/>
        </w:numPr>
        <w:rPr>
          <w:rFonts w:ascii="Arial" w:cs="Arial" w:eastAsia="Arial" w:hAnsi="Arial"/>
          <w:sz w:val="17"/>
          <w:szCs w:val="17"/>
          <w:b w:val="1"/>
          <w:bCs w:val="1"/>
          <w:u w:val="single" w:color="auto"/>
          <w:color w:val="0000EE"/>
        </w:rPr>
      </w:pPr>
      <w:hyperlink w:anchor="page38">
        <w:r>
          <w:rPr>
            <w:rFonts w:ascii="Arial" w:cs="Arial" w:eastAsia="Arial" w:hAnsi="Arial"/>
            <w:sz w:val="17"/>
            <w:szCs w:val="17"/>
            <w:b w:val="1"/>
            <w:bCs w:val="1"/>
            <w:u w:val="single" w:color="auto"/>
            <w:color w:val="0000EE"/>
          </w:rPr>
          <w:t>Audit Committee Report and Independent Auditor Fees</w:t>
        </w:r>
      </w:hyperlink>
    </w:p>
    <w:p>
      <w:pPr>
        <w:spacing w:after="0" w:line="89" w:lineRule="exact"/>
        <w:rPr>
          <w:rFonts w:ascii="Arial" w:cs="Arial" w:eastAsia="Arial" w:hAnsi="Arial"/>
          <w:sz w:val="17"/>
          <w:szCs w:val="17"/>
          <w:b w:val="1"/>
          <w:bCs w:val="1"/>
          <w:u w:val="single" w:color="auto"/>
          <w:color w:val="0000EE"/>
        </w:rPr>
      </w:pPr>
    </w:p>
    <w:p>
      <w:pPr>
        <w:ind w:left="620" w:hanging="528"/>
        <w:spacing w:after="0"/>
        <w:tabs>
          <w:tab w:leader="none" w:pos="620" w:val="left"/>
        </w:tabs>
        <w:numPr>
          <w:ilvl w:val="0"/>
          <w:numId w:val="28"/>
        </w:numPr>
        <w:rPr>
          <w:rFonts w:ascii="Arial" w:cs="Arial" w:eastAsia="Arial" w:hAnsi="Arial"/>
          <w:sz w:val="17"/>
          <w:szCs w:val="17"/>
          <w:u w:val="single" w:color="auto"/>
          <w:color w:val="0000EE"/>
        </w:rPr>
      </w:pPr>
      <w:hyperlink w:anchor="page38">
        <w:r>
          <w:rPr>
            <w:rFonts w:ascii="Arial" w:cs="Arial" w:eastAsia="Arial" w:hAnsi="Arial"/>
            <w:sz w:val="17"/>
            <w:szCs w:val="17"/>
            <w:u w:val="single" w:color="auto"/>
            <w:color w:val="0000EE"/>
          </w:rPr>
          <w:t>Report of the Audit Committee</w:t>
        </w:r>
      </w:hyperlink>
    </w:p>
    <w:p>
      <w:pPr>
        <w:spacing w:after="0" w:line="88" w:lineRule="exact"/>
        <w:rPr>
          <w:rFonts w:ascii="Arial" w:cs="Arial" w:eastAsia="Arial" w:hAnsi="Arial"/>
          <w:sz w:val="17"/>
          <w:szCs w:val="17"/>
          <w:b w:val="1"/>
          <w:bCs w:val="1"/>
          <w:color w:val="998C87"/>
        </w:rPr>
      </w:pPr>
    </w:p>
    <w:p>
      <w:pPr>
        <w:ind w:left="620" w:right="340" w:hanging="528"/>
        <w:spacing w:after="0" w:line="274" w:lineRule="auto"/>
        <w:tabs>
          <w:tab w:leader="none" w:pos="620" w:val="left"/>
        </w:tabs>
        <w:numPr>
          <w:ilvl w:val="0"/>
          <w:numId w:val="29"/>
        </w:numPr>
        <w:rPr>
          <w:rFonts w:ascii="Arial" w:cs="Arial" w:eastAsia="Arial" w:hAnsi="Arial"/>
          <w:sz w:val="17"/>
          <w:szCs w:val="17"/>
          <w:u w:val="single" w:color="auto"/>
          <w:color w:val="0000EE"/>
        </w:rPr>
      </w:pPr>
      <w:hyperlink w:anchor="page38">
        <w:r>
          <w:rPr>
            <w:rFonts w:ascii="Arial" w:cs="Arial" w:eastAsia="Arial" w:hAnsi="Arial"/>
            <w:sz w:val="17"/>
            <w:szCs w:val="17"/>
            <w:u w:val="single" w:color="auto"/>
            <w:color w:val="0000EE"/>
          </w:rPr>
          <w:t>Pre-Approval of Independent Auditor Fees and Services</w:t>
        </w:r>
      </w:hyperlink>
      <w:r>
        <w:rPr>
          <w:rFonts w:ascii="Arial" w:cs="Arial" w:eastAsia="Arial" w:hAnsi="Arial"/>
          <w:sz w:val="17"/>
          <w:szCs w:val="17"/>
          <w:u w:val="single" w:color="auto"/>
          <w:color w:val="0000EE"/>
        </w:rPr>
        <w:t xml:space="preserve"> </w:t>
      </w:r>
      <w:hyperlink w:anchor="page38">
        <w:r>
          <w:rPr>
            <w:rFonts w:ascii="Arial" w:cs="Arial" w:eastAsia="Arial" w:hAnsi="Arial"/>
            <w:sz w:val="17"/>
            <w:szCs w:val="17"/>
            <w:u w:val="single" w:color="auto"/>
            <w:color w:val="0000EE"/>
          </w:rPr>
          <w:t>Policy</w:t>
        </w:r>
      </w:hyperlink>
    </w:p>
    <w:p>
      <w:pPr>
        <w:spacing w:after="0" w:line="25" w:lineRule="exact"/>
        <w:rPr>
          <w:rFonts w:ascii="Arial" w:cs="Arial" w:eastAsia="Arial" w:hAnsi="Arial"/>
          <w:sz w:val="17"/>
          <w:szCs w:val="17"/>
          <w:u w:val="single" w:color="auto"/>
          <w:color w:val="0000EE"/>
        </w:rPr>
      </w:pPr>
    </w:p>
    <w:p>
      <w:pPr>
        <w:ind w:left="620" w:right="960" w:hanging="528"/>
        <w:spacing w:after="0" w:line="274" w:lineRule="auto"/>
        <w:tabs>
          <w:tab w:leader="none" w:pos="620" w:val="left"/>
        </w:tabs>
        <w:numPr>
          <w:ilvl w:val="0"/>
          <w:numId w:val="29"/>
        </w:numPr>
        <w:rPr>
          <w:rFonts w:ascii="Arial" w:cs="Arial" w:eastAsia="Arial" w:hAnsi="Arial"/>
          <w:sz w:val="17"/>
          <w:szCs w:val="17"/>
          <w:u w:val="single" w:color="auto"/>
          <w:color w:val="0000EE"/>
        </w:rPr>
      </w:pPr>
      <w:hyperlink w:anchor="page39">
        <w:r>
          <w:rPr>
            <w:rFonts w:ascii="Arial" w:cs="Arial" w:eastAsia="Arial" w:hAnsi="Arial"/>
            <w:sz w:val="17"/>
            <w:szCs w:val="17"/>
            <w:u w:val="single" w:color="auto"/>
            <w:color w:val="0000EE"/>
          </w:rPr>
          <w:t>Independent Registered Public Accounting Firm</w:t>
        </w:r>
      </w:hyperlink>
      <w:r>
        <w:rPr>
          <w:rFonts w:ascii="Arial" w:cs="Arial" w:eastAsia="Arial" w:hAnsi="Arial"/>
          <w:sz w:val="17"/>
          <w:szCs w:val="17"/>
          <w:u w:val="single" w:color="auto"/>
          <w:color w:val="0000EE"/>
        </w:rPr>
        <w:t xml:space="preserve"> </w:t>
      </w:r>
      <w:hyperlink w:anchor="page39">
        <w:r>
          <w:rPr>
            <w:rFonts w:ascii="Arial" w:cs="Arial" w:eastAsia="Arial" w:hAnsi="Arial"/>
            <w:sz w:val="17"/>
            <w:szCs w:val="17"/>
            <w:u w:val="single" w:color="auto"/>
            <w:color w:val="0000EE"/>
          </w:rPr>
          <w:t>Fee Disclosure</w:t>
        </w:r>
      </w:hyperlink>
    </w:p>
    <w:p>
      <w:pPr>
        <w:spacing w:after="0" w:line="23" w:lineRule="exact"/>
        <w:rPr>
          <w:rFonts w:ascii="Arial" w:cs="Arial" w:eastAsia="Arial" w:hAnsi="Arial"/>
          <w:sz w:val="17"/>
          <w:szCs w:val="17"/>
          <w:u w:val="single" w:color="auto"/>
          <w:color w:val="0000EE"/>
        </w:rPr>
      </w:pPr>
    </w:p>
    <w:p>
      <w:pPr>
        <w:ind w:left="620" w:hanging="528"/>
        <w:spacing w:after="0"/>
        <w:tabs>
          <w:tab w:leader="none" w:pos="620" w:val="left"/>
        </w:tabs>
        <w:numPr>
          <w:ilvl w:val="0"/>
          <w:numId w:val="29"/>
        </w:numPr>
        <w:rPr>
          <w:rFonts w:ascii="Arial" w:cs="Arial" w:eastAsia="Arial" w:hAnsi="Arial"/>
          <w:sz w:val="17"/>
          <w:szCs w:val="17"/>
          <w:b w:val="1"/>
          <w:bCs w:val="1"/>
          <w:u w:val="single" w:color="auto"/>
          <w:color w:val="0000EE"/>
        </w:rPr>
      </w:pPr>
      <w:hyperlink w:anchor="page40">
        <w:r>
          <w:rPr>
            <w:rFonts w:ascii="Arial" w:cs="Arial" w:eastAsia="Arial" w:hAnsi="Arial"/>
            <w:sz w:val="17"/>
            <w:szCs w:val="17"/>
            <w:b w:val="1"/>
            <w:bCs w:val="1"/>
            <w:u w:val="single" w:color="auto"/>
            <w:color w:val="0000EE"/>
          </w:rPr>
          <w:t>Executive and Director Compensation</w:t>
        </w:r>
      </w:hyperlink>
    </w:p>
    <w:p>
      <w:pPr>
        <w:spacing w:after="0" w:line="90" w:lineRule="exact"/>
        <w:rPr>
          <w:rFonts w:ascii="Arial" w:cs="Arial" w:eastAsia="Arial" w:hAnsi="Arial"/>
          <w:sz w:val="17"/>
          <w:szCs w:val="17"/>
          <w:u w:val="single" w:color="auto"/>
          <w:color w:val="0000EE"/>
        </w:rPr>
      </w:pPr>
    </w:p>
    <w:p>
      <w:pPr>
        <w:ind w:left="620" w:hanging="528"/>
        <w:spacing w:after="0"/>
        <w:tabs>
          <w:tab w:leader="none" w:pos="620" w:val="left"/>
        </w:tabs>
        <w:numPr>
          <w:ilvl w:val="0"/>
          <w:numId w:val="30"/>
        </w:numPr>
        <w:rPr>
          <w:rFonts w:ascii="Arial" w:cs="Arial" w:eastAsia="Arial" w:hAnsi="Arial"/>
          <w:sz w:val="17"/>
          <w:szCs w:val="17"/>
          <w:u w:val="single" w:color="auto"/>
          <w:color w:val="0000EE"/>
        </w:rPr>
      </w:pPr>
      <w:hyperlink w:anchor="page40">
        <w:r>
          <w:rPr>
            <w:rFonts w:ascii="Arial" w:cs="Arial" w:eastAsia="Arial" w:hAnsi="Arial"/>
            <w:sz w:val="17"/>
            <w:szCs w:val="17"/>
            <w:u w:val="single" w:color="auto"/>
            <w:color w:val="0000EE"/>
          </w:rPr>
          <w:t>Report of the Compensation Policy Committee</w:t>
        </w:r>
      </w:hyperlink>
    </w:p>
    <w:p>
      <w:pPr>
        <w:spacing w:after="0" w:line="87" w:lineRule="exact"/>
        <w:rPr>
          <w:rFonts w:ascii="Arial" w:cs="Arial" w:eastAsia="Arial" w:hAnsi="Arial"/>
          <w:sz w:val="17"/>
          <w:szCs w:val="17"/>
          <w:u w:val="single" w:color="auto"/>
          <w:color w:val="0000EE"/>
        </w:rPr>
      </w:pPr>
    </w:p>
    <w:p>
      <w:pPr>
        <w:ind w:left="620" w:hanging="528"/>
        <w:spacing w:after="0"/>
        <w:tabs>
          <w:tab w:leader="none" w:pos="620" w:val="left"/>
        </w:tabs>
        <w:numPr>
          <w:ilvl w:val="0"/>
          <w:numId w:val="31"/>
        </w:numPr>
        <w:rPr>
          <w:rFonts w:ascii="Arial" w:cs="Arial" w:eastAsia="Arial" w:hAnsi="Arial"/>
          <w:sz w:val="17"/>
          <w:szCs w:val="17"/>
          <w:u w:val="single" w:color="auto"/>
          <w:color w:val="0000EE"/>
        </w:rPr>
      </w:pPr>
      <w:hyperlink w:anchor="page40">
        <w:r>
          <w:rPr>
            <w:rFonts w:ascii="Arial" w:cs="Arial" w:eastAsia="Arial" w:hAnsi="Arial"/>
            <w:sz w:val="17"/>
            <w:szCs w:val="17"/>
            <w:u w:val="single" w:color="auto"/>
            <w:color w:val="0000EE"/>
          </w:rPr>
          <w:t>Compensation Discussion and Analysis</w:t>
        </w:r>
      </w:hyperlink>
    </w:p>
    <w:p>
      <w:pPr>
        <w:spacing w:after="0" w:line="87" w:lineRule="exact"/>
        <w:rPr>
          <w:rFonts w:ascii="Arial" w:cs="Arial" w:eastAsia="Arial" w:hAnsi="Arial"/>
          <w:sz w:val="17"/>
          <w:szCs w:val="17"/>
          <w:u w:val="single" w:color="auto"/>
          <w:color w:val="0000EE"/>
        </w:rPr>
      </w:pPr>
    </w:p>
    <w:p>
      <w:pPr>
        <w:ind w:left="620" w:hanging="528"/>
        <w:spacing w:after="0"/>
        <w:tabs>
          <w:tab w:leader="none" w:pos="620" w:val="left"/>
        </w:tabs>
        <w:numPr>
          <w:ilvl w:val="0"/>
          <w:numId w:val="32"/>
        </w:numPr>
        <w:rPr>
          <w:rFonts w:ascii="Arial" w:cs="Arial" w:eastAsia="Arial" w:hAnsi="Arial"/>
          <w:sz w:val="17"/>
          <w:szCs w:val="17"/>
          <w:u w:val="single" w:color="auto"/>
          <w:color w:val="0000EE"/>
        </w:rPr>
      </w:pPr>
      <w:hyperlink w:anchor="page52">
        <w:r>
          <w:rPr>
            <w:rFonts w:ascii="Arial" w:cs="Arial" w:eastAsia="Arial" w:hAnsi="Arial"/>
            <w:sz w:val="17"/>
            <w:szCs w:val="17"/>
            <w:u w:val="single" w:color="auto"/>
            <w:color w:val="0000EE"/>
          </w:rPr>
          <w:t>Executive Compensation Tables and Discussion</w:t>
        </w:r>
      </w:hyperlink>
    </w:p>
    <w:p>
      <w:pPr>
        <w:spacing w:after="0" w:line="87" w:lineRule="exact"/>
        <w:rPr>
          <w:rFonts w:ascii="Arial" w:cs="Arial" w:eastAsia="Arial" w:hAnsi="Arial"/>
          <w:sz w:val="17"/>
          <w:szCs w:val="17"/>
          <w:u w:val="single" w:color="auto"/>
          <w:color w:val="0000EE"/>
        </w:rPr>
      </w:pPr>
    </w:p>
    <w:p>
      <w:pPr>
        <w:ind w:left="620" w:hanging="528"/>
        <w:spacing w:after="0"/>
        <w:tabs>
          <w:tab w:leader="none" w:pos="620" w:val="left"/>
        </w:tabs>
        <w:numPr>
          <w:ilvl w:val="0"/>
          <w:numId w:val="33"/>
        </w:numPr>
        <w:rPr>
          <w:rFonts w:ascii="Arial" w:cs="Arial" w:eastAsia="Arial" w:hAnsi="Arial"/>
          <w:sz w:val="17"/>
          <w:szCs w:val="17"/>
          <w:u w:val="single" w:color="auto"/>
          <w:color w:val="0000EE"/>
        </w:rPr>
      </w:pPr>
      <w:hyperlink w:anchor="page64">
        <w:r>
          <w:rPr>
            <w:rFonts w:ascii="Arial" w:cs="Arial" w:eastAsia="Arial" w:hAnsi="Arial"/>
            <w:sz w:val="17"/>
            <w:szCs w:val="17"/>
            <w:u w:val="single" w:color="auto"/>
            <w:color w:val="0000EE"/>
          </w:rPr>
          <w:t>Director Compensation</w:t>
        </w:r>
      </w:hyperlink>
    </w:p>
    <w:p>
      <w:pPr>
        <w:spacing w:after="0" w:line="88" w:lineRule="exact"/>
        <w:rPr>
          <w:rFonts w:ascii="Arial" w:cs="Arial" w:eastAsia="Arial" w:hAnsi="Arial"/>
          <w:sz w:val="17"/>
          <w:szCs w:val="17"/>
          <w:color w:val="auto"/>
        </w:rPr>
      </w:pPr>
    </w:p>
    <w:p>
      <w:pPr>
        <w:ind w:left="620" w:right="980" w:hanging="528"/>
        <w:spacing w:after="0" w:line="274" w:lineRule="auto"/>
        <w:tabs>
          <w:tab w:leader="none" w:pos="620" w:val="left"/>
        </w:tabs>
        <w:numPr>
          <w:ilvl w:val="0"/>
          <w:numId w:val="34"/>
        </w:numPr>
        <w:rPr>
          <w:rFonts w:ascii="Arial" w:cs="Arial" w:eastAsia="Arial" w:hAnsi="Arial"/>
          <w:sz w:val="17"/>
          <w:szCs w:val="17"/>
          <w:u w:val="single" w:color="auto"/>
          <w:color w:val="0000EE"/>
        </w:rPr>
      </w:pPr>
      <w:hyperlink w:anchor="page67">
        <w:r>
          <w:rPr>
            <w:rFonts w:ascii="Arial" w:cs="Arial" w:eastAsia="Arial" w:hAnsi="Arial"/>
            <w:sz w:val="17"/>
            <w:szCs w:val="17"/>
            <w:u w:val="single" w:color="auto"/>
            <w:color w:val="0000EE"/>
          </w:rPr>
          <w:t>Securities Authorized for Issuance under Equity</w:t>
        </w:r>
      </w:hyperlink>
      <w:r>
        <w:rPr>
          <w:rFonts w:ascii="Arial" w:cs="Arial" w:eastAsia="Arial" w:hAnsi="Arial"/>
          <w:sz w:val="17"/>
          <w:szCs w:val="17"/>
          <w:u w:val="single" w:color="auto"/>
          <w:color w:val="0000EE"/>
        </w:rPr>
        <w:t xml:space="preserve"> </w:t>
      </w:r>
      <w:hyperlink w:anchor="page67">
        <w:r>
          <w:rPr>
            <w:rFonts w:ascii="Arial" w:cs="Arial" w:eastAsia="Arial" w:hAnsi="Arial"/>
            <w:sz w:val="17"/>
            <w:szCs w:val="17"/>
            <w:u w:val="single" w:color="auto"/>
            <w:color w:val="0000EE"/>
          </w:rPr>
          <w:t>Compensation Plans</w:t>
        </w:r>
      </w:hyperlink>
    </w:p>
    <w:p>
      <w:pPr>
        <w:spacing w:after="0" w:line="23" w:lineRule="exact"/>
        <w:rPr>
          <w:rFonts w:ascii="Arial" w:cs="Arial" w:eastAsia="Arial" w:hAnsi="Arial"/>
          <w:sz w:val="17"/>
          <w:szCs w:val="17"/>
          <w:u w:val="single" w:color="auto"/>
          <w:color w:val="0000EE"/>
        </w:rPr>
      </w:pPr>
    </w:p>
    <w:p>
      <w:pPr>
        <w:ind w:left="620" w:hanging="528"/>
        <w:spacing w:after="0"/>
        <w:tabs>
          <w:tab w:leader="none" w:pos="620" w:val="left"/>
        </w:tabs>
        <w:numPr>
          <w:ilvl w:val="0"/>
          <w:numId w:val="34"/>
        </w:numPr>
        <w:rPr>
          <w:rFonts w:ascii="Arial" w:cs="Arial" w:eastAsia="Arial" w:hAnsi="Arial"/>
          <w:sz w:val="17"/>
          <w:szCs w:val="17"/>
          <w:b w:val="1"/>
          <w:bCs w:val="1"/>
          <w:u w:val="single" w:color="auto"/>
          <w:color w:val="0000EE"/>
        </w:rPr>
      </w:pPr>
      <w:hyperlink w:anchor="page68">
        <w:r>
          <w:rPr>
            <w:rFonts w:ascii="Arial" w:cs="Arial" w:eastAsia="Arial" w:hAnsi="Arial"/>
            <w:sz w:val="17"/>
            <w:szCs w:val="17"/>
            <w:b w:val="1"/>
            <w:bCs w:val="1"/>
            <w:u w:val="single" w:color="auto"/>
            <w:color w:val="0000EE"/>
          </w:rPr>
          <w:t>Stock Ownership</w:t>
        </w:r>
      </w:hyperlink>
    </w:p>
    <w:p>
      <w:pPr>
        <w:spacing w:after="0" w:line="90" w:lineRule="exact"/>
        <w:rPr>
          <w:rFonts w:ascii="Arial" w:cs="Arial" w:eastAsia="Arial" w:hAnsi="Arial"/>
          <w:sz w:val="17"/>
          <w:szCs w:val="17"/>
          <w:u w:val="single" w:color="auto"/>
          <w:color w:val="0000EE"/>
        </w:rPr>
      </w:pPr>
    </w:p>
    <w:p>
      <w:pPr>
        <w:ind w:left="620" w:right="280" w:hanging="528"/>
        <w:spacing w:after="0" w:line="274" w:lineRule="auto"/>
        <w:tabs>
          <w:tab w:leader="none" w:pos="620" w:val="left"/>
        </w:tabs>
        <w:numPr>
          <w:ilvl w:val="0"/>
          <w:numId w:val="35"/>
        </w:numPr>
        <w:rPr>
          <w:rFonts w:ascii="Arial" w:cs="Arial" w:eastAsia="Arial" w:hAnsi="Arial"/>
          <w:sz w:val="17"/>
          <w:szCs w:val="17"/>
          <w:u w:val="single" w:color="auto"/>
          <w:color w:val="0000EE"/>
        </w:rPr>
      </w:pPr>
      <w:hyperlink w:anchor="page68">
        <w:r>
          <w:rPr>
            <w:rFonts w:ascii="Arial" w:cs="Arial" w:eastAsia="Arial" w:hAnsi="Arial"/>
            <w:sz w:val="17"/>
            <w:szCs w:val="17"/>
            <w:u w:val="single" w:color="auto"/>
            <w:color w:val="0000EE"/>
          </w:rPr>
          <w:t>Stock Ownership of our Directors, Executive Officers and</w:t>
        </w:r>
      </w:hyperlink>
      <w:r>
        <w:rPr>
          <w:rFonts w:ascii="Arial" w:cs="Arial" w:eastAsia="Arial" w:hAnsi="Arial"/>
          <w:sz w:val="17"/>
          <w:szCs w:val="17"/>
          <w:u w:val="single" w:color="auto"/>
          <w:color w:val="0000EE"/>
        </w:rPr>
        <w:t xml:space="preserve"> </w:t>
      </w:r>
      <w:hyperlink w:anchor="page68">
        <w:r>
          <w:rPr>
            <w:rFonts w:ascii="Arial" w:cs="Arial" w:eastAsia="Arial" w:hAnsi="Arial"/>
            <w:sz w:val="17"/>
            <w:szCs w:val="17"/>
            <w:u w:val="single" w:color="auto"/>
            <w:color w:val="0000EE"/>
          </w:rPr>
          <w:t>Certain Beneficial Owners</w:t>
        </w:r>
      </w:hyperlink>
    </w:p>
    <w:p>
      <w:pPr>
        <w:spacing w:after="0" w:line="26" w:lineRule="exact"/>
        <w:rPr>
          <w:rFonts w:ascii="Arial" w:cs="Arial" w:eastAsia="Arial" w:hAnsi="Arial"/>
          <w:sz w:val="17"/>
          <w:szCs w:val="17"/>
          <w:color w:val="auto"/>
        </w:rPr>
      </w:pPr>
    </w:p>
    <w:p>
      <w:pPr>
        <w:ind w:left="620" w:hanging="528"/>
        <w:spacing w:after="0"/>
        <w:tabs>
          <w:tab w:leader="none" w:pos="620" w:val="left"/>
        </w:tabs>
        <w:numPr>
          <w:ilvl w:val="0"/>
          <w:numId w:val="36"/>
        </w:numPr>
        <w:rPr>
          <w:rFonts w:ascii="Arial" w:cs="Arial" w:eastAsia="Arial" w:hAnsi="Arial"/>
          <w:sz w:val="17"/>
          <w:szCs w:val="17"/>
          <w:u w:val="single" w:color="auto"/>
          <w:color w:val="0000EE"/>
        </w:rPr>
      </w:pPr>
      <w:hyperlink w:anchor="page70">
        <w:r>
          <w:rPr>
            <w:rFonts w:ascii="Arial" w:cs="Arial" w:eastAsia="Arial" w:hAnsi="Arial"/>
            <w:sz w:val="17"/>
            <w:szCs w:val="17"/>
            <w:u w:val="single" w:color="auto"/>
            <w:color w:val="0000EE"/>
          </w:rPr>
          <w:t>Section 16(a) Beneficial Ownership Reporting Compliance</w:t>
        </w:r>
      </w:hyperlink>
    </w:p>
    <w:p>
      <w:pPr>
        <w:spacing w:after="0" w:line="85" w:lineRule="exact"/>
        <w:rPr>
          <w:rFonts w:ascii="Arial" w:cs="Arial" w:eastAsia="Arial" w:hAnsi="Arial"/>
          <w:sz w:val="17"/>
          <w:szCs w:val="17"/>
          <w:u w:val="single" w:color="auto"/>
          <w:color w:val="0000EE"/>
        </w:rPr>
      </w:pPr>
    </w:p>
    <w:p>
      <w:pPr>
        <w:ind w:left="620" w:hanging="528"/>
        <w:spacing w:after="0"/>
        <w:tabs>
          <w:tab w:leader="none" w:pos="620" w:val="left"/>
        </w:tabs>
        <w:numPr>
          <w:ilvl w:val="0"/>
          <w:numId w:val="36"/>
        </w:numPr>
        <w:rPr>
          <w:rFonts w:ascii="Arial" w:cs="Arial" w:eastAsia="Arial" w:hAnsi="Arial"/>
          <w:sz w:val="17"/>
          <w:szCs w:val="17"/>
          <w:b w:val="1"/>
          <w:bCs w:val="1"/>
          <w:u w:val="single" w:color="auto"/>
          <w:color w:val="0000EE"/>
        </w:rPr>
      </w:pPr>
      <w:hyperlink w:anchor="page71">
        <w:r>
          <w:rPr>
            <w:rFonts w:ascii="Arial" w:cs="Arial" w:eastAsia="Arial" w:hAnsi="Arial"/>
            <w:sz w:val="17"/>
            <w:szCs w:val="17"/>
            <w:b w:val="1"/>
            <w:bCs w:val="1"/>
            <w:u w:val="single" w:color="auto"/>
            <w:color w:val="0000EE"/>
          </w:rPr>
          <w:t>Transactions with Related Persons</w:t>
        </w:r>
      </w:hyperlink>
    </w:p>
    <w:p>
      <w:pPr>
        <w:spacing w:after="0" w:line="89" w:lineRule="exact"/>
        <w:rPr>
          <w:rFonts w:ascii="Arial" w:cs="Arial" w:eastAsia="Arial" w:hAnsi="Arial"/>
          <w:sz w:val="17"/>
          <w:szCs w:val="17"/>
          <w:b w:val="1"/>
          <w:bCs w:val="1"/>
          <w:u w:val="single" w:color="auto"/>
          <w:color w:val="0000EE"/>
        </w:rPr>
      </w:pPr>
    </w:p>
    <w:p>
      <w:pPr>
        <w:ind w:left="620" w:right="440" w:hanging="528"/>
        <w:spacing w:after="0" w:line="274" w:lineRule="auto"/>
        <w:tabs>
          <w:tab w:leader="none" w:pos="620" w:val="left"/>
        </w:tabs>
        <w:numPr>
          <w:ilvl w:val="0"/>
          <w:numId w:val="36"/>
        </w:numPr>
        <w:rPr>
          <w:rFonts w:ascii="Arial" w:cs="Arial" w:eastAsia="Arial" w:hAnsi="Arial"/>
          <w:sz w:val="17"/>
          <w:szCs w:val="17"/>
          <w:u w:val="single" w:color="auto"/>
          <w:color w:val="0000EE"/>
        </w:rPr>
      </w:pPr>
      <w:hyperlink w:anchor="page72">
        <w:r>
          <w:rPr>
            <w:rFonts w:ascii="Arial" w:cs="Arial" w:eastAsia="Arial" w:hAnsi="Arial"/>
            <w:sz w:val="17"/>
            <w:szCs w:val="17"/>
            <w:u w:val="single" w:color="auto"/>
            <w:color w:val="0000EE"/>
          </w:rPr>
          <w:t>Policy on Transactions and Arrangements with Related</w:t>
        </w:r>
      </w:hyperlink>
      <w:r>
        <w:rPr>
          <w:rFonts w:ascii="Arial" w:cs="Arial" w:eastAsia="Arial" w:hAnsi="Arial"/>
          <w:sz w:val="17"/>
          <w:szCs w:val="17"/>
          <w:u w:val="single" w:color="auto"/>
          <w:color w:val="0000EE"/>
        </w:rPr>
        <w:t xml:space="preserve"> </w:t>
      </w:r>
      <w:hyperlink w:anchor="page72">
        <w:r>
          <w:rPr>
            <w:rFonts w:ascii="Arial" w:cs="Arial" w:eastAsia="Arial" w:hAnsi="Arial"/>
            <w:sz w:val="17"/>
            <w:szCs w:val="17"/>
            <w:u w:val="single" w:color="auto"/>
            <w:color w:val="0000EE"/>
          </w:rPr>
          <w:t>Persons</w:t>
        </w:r>
      </w:hyperlink>
    </w:p>
    <w:p>
      <w:pPr>
        <w:spacing w:after="0" w:line="23" w:lineRule="exact"/>
        <w:rPr>
          <w:rFonts w:ascii="Arial" w:cs="Arial" w:eastAsia="Arial" w:hAnsi="Arial"/>
          <w:sz w:val="17"/>
          <w:szCs w:val="17"/>
          <w:u w:val="single" w:color="auto"/>
          <w:color w:val="0000EE"/>
        </w:rPr>
      </w:pPr>
    </w:p>
    <w:p>
      <w:pPr>
        <w:ind w:left="620" w:hanging="528"/>
        <w:spacing w:after="0"/>
        <w:tabs>
          <w:tab w:leader="none" w:pos="620" w:val="left"/>
        </w:tabs>
        <w:numPr>
          <w:ilvl w:val="0"/>
          <w:numId w:val="36"/>
        </w:numPr>
        <w:rPr>
          <w:rFonts w:ascii="Arial" w:cs="Arial" w:eastAsia="Arial" w:hAnsi="Arial"/>
          <w:sz w:val="17"/>
          <w:szCs w:val="17"/>
          <w:b w:val="1"/>
          <w:bCs w:val="1"/>
          <w:u w:val="single" w:color="auto"/>
          <w:color w:val="0000EE"/>
        </w:rPr>
      </w:pPr>
      <w:hyperlink w:anchor="page73">
        <w:r>
          <w:rPr>
            <w:rFonts w:ascii="Arial" w:cs="Arial" w:eastAsia="Arial" w:hAnsi="Arial"/>
            <w:sz w:val="17"/>
            <w:szCs w:val="17"/>
            <w:b w:val="1"/>
            <w:bCs w:val="1"/>
            <w:u w:val="single" w:color="auto"/>
            <w:color w:val="0000EE"/>
          </w:rPr>
          <w:t>Questions and Answers About the Meeting</w:t>
        </w:r>
      </w:hyperlink>
    </w:p>
    <w:p>
      <w:pPr>
        <w:spacing w:after="0" w:line="88" w:lineRule="exact"/>
        <w:rPr>
          <w:rFonts w:ascii="Arial" w:cs="Arial" w:eastAsia="Arial" w:hAnsi="Arial"/>
          <w:sz w:val="17"/>
          <w:szCs w:val="17"/>
          <w:u w:val="single" w:color="auto"/>
          <w:color w:val="0000EE"/>
        </w:rPr>
      </w:pPr>
    </w:p>
    <w:p>
      <w:pPr>
        <w:ind w:left="620" w:hanging="528"/>
        <w:spacing w:after="0"/>
        <w:tabs>
          <w:tab w:leader="none" w:pos="620" w:val="left"/>
        </w:tabs>
        <w:numPr>
          <w:ilvl w:val="0"/>
          <w:numId w:val="37"/>
        </w:numPr>
        <w:rPr>
          <w:rFonts w:ascii="Arial" w:cs="Arial" w:eastAsia="Arial" w:hAnsi="Arial"/>
          <w:sz w:val="17"/>
          <w:szCs w:val="17"/>
          <w:b w:val="1"/>
          <w:bCs w:val="1"/>
          <w:u w:val="single" w:color="auto"/>
          <w:color w:val="0000EE"/>
        </w:rPr>
      </w:pPr>
      <w:hyperlink w:anchor="page78">
        <w:r>
          <w:rPr>
            <w:rFonts w:ascii="Arial" w:cs="Arial" w:eastAsia="Arial" w:hAnsi="Arial"/>
            <w:sz w:val="17"/>
            <w:szCs w:val="17"/>
            <w:b w:val="1"/>
            <w:bCs w:val="1"/>
            <w:u w:val="single" w:color="auto"/>
            <w:color w:val="0000EE"/>
          </w:rPr>
          <w:t>Householding</w:t>
        </w:r>
      </w:hyperlink>
    </w:p>
    <w:p>
      <w:pPr>
        <w:spacing w:after="0" w:line="87" w:lineRule="exact"/>
        <w:rPr>
          <w:rFonts w:ascii="Arial" w:cs="Arial" w:eastAsia="Arial" w:hAnsi="Arial"/>
          <w:sz w:val="17"/>
          <w:szCs w:val="17"/>
          <w:b w:val="1"/>
          <w:bCs w:val="1"/>
          <w:u w:val="single" w:color="auto"/>
          <w:color w:val="0000EE"/>
        </w:rPr>
      </w:pPr>
    </w:p>
    <w:p>
      <w:pPr>
        <w:ind w:left="620" w:hanging="528"/>
        <w:spacing w:after="0"/>
        <w:tabs>
          <w:tab w:leader="none" w:pos="620" w:val="left"/>
        </w:tabs>
        <w:numPr>
          <w:ilvl w:val="0"/>
          <w:numId w:val="38"/>
        </w:numPr>
        <w:rPr>
          <w:rFonts w:ascii="Arial" w:cs="Arial" w:eastAsia="Arial" w:hAnsi="Arial"/>
          <w:sz w:val="17"/>
          <w:szCs w:val="17"/>
          <w:b w:val="1"/>
          <w:bCs w:val="1"/>
          <w:u w:val="single" w:color="auto"/>
          <w:color w:val="0000EE"/>
        </w:rPr>
      </w:pPr>
      <w:hyperlink w:anchor="page78">
        <w:r>
          <w:rPr>
            <w:rFonts w:ascii="Arial" w:cs="Arial" w:eastAsia="Arial" w:hAnsi="Arial"/>
            <w:sz w:val="17"/>
            <w:szCs w:val="17"/>
            <w:b w:val="1"/>
            <w:bCs w:val="1"/>
            <w:u w:val="single" w:color="auto"/>
            <w:color w:val="0000EE"/>
          </w:rPr>
          <w:t>Other Matters</w:t>
        </w:r>
      </w:hyperlink>
    </w:p>
    <w:p>
      <w:pPr>
        <w:spacing w:after="0" w:line="88" w:lineRule="exact"/>
        <w:rPr>
          <w:rFonts w:ascii="Arial" w:cs="Arial" w:eastAsia="Arial" w:hAnsi="Arial"/>
          <w:sz w:val="17"/>
          <w:szCs w:val="17"/>
          <w:b w:val="1"/>
          <w:bCs w:val="1"/>
          <w:color w:val="998C87"/>
        </w:rPr>
      </w:pPr>
    </w:p>
    <w:p>
      <w:pPr>
        <w:spacing w:after="0"/>
        <w:tabs>
          <w:tab w:leader="none" w:pos="600" w:val="left"/>
        </w:tabs>
        <w:rPr>
          <w:sz w:val="20"/>
          <w:szCs w:val="20"/>
          <w:color w:val="auto"/>
        </w:rPr>
      </w:pPr>
      <w:r>
        <w:rPr>
          <w:rFonts w:ascii="Arial" w:cs="Arial" w:eastAsia="Arial" w:hAnsi="Arial"/>
          <w:sz w:val="17"/>
          <w:szCs w:val="17"/>
          <w:b w:val="1"/>
          <w:bCs w:val="1"/>
          <w:color w:val="998C87"/>
        </w:rPr>
        <w:t>A-1</w:t>
      </w:r>
      <w:r>
        <w:rPr>
          <w:sz w:val="20"/>
          <w:szCs w:val="20"/>
          <w:color w:val="auto"/>
        </w:rPr>
        <w:tab/>
      </w:r>
      <w:r>
        <w:rPr>
          <w:rFonts w:ascii="Arial" w:cs="Arial" w:eastAsia="Arial" w:hAnsi="Arial"/>
          <w:sz w:val="17"/>
          <w:szCs w:val="17"/>
          <w:b w:val="1"/>
          <w:bCs w:val="1"/>
          <w:color w:val="998C87"/>
        </w:rPr>
        <w:t>Exhibit A</w:t>
      </w:r>
    </w:p>
    <w:p>
      <w:pPr>
        <w:spacing w:after="0" w:line="88" w:lineRule="exact"/>
        <w:rPr>
          <w:rFonts w:ascii="Arial" w:cs="Arial" w:eastAsia="Arial" w:hAnsi="Arial"/>
          <w:sz w:val="17"/>
          <w:szCs w:val="17"/>
          <w:b w:val="1"/>
          <w:bCs w:val="1"/>
          <w:color w:val="998C87"/>
        </w:rPr>
      </w:pPr>
    </w:p>
    <w:p>
      <w:pPr>
        <w:spacing w:after="0"/>
        <w:tabs>
          <w:tab w:leader="none" w:pos="600" w:val="left"/>
        </w:tabs>
        <w:rPr>
          <w:sz w:val="20"/>
          <w:szCs w:val="20"/>
          <w:color w:val="auto"/>
        </w:rPr>
      </w:pPr>
      <w:r>
        <w:rPr>
          <w:rFonts w:ascii="Arial" w:cs="Arial" w:eastAsia="Arial" w:hAnsi="Arial"/>
          <w:sz w:val="17"/>
          <w:szCs w:val="17"/>
          <w:b w:val="1"/>
          <w:bCs w:val="1"/>
          <w:color w:val="998C87"/>
        </w:rPr>
        <w:t>B-1</w:t>
      </w:r>
      <w:r>
        <w:rPr>
          <w:sz w:val="20"/>
          <w:szCs w:val="20"/>
          <w:color w:val="auto"/>
        </w:rPr>
        <w:tab/>
      </w:r>
      <w:r>
        <w:rPr>
          <w:rFonts w:ascii="Arial" w:cs="Arial" w:eastAsia="Arial" w:hAnsi="Arial"/>
          <w:sz w:val="17"/>
          <w:szCs w:val="17"/>
          <w:b w:val="1"/>
          <w:bCs w:val="1"/>
          <w:color w:val="998C87"/>
        </w:rPr>
        <w:t>Exhibit B</w:t>
      </w:r>
    </w:p>
    <w:p>
      <w:pPr>
        <w:spacing w:after="0" w:line="862" w:lineRule="exact"/>
        <w:rPr>
          <w:rFonts w:ascii="Arial" w:cs="Arial" w:eastAsia="Arial" w:hAnsi="Arial"/>
          <w:sz w:val="17"/>
          <w:szCs w:val="17"/>
          <w:b w:val="1"/>
          <w:bCs w:val="1"/>
          <w:color w:val="998C87"/>
        </w:rPr>
      </w:pPr>
    </w:p>
    <w:p>
      <w:pPr>
        <w:sectPr>
          <w:pgSz w:w="11900" w:h="16838" w:orient="portrait"/>
          <w:cols w:equalWidth="0" w:num="2">
            <w:col w:w="5460" w:space="560"/>
            <w:col w:w="5200"/>
          </w:cols>
          <w:pgMar w:left="240" w:top="455" w:right="439" w:bottom="1440" w:gutter="0" w:footer="0" w:header="0"/>
          <w:type w:val="continuous"/>
        </w:sectPr>
      </w:pPr>
    </w:p>
    <w:p>
      <w:pPr>
        <w:spacing w:after="0" w:line="122" w:lineRule="exact"/>
        <w:rPr>
          <w:rFonts w:ascii="Arial" w:cs="Arial" w:eastAsia="Arial" w:hAnsi="Arial"/>
          <w:sz w:val="17"/>
          <w:szCs w:val="17"/>
          <w:b w:val="1"/>
          <w:bCs w:val="1"/>
          <w:color w:val="998C87"/>
        </w:rPr>
      </w:pPr>
    </w:p>
    <w:p>
      <w:pPr>
        <w:ind w:left="9440"/>
        <w:spacing w:after="0"/>
        <w:tabs>
          <w:tab w:leader="none" w:pos="11100" w:val="left"/>
        </w:tabs>
        <w:rPr>
          <w:sz w:val="20"/>
          <w:szCs w:val="20"/>
          <w:color w:val="auto"/>
        </w:rPr>
      </w:pPr>
      <w:r>
        <w:rPr>
          <w:rFonts w:ascii="Arial" w:cs="Arial" w:eastAsia="Arial" w:hAnsi="Arial"/>
          <w:sz w:val="15"/>
          <w:szCs w:val="15"/>
          <w:color w:val="7F7F7F"/>
        </w:rPr>
        <w:t>2018 Proxy Statement</w:t>
      </w:r>
      <w:r>
        <w:rPr>
          <w:sz w:val="20"/>
          <w:szCs w:val="20"/>
          <w:color w:val="auto"/>
        </w:rPr>
        <w:tab/>
      </w:r>
      <w:r>
        <w:rPr>
          <w:rFonts w:ascii="Arial" w:cs="Arial" w:eastAsia="Arial" w:hAnsi="Arial"/>
          <w:sz w:val="14"/>
          <w:szCs w:val="14"/>
          <w:b w:val="1"/>
          <w:bCs w:val="1"/>
          <w:color w:val="7F7F7F"/>
        </w:rPr>
        <w:t>i</w:t>
      </w:r>
    </w:p>
    <w:p>
      <w:pPr>
        <w:sectPr>
          <w:pgSz w:w="11900" w:h="16838" w:orient="portrait"/>
          <w:cols w:equalWidth="0" w:num="1">
            <w:col w:w="11220"/>
          </w:cols>
          <w:pgMar w:left="240" w:top="455" w:right="439" w:bottom="1440" w:gutter="0" w:footer="0" w:header="0"/>
          <w:type w:val="continuous"/>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ind w:left="9400"/>
        <w:spacing w:after="0"/>
        <w:rPr>
          <w:sz w:val="20"/>
          <w:szCs w:val="20"/>
          <w:color w:val="auto"/>
        </w:rPr>
      </w:pPr>
      <w:r>
        <w:rPr>
          <w:rFonts w:ascii="Arial" w:cs="Arial" w:eastAsia="Arial" w:hAnsi="Arial"/>
          <w:sz w:val="15"/>
          <w:szCs w:val="15"/>
          <w:color w:val="7F7F7F"/>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25"/>
          <w:szCs w:val="25"/>
          <w:color w:val="998C87"/>
        </w:rPr>
        <w:t>PROXY STATEMENT SUMMARY</w:t>
      </w:r>
    </w:p>
    <w:p>
      <w:pPr>
        <w:spacing w:after="0" w:line="122" w:lineRule="exact"/>
        <w:rPr>
          <w:sz w:val="20"/>
          <w:szCs w:val="20"/>
          <w:color w:val="auto"/>
        </w:rPr>
      </w:pPr>
    </w:p>
    <w:p>
      <w:pPr>
        <w:ind w:left="220" w:right="100"/>
        <w:spacing w:after="0" w:line="284" w:lineRule="auto"/>
        <w:rPr>
          <w:sz w:val="20"/>
          <w:szCs w:val="20"/>
          <w:color w:val="auto"/>
        </w:rPr>
      </w:pPr>
      <w:r>
        <w:rPr>
          <w:rFonts w:ascii="Arial" w:cs="Arial" w:eastAsia="Arial" w:hAnsi="Arial"/>
          <w:sz w:val="17"/>
          <w:szCs w:val="17"/>
          <w:b w:val="1"/>
          <w:bCs w:val="1"/>
          <w:i w:val="1"/>
          <w:iCs w:val="1"/>
          <w:color w:val="998C87"/>
        </w:rPr>
        <w:t>This summary highlights information contained elsewhere in this Proxy Statement. This summary does not contain all information you should consider. Please read the entire Proxy Statement carefully before voting.</w:t>
      </w:r>
    </w:p>
    <w:p>
      <w:pPr>
        <w:spacing w:after="0" w:line="235" w:lineRule="exact"/>
        <w:rPr>
          <w:sz w:val="20"/>
          <w:szCs w:val="20"/>
          <w:color w:val="auto"/>
        </w:rPr>
      </w:pPr>
    </w:p>
    <w:p>
      <w:pPr>
        <w:ind w:left="220"/>
        <w:spacing w:after="0"/>
        <w:rPr>
          <w:sz w:val="20"/>
          <w:szCs w:val="20"/>
          <w:color w:val="auto"/>
        </w:rPr>
      </w:pPr>
      <w:r>
        <w:rPr>
          <w:rFonts w:ascii="Arial" w:cs="Arial" w:eastAsia="Arial" w:hAnsi="Arial"/>
          <w:sz w:val="25"/>
          <w:szCs w:val="25"/>
          <w:color w:val="7F7F7F"/>
        </w:rPr>
        <w:t>Voting matters and the recommendations of the Board of Directors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102235</wp:posOffset>
            </wp:positionV>
            <wp:extent cx="6989445" cy="3837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89445" cy="3837305"/>
                    </a:xfrm>
                    <a:prstGeom prst="rect">
                      <a:avLst/>
                    </a:prstGeom>
                    <a:noFill/>
                  </pic:spPr>
                </pic:pic>
              </a:graphicData>
            </a:graphic>
          </wp:anchor>
        </w:drawing>
      </w:r>
    </w:p>
    <w:p>
      <w:pPr>
        <w:spacing w:after="0" w:line="126"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280" w:type="dxa"/>
            <w:vAlign w:val="bottom"/>
            <w:shd w:val="clear" w:color="auto" w:fill="998C87"/>
          </w:tcPr>
          <w:p>
            <w:pPr>
              <w:spacing w:after="0"/>
              <w:rPr>
                <w:sz w:val="16"/>
                <w:szCs w:val="16"/>
                <w:color w:val="auto"/>
              </w:rPr>
            </w:pPr>
          </w:p>
        </w:tc>
        <w:tc>
          <w:tcPr>
            <w:tcW w:w="120" w:type="dxa"/>
            <w:vAlign w:val="bottom"/>
            <w:shd w:val="clear" w:color="auto" w:fill="998C87"/>
          </w:tcPr>
          <w:p>
            <w:pPr>
              <w:spacing w:after="0"/>
              <w:rPr>
                <w:sz w:val="16"/>
                <w:szCs w:val="16"/>
                <w:color w:val="auto"/>
              </w:rPr>
            </w:pPr>
          </w:p>
        </w:tc>
        <w:tc>
          <w:tcPr>
            <w:tcW w:w="2300" w:type="dxa"/>
            <w:vAlign w:val="bottom"/>
            <w:shd w:val="clear" w:color="auto" w:fill="998C87"/>
          </w:tcPr>
          <w:p>
            <w:pPr>
              <w:spacing w:after="0"/>
              <w:rPr>
                <w:sz w:val="16"/>
                <w:szCs w:val="16"/>
                <w:color w:val="auto"/>
              </w:rPr>
            </w:pPr>
          </w:p>
        </w:tc>
        <w:tc>
          <w:tcPr>
            <w:tcW w:w="100" w:type="dxa"/>
            <w:vAlign w:val="bottom"/>
            <w:shd w:val="clear" w:color="auto" w:fill="998C87"/>
          </w:tcPr>
          <w:p>
            <w:pPr>
              <w:spacing w:after="0"/>
              <w:rPr>
                <w:sz w:val="16"/>
                <w:szCs w:val="16"/>
                <w:color w:val="auto"/>
              </w:rPr>
            </w:pPr>
          </w:p>
        </w:tc>
        <w:tc>
          <w:tcPr>
            <w:tcW w:w="132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Board</w:t>
            </w:r>
          </w:p>
        </w:tc>
        <w:tc>
          <w:tcPr>
            <w:tcW w:w="6440" w:type="dxa"/>
            <w:vAlign w:val="bottom"/>
            <w:shd w:val="clear" w:color="auto" w:fill="998C87"/>
          </w:tcPr>
          <w:p>
            <w:pPr>
              <w:ind w:left="2700"/>
              <w:spacing w:after="0"/>
              <w:rPr>
                <w:sz w:val="20"/>
                <w:szCs w:val="20"/>
                <w:color w:val="auto"/>
              </w:rPr>
            </w:pPr>
            <w:r>
              <w:rPr>
                <w:rFonts w:ascii="Arial" w:cs="Arial" w:eastAsia="Arial" w:hAnsi="Arial"/>
                <w:sz w:val="16"/>
                <w:szCs w:val="16"/>
                <w:b w:val="1"/>
                <w:bCs w:val="1"/>
                <w:color w:val="FFFFFF"/>
              </w:rPr>
              <w:t>Reasons for</w:t>
            </w:r>
          </w:p>
        </w:tc>
        <w:tc>
          <w:tcPr>
            <w:tcW w:w="4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w w:val="98"/>
              </w:rPr>
              <w:t>See</w:t>
            </w:r>
          </w:p>
        </w:tc>
        <w:tc>
          <w:tcPr>
            <w:tcW w:w="0" w:type="dxa"/>
            <w:vAlign w:val="bottom"/>
          </w:tcPr>
          <w:p>
            <w:pPr>
              <w:spacing w:after="0"/>
              <w:rPr>
                <w:sz w:val="1"/>
                <w:szCs w:val="1"/>
                <w:color w:val="auto"/>
              </w:rPr>
            </w:pPr>
          </w:p>
        </w:tc>
      </w:tr>
      <w:tr>
        <w:trPr>
          <w:trHeight w:val="209"/>
        </w:trPr>
        <w:tc>
          <w:tcPr>
            <w:tcW w:w="2700" w:type="dxa"/>
            <w:vAlign w:val="bottom"/>
            <w:gridSpan w:val="3"/>
            <w:shd w:val="clear" w:color="auto" w:fill="998C87"/>
          </w:tcPr>
          <w:p>
            <w:pPr>
              <w:ind w:left="80"/>
              <w:spacing w:after="0"/>
              <w:rPr>
                <w:sz w:val="20"/>
                <w:szCs w:val="20"/>
                <w:color w:val="auto"/>
              </w:rPr>
            </w:pPr>
            <w:r>
              <w:rPr>
                <w:rFonts w:ascii="Arial" w:cs="Arial" w:eastAsia="Arial" w:hAnsi="Arial"/>
                <w:sz w:val="16"/>
                <w:szCs w:val="16"/>
                <w:b w:val="1"/>
                <w:bCs w:val="1"/>
                <w:color w:val="FFFFFF"/>
              </w:rPr>
              <w:t>Item</w:t>
            </w:r>
          </w:p>
        </w:tc>
        <w:tc>
          <w:tcPr>
            <w:tcW w:w="100" w:type="dxa"/>
            <w:vAlign w:val="bottom"/>
            <w:shd w:val="clear" w:color="auto" w:fill="998C87"/>
          </w:tcPr>
          <w:p>
            <w:pPr>
              <w:spacing w:after="0"/>
              <w:rPr>
                <w:sz w:val="18"/>
                <w:szCs w:val="18"/>
                <w:color w:val="auto"/>
              </w:rPr>
            </w:pPr>
          </w:p>
        </w:tc>
        <w:tc>
          <w:tcPr>
            <w:tcW w:w="132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recommends</w:t>
            </w:r>
          </w:p>
        </w:tc>
        <w:tc>
          <w:tcPr>
            <w:tcW w:w="6440" w:type="dxa"/>
            <w:vAlign w:val="bottom"/>
            <w:shd w:val="clear" w:color="auto" w:fill="998C87"/>
          </w:tcPr>
          <w:p>
            <w:pPr>
              <w:ind w:left="2520"/>
              <w:spacing w:after="0"/>
              <w:rPr>
                <w:sz w:val="20"/>
                <w:szCs w:val="20"/>
                <w:color w:val="auto"/>
              </w:rPr>
            </w:pPr>
            <w:r>
              <w:rPr>
                <w:rFonts w:ascii="Arial" w:cs="Arial" w:eastAsia="Arial" w:hAnsi="Arial"/>
                <w:sz w:val="16"/>
                <w:szCs w:val="16"/>
                <w:b w:val="1"/>
                <w:bCs w:val="1"/>
                <w:color w:val="FFFFFF"/>
              </w:rPr>
              <w:t>recommendation</w:t>
            </w:r>
          </w:p>
        </w:tc>
        <w:tc>
          <w:tcPr>
            <w:tcW w:w="4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page</w:t>
            </w:r>
          </w:p>
        </w:tc>
        <w:tc>
          <w:tcPr>
            <w:tcW w:w="0" w:type="dxa"/>
            <w:vAlign w:val="bottom"/>
          </w:tcPr>
          <w:p>
            <w:pPr>
              <w:spacing w:after="0"/>
              <w:rPr>
                <w:sz w:val="1"/>
                <w:szCs w:val="1"/>
                <w:color w:val="auto"/>
              </w:rPr>
            </w:pPr>
          </w:p>
        </w:tc>
      </w:tr>
      <w:tr>
        <w:trPr>
          <w:trHeight w:val="161"/>
        </w:trPr>
        <w:tc>
          <w:tcPr>
            <w:tcW w:w="280" w:type="dxa"/>
            <w:vAlign w:val="bottom"/>
            <w:shd w:val="clear" w:color="auto" w:fill="F4F3F3"/>
          </w:tcPr>
          <w:p>
            <w:pPr>
              <w:spacing w:after="0"/>
              <w:rPr>
                <w:sz w:val="13"/>
                <w:szCs w:val="13"/>
                <w:color w:val="auto"/>
              </w:rPr>
            </w:pPr>
          </w:p>
        </w:tc>
        <w:tc>
          <w:tcPr>
            <w:tcW w:w="120" w:type="dxa"/>
            <w:vAlign w:val="bottom"/>
            <w:shd w:val="clear" w:color="auto" w:fill="F4F3F3"/>
          </w:tcPr>
          <w:p>
            <w:pPr>
              <w:spacing w:after="0"/>
              <w:rPr>
                <w:sz w:val="13"/>
                <w:szCs w:val="13"/>
                <w:color w:val="auto"/>
              </w:rPr>
            </w:pPr>
          </w:p>
        </w:tc>
        <w:tc>
          <w:tcPr>
            <w:tcW w:w="2300" w:type="dxa"/>
            <w:vAlign w:val="bottom"/>
            <w:shd w:val="clear" w:color="auto" w:fill="F4F3F3"/>
          </w:tcPr>
          <w:p>
            <w:pPr>
              <w:spacing w:after="0"/>
              <w:rPr>
                <w:sz w:val="13"/>
                <w:szCs w:val="13"/>
                <w:color w:val="auto"/>
              </w:rPr>
            </w:pPr>
          </w:p>
        </w:tc>
        <w:tc>
          <w:tcPr>
            <w:tcW w:w="100" w:type="dxa"/>
            <w:vAlign w:val="bottom"/>
            <w:shd w:val="clear" w:color="auto" w:fill="F4F3F3"/>
          </w:tcPr>
          <w:p>
            <w:pPr>
              <w:spacing w:after="0"/>
              <w:rPr>
                <w:sz w:val="13"/>
                <w:szCs w:val="13"/>
                <w:color w:val="auto"/>
              </w:rPr>
            </w:pPr>
          </w:p>
        </w:tc>
        <w:tc>
          <w:tcPr>
            <w:tcW w:w="1320" w:type="dxa"/>
            <w:vAlign w:val="bottom"/>
            <w:vMerge w:val="restart"/>
            <w:shd w:val="clear" w:color="auto" w:fill="F4F3F3"/>
          </w:tcPr>
          <w:p>
            <w:pPr>
              <w:jc w:val="center"/>
              <w:spacing w:after="0" w:line="221" w:lineRule="exact"/>
              <w:rPr>
                <w:sz w:val="20"/>
                <w:szCs w:val="20"/>
                <w:color w:val="auto"/>
              </w:rPr>
            </w:pPr>
            <w:r>
              <w:rPr>
                <w:rFonts w:ascii="MS PGothic" w:cs="MS PGothic" w:eastAsia="MS PGothic" w:hAnsi="MS PGothic"/>
                <w:sz w:val="22"/>
                <w:szCs w:val="22"/>
                <w:color w:val="998C87"/>
                <w:w w:val="90"/>
              </w:rPr>
              <w:t>✓</w:t>
            </w:r>
          </w:p>
        </w:tc>
        <w:tc>
          <w:tcPr>
            <w:tcW w:w="6440" w:type="dxa"/>
            <w:vAlign w:val="bottom"/>
            <w:shd w:val="clear" w:color="auto" w:fill="F4F3F3"/>
          </w:tcPr>
          <w:p>
            <w:pPr>
              <w:ind w:left="100"/>
              <w:spacing w:after="0" w:line="161" w:lineRule="exact"/>
              <w:rPr>
                <w:sz w:val="20"/>
                <w:szCs w:val="20"/>
                <w:color w:val="auto"/>
              </w:rPr>
            </w:pPr>
            <w:r>
              <w:rPr>
                <w:rFonts w:ascii="Arial" w:cs="Arial" w:eastAsia="Arial" w:hAnsi="Arial"/>
                <w:sz w:val="17"/>
                <w:szCs w:val="17"/>
                <w:color w:val="auto"/>
              </w:rPr>
              <w:t>The Board and its Nominating and Corporate Governance Committee believe the</w:t>
            </w:r>
          </w:p>
        </w:tc>
        <w:tc>
          <w:tcPr>
            <w:tcW w:w="440" w:type="dxa"/>
            <w:vAlign w:val="bottom"/>
            <w:shd w:val="clear" w:color="auto" w:fill="F4F3F3"/>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80" w:type="dxa"/>
            <w:vAlign w:val="bottom"/>
            <w:vMerge w:val="restart"/>
            <w:shd w:val="clear" w:color="auto" w:fill="F4F3F3"/>
          </w:tcPr>
          <w:p>
            <w:pPr>
              <w:ind w:left="80"/>
              <w:spacing w:after="0"/>
              <w:rPr>
                <w:sz w:val="20"/>
                <w:szCs w:val="20"/>
                <w:color w:val="auto"/>
              </w:rPr>
            </w:pPr>
            <w:r>
              <w:rPr>
                <w:rFonts w:ascii="Arial" w:cs="Arial" w:eastAsia="Arial" w:hAnsi="Arial"/>
                <w:sz w:val="17"/>
                <w:szCs w:val="17"/>
                <w:color w:val="auto"/>
              </w:rPr>
              <w:t>1.</w:t>
            </w:r>
          </w:p>
        </w:tc>
        <w:tc>
          <w:tcPr>
            <w:tcW w:w="120" w:type="dxa"/>
            <w:vAlign w:val="bottom"/>
            <w:shd w:val="clear" w:color="auto" w:fill="F4F3F3"/>
          </w:tcPr>
          <w:p>
            <w:pPr>
              <w:spacing w:after="0"/>
              <w:rPr>
                <w:sz w:val="16"/>
                <w:szCs w:val="16"/>
                <w:color w:val="auto"/>
              </w:rPr>
            </w:pPr>
          </w:p>
        </w:tc>
        <w:tc>
          <w:tcPr>
            <w:tcW w:w="2300" w:type="dxa"/>
            <w:vAlign w:val="bottom"/>
            <w:vMerge w:val="restart"/>
            <w:shd w:val="clear" w:color="auto" w:fill="F4F3F3"/>
          </w:tcPr>
          <w:p>
            <w:pPr>
              <w:spacing w:after="0"/>
              <w:rPr>
                <w:sz w:val="20"/>
                <w:szCs w:val="20"/>
                <w:color w:val="auto"/>
              </w:rPr>
            </w:pPr>
            <w:r>
              <w:rPr>
                <w:rFonts w:ascii="Arial" w:cs="Arial" w:eastAsia="Arial" w:hAnsi="Arial"/>
                <w:sz w:val="17"/>
                <w:szCs w:val="17"/>
                <w:color w:val="auto"/>
              </w:rPr>
              <w:t>Election of Directors</w:t>
            </w:r>
          </w:p>
        </w:tc>
        <w:tc>
          <w:tcPr>
            <w:tcW w:w="100" w:type="dxa"/>
            <w:vAlign w:val="bottom"/>
            <w:shd w:val="clear" w:color="auto" w:fill="F4F3F3"/>
          </w:tcPr>
          <w:p>
            <w:pPr>
              <w:spacing w:after="0"/>
              <w:rPr>
                <w:sz w:val="16"/>
                <w:szCs w:val="16"/>
                <w:color w:val="auto"/>
              </w:rPr>
            </w:pPr>
          </w:p>
        </w:tc>
        <w:tc>
          <w:tcPr>
            <w:tcW w:w="1320" w:type="dxa"/>
            <w:vAlign w:val="bottom"/>
            <w:vMerge w:val="continue"/>
            <w:shd w:val="clear" w:color="auto" w:fill="F4F3F3"/>
          </w:tcPr>
          <w:p>
            <w:pPr>
              <w:spacing w:after="0"/>
              <w:rPr>
                <w:sz w:val="16"/>
                <w:szCs w:val="16"/>
                <w:color w:val="auto"/>
              </w:rPr>
            </w:pPr>
          </w:p>
        </w:tc>
        <w:tc>
          <w:tcPr>
            <w:tcW w:w="6440" w:type="dxa"/>
            <w:vAlign w:val="bottom"/>
            <w:shd w:val="clear" w:color="auto" w:fill="F4F3F3"/>
          </w:tcPr>
          <w:p>
            <w:pPr>
              <w:ind w:left="100"/>
              <w:spacing w:after="0" w:line="189" w:lineRule="exact"/>
              <w:rPr>
                <w:sz w:val="20"/>
                <w:szCs w:val="20"/>
                <w:color w:val="auto"/>
              </w:rPr>
            </w:pPr>
            <w:r>
              <w:rPr>
                <w:rFonts w:ascii="Arial" w:cs="Arial" w:eastAsia="Arial" w:hAnsi="Arial"/>
                <w:sz w:val="17"/>
                <w:szCs w:val="17"/>
                <w:color w:val="auto"/>
              </w:rPr>
              <w:t>14 Board nominees possess the skills, experience, and background to effectively</w:t>
            </w:r>
          </w:p>
        </w:tc>
        <w:tc>
          <w:tcPr>
            <w:tcW w:w="440" w:type="dxa"/>
            <w:vAlign w:val="bottom"/>
            <w:vMerge w:val="restart"/>
            <w:shd w:val="clear" w:color="auto" w:fill="F4F3F3"/>
          </w:tcPr>
          <w:p>
            <w:pPr>
              <w:jc w:val="center"/>
              <w:spacing w:after="0"/>
              <w:rPr>
                <w:sz w:val="20"/>
                <w:szCs w:val="20"/>
                <w:color w:val="auto"/>
              </w:rPr>
            </w:pPr>
            <w:r>
              <w:rPr>
                <w:rFonts w:ascii="Arial" w:cs="Arial" w:eastAsia="Arial" w:hAnsi="Arial"/>
                <w:sz w:val="17"/>
                <w:szCs w:val="17"/>
                <w:b w:val="1"/>
                <w:bCs w:val="1"/>
                <w:color w:val="auto"/>
                <w:w w:val="84"/>
              </w:rPr>
              <w:t>8</w:t>
            </w:r>
          </w:p>
        </w:tc>
        <w:tc>
          <w:tcPr>
            <w:tcW w:w="0" w:type="dxa"/>
            <w:vAlign w:val="bottom"/>
          </w:tcPr>
          <w:p>
            <w:pPr>
              <w:spacing w:after="0"/>
              <w:rPr>
                <w:sz w:val="1"/>
                <w:szCs w:val="1"/>
                <w:color w:val="auto"/>
              </w:rPr>
            </w:pPr>
          </w:p>
        </w:tc>
      </w:tr>
      <w:tr>
        <w:trPr>
          <w:trHeight w:val="109"/>
        </w:trPr>
        <w:tc>
          <w:tcPr>
            <w:tcW w:w="280" w:type="dxa"/>
            <w:vAlign w:val="bottom"/>
            <w:vMerge w:val="continue"/>
            <w:shd w:val="clear" w:color="auto" w:fill="F4F3F3"/>
          </w:tcPr>
          <w:p>
            <w:pPr>
              <w:spacing w:after="0"/>
              <w:rPr>
                <w:sz w:val="9"/>
                <w:szCs w:val="9"/>
                <w:color w:val="auto"/>
              </w:rPr>
            </w:pPr>
          </w:p>
        </w:tc>
        <w:tc>
          <w:tcPr>
            <w:tcW w:w="120" w:type="dxa"/>
            <w:vAlign w:val="bottom"/>
            <w:shd w:val="clear" w:color="auto" w:fill="F4F3F3"/>
          </w:tcPr>
          <w:p>
            <w:pPr>
              <w:spacing w:after="0"/>
              <w:rPr>
                <w:sz w:val="9"/>
                <w:szCs w:val="9"/>
                <w:color w:val="auto"/>
              </w:rPr>
            </w:pPr>
          </w:p>
        </w:tc>
        <w:tc>
          <w:tcPr>
            <w:tcW w:w="2300" w:type="dxa"/>
            <w:vAlign w:val="bottom"/>
            <w:vMerge w:val="continue"/>
            <w:shd w:val="clear" w:color="auto" w:fill="F4F3F3"/>
          </w:tcPr>
          <w:p>
            <w:pPr>
              <w:spacing w:after="0"/>
              <w:rPr>
                <w:sz w:val="9"/>
                <w:szCs w:val="9"/>
                <w:color w:val="auto"/>
              </w:rPr>
            </w:pPr>
          </w:p>
        </w:tc>
        <w:tc>
          <w:tcPr>
            <w:tcW w:w="100" w:type="dxa"/>
            <w:vAlign w:val="bottom"/>
            <w:shd w:val="clear" w:color="auto" w:fill="F4F3F3"/>
          </w:tcPr>
          <w:p>
            <w:pPr>
              <w:spacing w:after="0"/>
              <w:rPr>
                <w:sz w:val="9"/>
                <w:szCs w:val="9"/>
                <w:color w:val="auto"/>
              </w:rPr>
            </w:pPr>
          </w:p>
        </w:tc>
        <w:tc>
          <w:tcPr>
            <w:tcW w:w="1320" w:type="dxa"/>
            <w:vAlign w:val="bottom"/>
            <w:vMerge w:val="continue"/>
            <w:shd w:val="clear" w:color="auto" w:fill="F4F3F3"/>
          </w:tcPr>
          <w:p>
            <w:pPr>
              <w:spacing w:after="0"/>
              <w:rPr>
                <w:sz w:val="9"/>
                <w:szCs w:val="9"/>
                <w:color w:val="auto"/>
              </w:rPr>
            </w:pPr>
          </w:p>
        </w:tc>
        <w:tc>
          <w:tcPr>
            <w:tcW w:w="6440" w:type="dxa"/>
            <w:vAlign w:val="bottom"/>
            <w:vMerge w:val="restart"/>
            <w:shd w:val="clear" w:color="auto" w:fill="F4F3F3"/>
          </w:tcPr>
          <w:p>
            <w:pPr>
              <w:ind w:left="100"/>
              <w:spacing w:after="0"/>
              <w:rPr>
                <w:sz w:val="20"/>
                <w:szCs w:val="20"/>
                <w:color w:val="auto"/>
              </w:rPr>
            </w:pPr>
            <w:r>
              <w:rPr>
                <w:rFonts w:ascii="Arial" w:cs="Arial" w:eastAsia="Arial" w:hAnsi="Arial"/>
                <w:sz w:val="17"/>
                <w:szCs w:val="17"/>
                <w:color w:val="auto"/>
              </w:rPr>
              <w:t>monitor performance, provide oversight, and advise management on the</w:t>
            </w:r>
          </w:p>
        </w:tc>
        <w:tc>
          <w:tcPr>
            <w:tcW w:w="440" w:type="dxa"/>
            <w:vAlign w:val="bottom"/>
            <w:vMerge w:val="continue"/>
            <w:shd w:val="clear" w:color="auto" w:fill="F4F3F3"/>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80" w:type="dxa"/>
            <w:vAlign w:val="bottom"/>
            <w:shd w:val="clear" w:color="auto" w:fill="F4F3F3"/>
          </w:tcPr>
          <w:p>
            <w:pPr>
              <w:spacing w:after="0"/>
              <w:rPr>
                <w:sz w:val="8"/>
                <w:szCs w:val="8"/>
                <w:color w:val="auto"/>
              </w:rPr>
            </w:pPr>
          </w:p>
        </w:tc>
        <w:tc>
          <w:tcPr>
            <w:tcW w:w="120" w:type="dxa"/>
            <w:vAlign w:val="bottom"/>
            <w:shd w:val="clear" w:color="auto" w:fill="F4F3F3"/>
          </w:tcPr>
          <w:p>
            <w:pPr>
              <w:spacing w:after="0"/>
              <w:rPr>
                <w:sz w:val="8"/>
                <w:szCs w:val="8"/>
                <w:color w:val="auto"/>
              </w:rPr>
            </w:pPr>
          </w:p>
        </w:tc>
        <w:tc>
          <w:tcPr>
            <w:tcW w:w="2300" w:type="dxa"/>
            <w:vAlign w:val="bottom"/>
            <w:shd w:val="clear" w:color="auto" w:fill="F4F3F3"/>
          </w:tcPr>
          <w:p>
            <w:pPr>
              <w:spacing w:after="0"/>
              <w:rPr>
                <w:sz w:val="8"/>
                <w:szCs w:val="8"/>
                <w:color w:val="auto"/>
              </w:rPr>
            </w:pPr>
          </w:p>
        </w:tc>
        <w:tc>
          <w:tcPr>
            <w:tcW w:w="100" w:type="dxa"/>
            <w:vAlign w:val="bottom"/>
            <w:shd w:val="clear" w:color="auto" w:fill="F4F3F3"/>
          </w:tcPr>
          <w:p>
            <w:pPr>
              <w:spacing w:after="0"/>
              <w:rPr>
                <w:sz w:val="8"/>
                <w:szCs w:val="8"/>
                <w:color w:val="auto"/>
              </w:rPr>
            </w:pPr>
          </w:p>
        </w:tc>
        <w:tc>
          <w:tcPr>
            <w:tcW w:w="1320" w:type="dxa"/>
            <w:vAlign w:val="bottom"/>
            <w:shd w:val="clear" w:color="auto" w:fill="F4F3F3"/>
          </w:tcPr>
          <w:p>
            <w:pPr>
              <w:jc w:val="center"/>
              <w:spacing w:after="0" w:line="102" w:lineRule="exact"/>
              <w:rPr>
                <w:sz w:val="20"/>
                <w:szCs w:val="20"/>
                <w:color w:val="auto"/>
              </w:rPr>
            </w:pPr>
            <w:r>
              <w:rPr>
                <w:rFonts w:ascii="Arial" w:cs="Arial" w:eastAsia="Arial" w:hAnsi="Arial"/>
                <w:sz w:val="11"/>
                <w:szCs w:val="11"/>
                <w:b w:val="1"/>
                <w:bCs w:val="1"/>
                <w:color w:val="998C87"/>
              </w:rPr>
              <w:t>FOR</w:t>
            </w:r>
          </w:p>
        </w:tc>
        <w:tc>
          <w:tcPr>
            <w:tcW w:w="6440" w:type="dxa"/>
            <w:vAlign w:val="bottom"/>
            <w:vMerge w:val="continue"/>
            <w:shd w:val="clear" w:color="auto" w:fill="F4F3F3"/>
          </w:tcPr>
          <w:p>
            <w:pPr>
              <w:spacing w:after="0"/>
              <w:rPr>
                <w:sz w:val="8"/>
                <w:szCs w:val="8"/>
                <w:color w:val="auto"/>
              </w:rPr>
            </w:pPr>
          </w:p>
        </w:tc>
        <w:tc>
          <w:tcPr>
            <w:tcW w:w="440" w:type="dxa"/>
            <w:vAlign w:val="bottom"/>
            <w:shd w:val="clear" w:color="auto" w:fill="F4F3F3"/>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280" w:type="dxa"/>
            <w:vAlign w:val="bottom"/>
            <w:shd w:val="clear" w:color="auto" w:fill="F4F3F3"/>
          </w:tcPr>
          <w:p>
            <w:pPr>
              <w:spacing w:after="0"/>
              <w:rPr>
                <w:sz w:val="20"/>
                <w:szCs w:val="20"/>
                <w:color w:val="auto"/>
              </w:rPr>
            </w:pPr>
          </w:p>
        </w:tc>
        <w:tc>
          <w:tcPr>
            <w:tcW w:w="120" w:type="dxa"/>
            <w:vAlign w:val="bottom"/>
            <w:shd w:val="clear" w:color="auto" w:fill="F4F3F3"/>
          </w:tcPr>
          <w:p>
            <w:pPr>
              <w:spacing w:after="0"/>
              <w:rPr>
                <w:sz w:val="20"/>
                <w:szCs w:val="20"/>
                <w:color w:val="auto"/>
              </w:rPr>
            </w:pPr>
          </w:p>
        </w:tc>
        <w:tc>
          <w:tcPr>
            <w:tcW w:w="2300" w:type="dxa"/>
            <w:vAlign w:val="bottom"/>
            <w:shd w:val="clear" w:color="auto" w:fill="F4F3F3"/>
          </w:tcPr>
          <w:p>
            <w:pPr>
              <w:spacing w:after="0"/>
              <w:rPr>
                <w:sz w:val="20"/>
                <w:szCs w:val="20"/>
                <w:color w:val="auto"/>
              </w:rPr>
            </w:pPr>
          </w:p>
        </w:tc>
        <w:tc>
          <w:tcPr>
            <w:tcW w:w="100" w:type="dxa"/>
            <w:vAlign w:val="bottom"/>
            <w:shd w:val="clear" w:color="auto" w:fill="F4F3F3"/>
          </w:tcPr>
          <w:p>
            <w:pPr>
              <w:spacing w:after="0"/>
              <w:rPr>
                <w:sz w:val="20"/>
                <w:szCs w:val="20"/>
                <w:color w:val="auto"/>
              </w:rPr>
            </w:pPr>
          </w:p>
        </w:tc>
        <w:tc>
          <w:tcPr>
            <w:tcW w:w="1320" w:type="dxa"/>
            <w:vAlign w:val="bottom"/>
            <w:shd w:val="clear" w:color="auto" w:fill="F4F3F3"/>
          </w:tcPr>
          <w:p>
            <w:pPr>
              <w:spacing w:after="0"/>
              <w:rPr>
                <w:sz w:val="20"/>
                <w:szCs w:val="20"/>
                <w:color w:val="auto"/>
              </w:rPr>
            </w:pPr>
          </w:p>
        </w:tc>
        <w:tc>
          <w:tcPr>
            <w:tcW w:w="6440" w:type="dxa"/>
            <w:vAlign w:val="bottom"/>
            <w:shd w:val="clear" w:color="auto" w:fill="F4F3F3"/>
          </w:tcPr>
          <w:p>
            <w:pPr>
              <w:ind w:left="100"/>
              <w:spacing w:after="0"/>
              <w:rPr>
                <w:sz w:val="20"/>
                <w:szCs w:val="20"/>
                <w:color w:val="auto"/>
              </w:rPr>
            </w:pPr>
            <w:r>
              <w:rPr>
                <w:rFonts w:ascii="Arial" w:cs="Arial" w:eastAsia="Arial" w:hAnsi="Arial"/>
                <w:sz w:val="17"/>
                <w:szCs w:val="17"/>
                <w:color w:val="auto"/>
              </w:rPr>
              <w:t>Company’s long-term strategy.</w:t>
            </w:r>
          </w:p>
        </w:tc>
        <w:tc>
          <w:tcPr>
            <w:tcW w:w="440" w:type="dxa"/>
            <w:vAlign w:val="bottom"/>
            <w:shd w:val="clear" w:color="auto" w:fill="F4F3F3"/>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80" w:type="dxa"/>
            <w:vAlign w:val="bottom"/>
            <w:shd w:val="clear" w:color="auto" w:fill="F4F3F3"/>
          </w:tcPr>
          <w:p>
            <w:pPr>
              <w:ind w:left="80"/>
              <w:spacing w:after="0"/>
              <w:rPr>
                <w:sz w:val="20"/>
                <w:szCs w:val="20"/>
                <w:color w:val="auto"/>
              </w:rPr>
            </w:pPr>
            <w:r>
              <w:rPr>
                <w:rFonts w:ascii="Arial" w:cs="Arial" w:eastAsia="Arial" w:hAnsi="Arial"/>
                <w:sz w:val="17"/>
                <w:szCs w:val="17"/>
                <w:color w:val="auto"/>
              </w:rPr>
              <w:t>2.</w:t>
            </w:r>
          </w:p>
        </w:tc>
        <w:tc>
          <w:tcPr>
            <w:tcW w:w="120" w:type="dxa"/>
            <w:vAlign w:val="bottom"/>
            <w:shd w:val="clear" w:color="auto" w:fill="F4F3F3"/>
          </w:tcPr>
          <w:p>
            <w:pPr>
              <w:spacing w:after="0"/>
              <w:rPr>
                <w:sz w:val="19"/>
                <w:szCs w:val="19"/>
                <w:color w:val="auto"/>
              </w:rPr>
            </w:pPr>
          </w:p>
        </w:tc>
        <w:tc>
          <w:tcPr>
            <w:tcW w:w="2300" w:type="dxa"/>
            <w:vAlign w:val="bottom"/>
            <w:shd w:val="clear" w:color="auto" w:fill="F4F3F3"/>
          </w:tcPr>
          <w:p>
            <w:pPr>
              <w:spacing w:after="0"/>
              <w:rPr>
                <w:sz w:val="20"/>
                <w:szCs w:val="20"/>
                <w:color w:val="auto"/>
              </w:rPr>
            </w:pPr>
            <w:r>
              <w:rPr>
                <w:rFonts w:ascii="Arial" w:cs="Arial" w:eastAsia="Arial" w:hAnsi="Arial"/>
                <w:sz w:val="17"/>
                <w:szCs w:val="17"/>
                <w:color w:val="auto"/>
              </w:rPr>
              <w:t>Ratification of appointment of</w:t>
            </w:r>
          </w:p>
        </w:tc>
        <w:tc>
          <w:tcPr>
            <w:tcW w:w="100" w:type="dxa"/>
            <w:vAlign w:val="bottom"/>
            <w:shd w:val="clear" w:color="auto" w:fill="F4F3F3"/>
          </w:tcPr>
          <w:p>
            <w:pPr>
              <w:spacing w:after="0"/>
              <w:rPr>
                <w:sz w:val="19"/>
                <w:szCs w:val="19"/>
                <w:color w:val="auto"/>
              </w:rPr>
            </w:pPr>
          </w:p>
        </w:tc>
        <w:tc>
          <w:tcPr>
            <w:tcW w:w="1320" w:type="dxa"/>
            <w:vAlign w:val="bottom"/>
            <w:shd w:val="clear" w:color="auto" w:fill="F4F3F3"/>
          </w:tcPr>
          <w:p>
            <w:pPr>
              <w:jc w:val="center"/>
              <w:spacing w:after="0" w:line="221" w:lineRule="exact"/>
              <w:rPr>
                <w:sz w:val="20"/>
                <w:szCs w:val="20"/>
                <w:color w:val="auto"/>
              </w:rPr>
            </w:pPr>
            <w:r>
              <w:rPr>
                <w:rFonts w:ascii="MS PGothic" w:cs="MS PGothic" w:eastAsia="MS PGothic" w:hAnsi="MS PGothic"/>
                <w:sz w:val="22"/>
                <w:szCs w:val="22"/>
                <w:color w:val="998C87"/>
                <w:w w:val="90"/>
              </w:rPr>
              <w:t>✓</w:t>
            </w:r>
          </w:p>
        </w:tc>
        <w:tc>
          <w:tcPr>
            <w:tcW w:w="6440" w:type="dxa"/>
            <w:vAlign w:val="bottom"/>
            <w:shd w:val="clear" w:color="auto" w:fill="F4F3F3"/>
          </w:tcPr>
          <w:p>
            <w:pPr>
              <w:ind w:left="100"/>
              <w:spacing w:after="0"/>
              <w:rPr>
                <w:sz w:val="20"/>
                <w:szCs w:val="20"/>
                <w:color w:val="auto"/>
              </w:rPr>
            </w:pPr>
            <w:r>
              <w:rPr>
                <w:rFonts w:ascii="Arial" w:cs="Arial" w:eastAsia="Arial" w:hAnsi="Arial"/>
                <w:sz w:val="17"/>
                <w:szCs w:val="17"/>
                <w:color w:val="auto"/>
              </w:rPr>
              <w:t>Based on the Audit Committee’s assessment of Ernst &amp; Young LLP’s</w:t>
            </w:r>
          </w:p>
        </w:tc>
        <w:tc>
          <w:tcPr>
            <w:tcW w:w="440" w:type="dxa"/>
            <w:vAlign w:val="bottom"/>
            <w:shd w:val="clear" w:color="auto" w:fill="F4F3F3"/>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80" w:type="dxa"/>
            <w:vAlign w:val="bottom"/>
            <w:shd w:val="clear" w:color="auto" w:fill="F4F3F3"/>
          </w:tcPr>
          <w:p>
            <w:pPr>
              <w:spacing w:after="0"/>
              <w:rPr>
                <w:sz w:val="16"/>
                <w:szCs w:val="16"/>
                <w:color w:val="auto"/>
              </w:rPr>
            </w:pPr>
          </w:p>
        </w:tc>
        <w:tc>
          <w:tcPr>
            <w:tcW w:w="120" w:type="dxa"/>
            <w:vAlign w:val="bottom"/>
            <w:shd w:val="clear" w:color="auto" w:fill="F4F3F3"/>
          </w:tcPr>
          <w:p>
            <w:pPr>
              <w:spacing w:after="0"/>
              <w:rPr>
                <w:sz w:val="16"/>
                <w:szCs w:val="16"/>
                <w:color w:val="auto"/>
              </w:rPr>
            </w:pPr>
          </w:p>
        </w:tc>
        <w:tc>
          <w:tcPr>
            <w:tcW w:w="2300" w:type="dxa"/>
            <w:vAlign w:val="bottom"/>
            <w:shd w:val="clear" w:color="auto" w:fill="F4F3F3"/>
          </w:tcPr>
          <w:p>
            <w:pPr>
              <w:spacing w:after="0" w:line="189" w:lineRule="exact"/>
              <w:rPr>
                <w:sz w:val="20"/>
                <w:szCs w:val="20"/>
                <w:color w:val="auto"/>
              </w:rPr>
            </w:pPr>
            <w:r>
              <w:rPr>
                <w:rFonts w:ascii="Arial" w:cs="Arial" w:eastAsia="Arial" w:hAnsi="Arial"/>
                <w:sz w:val="17"/>
                <w:szCs w:val="17"/>
                <w:color w:val="auto"/>
              </w:rPr>
              <w:t>independent registered public</w:t>
            </w:r>
          </w:p>
        </w:tc>
        <w:tc>
          <w:tcPr>
            <w:tcW w:w="100" w:type="dxa"/>
            <w:vAlign w:val="bottom"/>
            <w:shd w:val="clear" w:color="auto" w:fill="F4F3F3"/>
          </w:tcPr>
          <w:p>
            <w:pPr>
              <w:spacing w:after="0"/>
              <w:rPr>
                <w:sz w:val="16"/>
                <w:szCs w:val="16"/>
                <w:color w:val="auto"/>
              </w:rPr>
            </w:pPr>
          </w:p>
        </w:tc>
        <w:tc>
          <w:tcPr>
            <w:tcW w:w="1320" w:type="dxa"/>
            <w:vAlign w:val="bottom"/>
            <w:shd w:val="clear" w:color="auto" w:fill="F4F3F3"/>
          </w:tcPr>
          <w:p>
            <w:pPr>
              <w:jc w:val="center"/>
              <w:spacing w:after="0" w:line="189" w:lineRule="exact"/>
              <w:rPr>
                <w:sz w:val="20"/>
                <w:szCs w:val="20"/>
                <w:color w:val="auto"/>
              </w:rPr>
            </w:pPr>
            <w:r>
              <w:rPr>
                <w:rFonts w:ascii="Arial" w:cs="Arial" w:eastAsia="Arial" w:hAnsi="Arial"/>
                <w:sz w:val="17"/>
                <w:szCs w:val="17"/>
                <w:b w:val="1"/>
                <w:bCs w:val="1"/>
                <w:color w:val="998C87"/>
              </w:rPr>
              <w:t>FOR</w:t>
            </w:r>
          </w:p>
        </w:tc>
        <w:tc>
          <w:tcPr>
            <w:tcW w:w="6440" w:type="dxa"/>
            <w:vAlign w:val="bottom"/>
            <w:shd w:val="clear" w:color="auto" w:fill="F4F3F3"/>
          </w:tcPr>
          <w:p>
            <w:pPr>
              <w:ind w:left="100"/>
              <w:spacing w:after="0" w:line="189" w:lineRule="exact"/>
              <w:rPr>
                <w:sz w:val="20"/>
                <w:szCs w:val="20"/>
                <w:color w:val="auto"/>
              </w:rPr>
            </w:pPr>
            <w:r>
              <w:rPr>
                <w:rFonts w:ascii="Arial" w:cs="Arial" w:eastAsia="Arial" w:hAnsi="Arial"/>
                <w:sz w:val="17"/>
                <w:szCs w:val="17"/>
                <w:color w:val="auto"/>
              </w:rPr>
              <w:t>qualifications and performance, the Board believes their retention for fiscal year</w:t>
            </w:r>
          </w:p>
        </w:tc>
        <w:tc>
          <w:tcPr>
            <w:tcW w:w="440" w:type="dxa"/>
            <w:vAlign w:val="bottom"/>
            <w:shd w:val="clear" w:color="auto" w:fill="F4F3F3"/>
          </w:tcPr>
          <w:p>
            <w:pPr>
              <w:jc w:val="center"/>
              <w:spacing w:after="0" w:line="189" w:lineRule="exact"/>
              <w:rPr>
                <w:sz w:val="20"/>
                <w:szCs w:val="20"/>
                <w:color w:val="auto"/>
              </w:rPr>
            </w:pPr>
            <w:r>
              <w:rPr>
                <w:rFonts w:ascii="Arial" w:cs="Arial" w:eastAsia="Arial" w:hAnsi="Arial"/>
                <w:sz w:val="17"/>
                <w:szCs w:val="17"/>
                <w:color w:val="auto"/>
                <w:w w:val="84"/>
              </w:rPr>
              <w:t>8</w:t>
            </w:r>
          </w:p>
        </w:tc>
        <w:tc>
          <w:tcPr>
            <w:tcW w:w="0" w:type="dxa"/>
            <w:vAlign w:val="bottom"/>
          </w:tcPr>
          <w:p>
            <w:pPr>
              <w:spacing w:after="0"/>
              <w:rPr>
                <w:sz w:val="1"/>
                <w:szCs w:val="1"/>
                <w:color w:val="auto"/>
              </w:rPr>
            </w:pPr>
          </w:p>
        </w:tc>
      </w:tr>
      <w:tr>
        <w:trPr>
          <w:trHeight w:val="231"/>
        </w:trPr>
        <w:tc>
          <w:tcPr>
            <w:tcW w:w="280" w:type="dxa"/>
            <w:vAlign w:val="bottom"/>
            <w:shd w:val="clear" w:color="auto" w:fill="F4F3F3"/>
          </w:tcPr>
          <w:p>
            <w:pPr>
              <w:spacing w:after="0"/>
              <w:rPr>
                <w:sz w:val="20"/>
                <w:szCs w:val="20"/>
                <w:color w:val="auto"/>
              </w:rPr>
            </w:pPr>
          </w:p>
        </w:tc>
        <w:tc>
          <w:tcPr>
            <w:tcW w:w="120" w:type="dxa"/>
            <w:vAlign w:val="bottom"/>
            <w:shd w:val="clear" w:color="auto" w:fill="F4F3F3"/>
          </w:tcPr>
          <w:p>
            <w:pPr>
              <w:spacing w:after="0"/>
              <w:rPr>
                <w:sz w:val="20"/>
                <w:szCs w:val="20"/>
                <w:color w:val="auto"/>
              </w:rPr>
            </w:pPr>
          </w:p>
        </w:tc>
        <w:tc>
          <w:tcPr>
            <w:tcW w:w="2300" w:type="dxa"/>
            <w:vAlign w:val="bottom"/>
            <w:shd w:val="clear" w:color="auto" w:fill="F4F3F3"/>
          </w:tcPr>
          <w:p>
            <w:pPr>
              <w:spacing w:after="0"/>
              <w:rPr>
                <w:sz w:val="20"/>
                <w:szCs w:val="20"/>
                <w:color w:val="auto"/>
              </w:rPr>
            </w:pPr>
            <w:r>
              <w:rPr>
                <w:rFonts w:ascii="Arial" w:cs="Arial" w:eastAsia="Arial" w:hAnsi="Arial"/>
                <w:sz w:val="17"/>
                <w:szCs w:val="17"/>
                <w:color w:val="auto"/>
              </w:rPr>
              <w:t>accounting firm</w:t>
            </w:r>
          </w:p>
        </w:tc>
        <w:tc>
          <w:tcPr>
            <w:tcW w:w="100" w:type="dxa"/>
            <w:vAlign w:val="bottom"/>
            <w:shd w:val="clear" w:color="auto" w:fill="F4F3F3"/>
          </w:tcPr>
          <w:p>
            <w:pPr>
              <w:spacing w:after="0"/>
              <w:rPr>
                <w:sz w:val="20"/>
                <w:szCs w:val="20"/>
                <w:color w:val="auto"/>
              </w:rPr>
            </w:pPr>
          </w:p>
        </w:tc>
        <w:tc>
          <w:tcPr>
            <w:tcW w:w="1320" w:type="dxa"/>
            <w:vAlign w:val="bottom"/>
            <w:shd w:val="clear" w:color="auto" w:fill="F4F3F3"/>
          </w:tcPr>
          <w:p>
            <w:pPr>
              <w:spacing w:after="0"/>
              <w:rPr>
                <w:sz w:val="20"/>
                <w:szCs w:val="20"/>
                <w:color w:val="auto"/>
              </w:rPr>
            </w:pPr>
          </w:p>
        </w:tc>
        <w:tc>
          <w:tcPr>
            <w:tcW w:w="6440" w:type="dxa"/>
            <w:vAlign w:val="bottom"/>
            <w:shd w:val="clear" w:color="auto" w:fill="F4F3F3"/>
          </w:tcPr>
          <w:p>
            <w:pPr>
              <w:ind w:left="100"/>
              <w:spacing w:after="0"/>
              <w:rPr>
                <w:sz w:val="20"/>
                <w:szCs w:val="20"/>
                <w:color w:val="auto"/>
              </w:rPr>
            </w:pPr>
            <w:r>
              <w:rPr>
                <w:rFonts w:ascii="Arial" w:cs="Arial" w:eastAsia="Arial" w:hAnsi="Arial"/>
                <w:sz w:val="17"/>
                <w:szCs w:val="17"/>
                <w:color w:val="auto"/>
              </w:rPr>
              <w:t>2018 is in the best interests of the Company.</w:t>
            </w:r>
          </w:p>
        </w:tc>
        <w:tc>
          <w:tcPr>
            <w:tcW w:w="440" w:type="dxa"/>
            <w:vAlign w:val="bottom"/>
            <w:shd w:val="clear" w:color="auto" w:fill="F4F3F3"/>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80" w:type="dxa"/>
            <w:vAlign w:val="bottom"/>
            <w:shd w:val="clear" w:color="auto" w:fill="F4F3F3"/>
          </w:tcPr>
          <w:p>
            <w:pPr>
              <w:spacing w:after="0"/>
              <w:rPr>
                <w:sz w:val="19"/>
                <w:szCs w:val="19"/>
                <w:color w:val="auto"/>
              </w:rPr>
            </w:pPr>
          </w:p>
        </w:tc>
        <w:tc>
          <w:tcPr>
            <w:tcW w:w="120" w:type="dxa"/>
            <w:vAlign w:val="bottom"/>
            <w:shd w:val="clear" w:color="auto" w:fill="F4F3F3"/>
          </w:tcPr>
          <w:p>
            <w:pPr>
              <w:spacing w:after="0"/>
              <w:rPr>
                <w:sz w:val="19"/>
                <w:szCs w:val="19"/>
                <w:color w:val="auto"/>
              </w:rPr>
            </w:pPr>
          </w:p>
        </w:tc>
        <w:tc>
          <w:tcPr>
            <w:tcW w:w="2300" w:type="dxa"/>
            <w:vAlign w:val="bottom"/>
            <w:shd w:val="clear" w:color="auto" w:fill="F4F3F3"/>
          </w:tcPr>
          <w:p>
            <w:pPr>
              <w:spacing w:after="0"/>
              <w:rPr>
                <w:sz w:val="19"/>
                <w:szCs w:val="19"/>
                <w:color w:val="auto"/>
              </w:rPr>
            </w:pPr>
          </w:p>
        </w:tc>
        <w:tc>
          <w:tcPr>
            <w:tcW w:w="100" w:type="dxa"/>
            <w:vAlign w:val="bottom"/>
            <w:shd w:val="clear" w:color="auto" w:fill="F4F3F3"/>
          </w:tcPr>
          <w:p>
            <w:pPr>
              <w:spacing w:after="0"/>
              <w:rPr>
                <w:sz w:val="19"/>
                <w:szCs w:val="19"/>
                <w:color w:val="auto"/>
              </w:rPr>
            </w:pPr>
          </w:p>
        </w:tc>
        <w:tc>
          <w:tcPr>
            <w:tcW w:w="1320" w:type="dxa"/>
            <w:vAlign w:val="bottom"/>
            <w:shd w:val="clear" w:color="auto" w:fill="F4F3F3"/>
          </w:tcPr>
          <w:p>
            <w:pPr>
              <w:jc w:val="center"/>
              <w:spacing w:after="0" w:line="221" w:lineRule="exact"/>
              <w:rPr>
                <w:sz w:val="20"/>
                <w:szCs w:val="20"/>
                <w:color w:val="auto"/>
              </w:rPr>
            </w:pPr>
            <w:r>
              <w:rPr>
                <w:rFonts w:ascii="MS PGothic" w:cs="MS PGothic" w:eastAsia="MS PGothic" w:hAnsi="MS PGothic"/>
                <w:sz w:val="22"/>
                <w:szCs w:val="22"/>
                <w:color w:val="998C87"/>
                <w:w w:val="90"/>
              </w:rPr>
              <w:t>✓</w:t>
            </w:r>
          </w:p>
        </w:tc>
        <w:tc>
          <w:tcPr>
            <w:tcW w:w="6440" w:type="dxa"/>
            <w:vAlign w:val="bottom"/>
            <w:shd w:val="clear" w:color="auto" w:fill="F4F3F3"/>
          </w:tcPr>
          <w:p>
            <w:pPr>
              <w:ind w:left="100"/>
              <w:spacing w:after="0"/>
              <w:rPr>
                <w:sz w:val="20"/>
                <w:szCs w:val="20"/>
                <w:color w:val="auto"/>
              </w:rPr>
            </w:pPr>
            <w:r>
              <w:rPr>
                <w:rFonts w:ascii="Arial" w:cs="Arial" w:eastAsia="Arial" w:hAnsi="Arial"/>
                <w:sz w:val="17"/>
                <w:szCs w:val="17"/>
                <w:color w:val="auto"/>
              </w:rPr>
              <w:t>The Board believes that the Company’s current executive compensation program</w:t>
            </w:r>
          </w:p>
        </w:tc>
        <w:tc>
          <w:tcPr>
            <w:tcW w:w="440" w:type="dxa"/>
            <w:vAlign w:val="bottom"/>
            <w:shd w:val="clear" w:color="auto" w:fill="F4F3F3"/>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80" w:type="dxa"/>
            <w:vAlign w:val="bottom"/>
            <w:shd w:val="clear" w:color="auto" w:fill="F4F3F3"/>
          </w:tcPr>
          <w:p>
            <w:pPr>
              <w:spacing w:after="0"/>
              <w:rPr>
                <w:sz w:val="14"/>
                <w:szCs w:val="14"/>
                <w:color w:val="auto"/>
              </w:rPr>
            </w:pPr>
          </w:p>
        </w:tc>
        <w:tc>
          <w:tcPr>
            <w:tcW w:w="120" w:type="dxa"/>
            <w:vAlign w:val="bottom"/>
            <w:shd w:val="clear" w:color="auto" w:fill="F4F3F3"/>
          </w:tcPr>
          <w:p>
            <w:pPr>
              <w:spacing w:after="0"/>
              <w:rPr>
                <w:sz w:val="14"/>
                <w:szCs w:val="14"/>
                <w:color w:val="auto"/>
              </w:rPr>
            </w:pPr>
          </w:p>
        </w:tc>
        <w:tc>
          <w:tcPr>
            <w:tcW w:w="2300" w:type="dxa"/>
            <w:vAlign w:val="bottom"/>
            <w:vMerge w:val="restart"/>
            <w:shd w:val="clear" w:color="auto" w:fill="F4F3F3"/>
          </w:tcPr>
          <w:p>
            <w:pPr>
              <w:spacing w:after="0"/>
              <w:rPr>
                <w:sz w:val="20"/>
                <w:szCs w:val="20"/>
                <w:color w:val="auto"/>
              </w:rPr>
            </w:pPr>
            <w:r>
              <w:rPr>
                <w:rFonts w:ascii="Arial" w:cs="Arial" w:eastAsia="Arial" w:hAnsi="Arial"/>
                <w:sz w:val="17"/>
                <w:szCs w:val="17"/>
                <w:color w:val="auto"/>
              </w:rPr>
              <w:t>Advisory vote to approve</w:t>
            </w:r>
          </w:p>
        </w:tc>
        <w:tc>
          <w:tcPr>
            <w:tcW w:w="100" w:type="dxa"/>
            <w:vAlign w:val="bottom"/>
            <w:shd w:val="clear" w:color="auto" w:fill="F4F3F3"/>
          </w:tcPr>
          <w:p>
            <w:pPr>
              <w:spacing w:after="0"/>
              <w:rPr>
                <w:sz w:val="14"/>
                <w:szCs w:val="14"/>
                <w:color w:val="auto"/>
              </w:rPr>
            </w:pPr>
          </w:p>
        </w:tc>
        <w:tc>
          <w:tcPr>
            <w:tcW w:w="1320" w:type="dxa"/>
            <w:vAlign w:val="bottom"/>
            <w:vMerge w:val="restart"/>
            <w:shd w:val="clear" w:color="auto" w:fill="F4F3F3"/>
          </w:tcPr>
          <w:p>
            <w:pPr>
              <w:jc w:val="center"/>
              <w:spacing w:after="0"/>
              <w:rPr>
                <w:sz w:val="20"/>
                <w:szCs w:val="20"/>
                <w:color w:val="auto"/>
              </w:rPr>
            </w:pPr>
            <w:r>
              <w:rPr>
                <w:rFonts w:ascii="Arial" w:cs="Arial" w:eastAsia="Arial" w:hAnsi="Arial"/>
                <w:sz w:val="17"/>
                <w:szCs w:val="17"/>
                <w:b w:val="1"/>
                <w:bCs w:val="1"/>
                <w:color w:val="998C87"/>
              </w:rPr>
              <w:t>FOR</w:t>
            </w:r>
          </w:p>
        </w:tc>
        <w:tc>
          <w:tcPr>
            <w:tcW w:w="6440" w:type="dxa"/>
            <w:vAlign w:val="bottom"/>
            <w:shd w:val="clear" w:color="auto" w:fill="F4F3F3"/>
          </w:tcPr>
          <w:p>
            <w:pPr>
              <w:ind w:left="100"/>
              <w:spacing w:after="0" w:line="167" w:lineRule="exact"/>
              <w:rPr>
                <w:sz w:val="20"/>
                <w:szCs w:val="20"/>
                <w:color w:val="auto"/>
              </w:rPr>
            </w:pPr>
            <w:r>
              <w:rPr>
                <w:rFonts w:ascii="Arial" w:cs="Arial" w:eastAsia="Arial" w:hAnsi="Arial"/>
                <w:sz w:val="17"/>
                <w:szCs w:val="17"/>
                <w:color w:val="auto"/>
              </w:rPr>
              <w:t>achieves an appropriate balance of long- and short-term performance incentives,</w:t>
            </w:r>
          </w:p>
        </w:tc>
        <w:tc>
          <w:tcPr>
            <w:tcW w:w="440" w:type="dxa"/>
            <w:vAlign w:val="bottom"/>
            <w:shd w:val="clear" w:color="auto" w:fill="F4F3F3"/>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80" w:type="dxa"/>
            <w:vAlign w:val="bottom"/>
            <w:vMerge w:val="restart"/>
            <w:shd w:val="clear" w:color="auto" w:fill="F4F3F3"/>
          </w:tcPr>
          <w:p>
            <w:pPr>
              <w:ind w:left="80"/>
              <w:spacing w:after="0"/>
              <w:rPr>
                <w:sz w:val="20"/>
                <w:szCs w:val="20"/>
                <w:color w:val="auto"/>
              </w:rPr>
            </w:pPr>
            <w:r>
              <w:rPr>
                <w:rFonts w:ascii="Arial" w:cs="Arial" w:eastAsia="Arial" w:hAnsi="Arial"/>
                <w:sz w:val="17"/>
                <w:szCs w:val="17"/>
                <w:color w:val="auto"/>
              </w:rPr>
              <w:t>3.</w:t>
            </w:r>
          </w:p>
        </w:tc>
        <w:tc>
          <w:tcPr>
            <w:tcW w:w="120" w:type="dxa"/>
            <w:vAlign w:val="bottom"/>
            <w:shd w:val="clear" w:color="auto" w:fill="F4F3F3"/>
          </w:tcPr>
          <w:p>
            <w:pPr>
              <w:spacing w:after="0"/>
              <w:rPr>
                <w:sz w:val="10"/>
                <w:szCs w:val="10"/>
                <w:color w:val="auto"/>
              </w:rPr>
            </w:pPr>
          </w:p>
        </w:tc>
        <w:tc>
          <w:tcPr>
            <w:tcW w:w="2300" w:type="dxa"/>
            <w:vAlign w:val="bottom"/>
            <w:vMerge w:val="continue"/>
            <w:shd w:val="clear" w:color="auto" w:fill="F4F3F3"/>
          </w:tcPr>
          <w:p>
            <w:pPr>
              <w:spacing w:after="0"/>
              <w:rPr>
                <w:sz w:val="10"/>
                <w:szCs w:val="10"/>
                <w:color w:val="auto"/>
              </w:rPr>
            </w:pPr>
          </w:p>
        </w:tc>
        <w:tc>
          <w:tcPr>
            <w:tcW w:w="100" w:type="dxa"/>
            <w:vAlign w:val="bottom"/>
            <w:shd w:val="clear" w:color="auto" w:fill="F4F3F3"/>
          </w:tcPr>
          <w:p>
            <w:pPr>
              <w:spacing w:after="0"/>
              <w:rPr>
                <w:sz w:val="10"/>
                <w:szCs w:val="10"/>
                <w:color w:val="auto"/>
              </w:rPr>
            </w:pPr>
          </w:p>
        </w:tc>
        <w:tc>
          <w:tcPr>
            <w:tcW w:w="1320" w:type="dxa"/>
            <w:vAlign w:val="bottom"/>
            <w:vMerge w:val="continue"/>
            <w:shd w:val="clear" w:color="auto" w:fill="F4F3F3"/>
          </w:tcPr>
          <w:p>
            <w:pPr>
              <w:spacing w:after="0"/>
              <w:rPr>
                <w:sz w:val="10"/>
                <w:szCs w:val="10"/>
                <w:color w:val="auto"/>
              </w:rPr>
            </w:pPr>
          </w:p>
        </w:tc>
        <w:tc>
          <w:tcPr>
            <w:tcW w:w="6440" w:type="dxa"/>
            <w:vAlign w:val="bottom"/>
            <w:vMerge w:val="restart"/>
            <w:shd w:val="clear" w:color="auto" w:fill="F4F3F3"/>
          </w:tcPr>
          <w:p>
            <w:pPr>
              <w:ind w:left="100"/>
              <w:spacing w:after="0" w:line="189" w:lineRule="exact"/>
              <w:rPr>
                <w:sz w:val="20"/>
                <w:szCs w:val="20"/>
                <w:color w:val="auto"/>
              </w:rPr>
            </w:pPr>
            <w:r>
              <w:rPr>
                <w:rFonts w:ascii="Arial" w:cs="Arial" w:eastAsia="Arial" w:hAnsi="Arial"/>
                <w:sz w:val="17"/>
                <w:szCs w:val="17"/>
                <w:color w:val="auto"/>
              </w:rPr>
              <w:t>reinforces the link between executive pay and the Company’s long-term</w:t>
            </w:r>
          </w:p>
        </w:tc>
        <w:tc>
          <w:tcPr>
            <w:tcW w:w="440" w:type="dxa"/>
            <w:vAlign w:val="bottom"/>
            <w:vMerge w:val="restart"/>
            <w:shd w:val="clear" w:color="auto" w:fill="F4F3F3"/>
          </w:tcPr>
          <w:p>
            <w:pPr>
              <w:jc w:val="center"/>
              <w:spacing w:after="0"/>
              <w:rPr>
                <w:sz w:val="20"/>
                <w:szCs w:val="20"/>
                <w:color w:val="auto"/>
              </w:rPr>
            </w:pPr>
            <w:r>
              <w:rPr>
                <w:rFonts w:ascii="Arial" w:cs="Arial" w:eastAsia="Arial" w:hAnsi="Arial"/>
                <w:sz w:val="17"/>
                <w:szCs w:val="17"/>
                <w:color w:val="auto"/>
                <w:w w:val="84"/>
              </w:rPr>
              <w:t>9</w:t>
            </w:r>
          </w:p>
        </w:tc>
        <w:tc>
          <w:tcPr>
            <w:tcW w:w="0" w:type="dxa"/>
            <w:vAlign w:val="bottom"/>
          </w:tcPr>
          <w:p>
            <w:pPr>
              <w:spacing w:after="0"/>
              <w:rPr>
                <w:sz w:val="1"/>
                <w:szCs w:val="1"/>
                <w:color w:val="auto"/>
              </w:rPr>
            </w:pPr>
          </w:p>
        </w:tc>
      </w:tr>
      <w:tr>
        <w:trPr>
          <w:trHeight w:val="67"/>
        </w:trPr>
        <w:tc>
          <w:tcPr>
            <w:tcW w:w="280" w:type="dxa"/>
            <w:vAlign w:val="bottom"/>
            <w:vMerge w:val="continue"/>
            <w:shd w:val="clear" w:color="auto" w:fill="F4F3F3"/>
          </w:tcPr>
          <w:p>
            <w:pPr>
              <w:spacing w:after="0"/>
              <w:rPr>
                <w:sz w:val="5"/>
                <w:szCs w:val="5"/>
                <w:color w:val="auto"/>
              </w:rPr>
            </w:pPr>
          </w:p>
        </w:tc>
        <w:tc>
          <w:tcPr>
            <w:tcW w:w="120" w:type="dxa"/>
            <w:vAlign w:val="bottom"/>
            <w:shd w:val="clear" w:color="auto" w:fill="F4F3F3"/>
          </w:tcPr>
          <w:p>
            <w:pPr>
              <w:spacing w:after="0"/>
              <w:rPr>
                <w:sz w:val="5"/>
                <w:szCs w:val="5"/>
                <w:color w:val="auto"/>
              </w:rPr>
            </w:pPr>
          </w:p>
        </w:tc>
        <w:tc>
          <w:tcPr>
            <w:tcW w:w="2300" w:type="dxa"/>
            <w:vAlign w:val="bottom"/>
            <w:vMerge w:val="restart"/>
            <w:shd w:val="clear" w:color="auto" w:fill="F4F3F3"/>
          </w:tcPr>
          <w:p>
            <w:pPr>
              <w:spacing w:after="0"/>
              <w:rPr>
                <w:sz w:val="20"/>
                <w:szCs w:val="20"/>
                <w:color w:val="auto"/>
              </w:rPr>
            </w:pPr>
            <w:r>
              <w:rPr>
                <w:rFonts w:ascii="Arial" w:cs="Arial" w:eastAsia="Arial" w:hAnsi="Arial"/>
                <w:sz w:val="17"/>
                <w:szCs w:val="17"/>
                <w:color w:val="auto"/>
              </w:rPr>
              <w:t>executive compensation</w:t>
            </w:r>
          </w:p>
        </w:tc>
        <w:tc>
          <w:tcPr>
            <w:tcW w:w="100" w:type="dxa"/>
            <w:vAlign w:val="bottom"/>
            <w:shd w:val="clear" w:color="auto" w:fill="F4F3F3"/>
          </w:tcPr>
          <w:p>
            <w:pPr>
              <w:spacing w:after="0"/>
              <w:rPr>
                <w:sz w:val="5"/>
                <w:szCs w:val="5"/>
                <w:color w:val="auto"/>
              </w:rPr>
            </w:pPr>
          </w:p>
        </w:tc>
        <w:tc>
          <w:tcPr>
            <w:tcW w:w="1320" w:type="dxa"/>
            <w:vAlign w:val="bottom"/>
            <w:shd w:val="clear" w:color="auto" w:fill="F4F3F3"/>
          </w:tcPr>
          <w:p>
            <w:pPr>
              <w:spacing w:after="0"/>
              <w:rPr>
                <w:sz w:val="5"/>
                <w:szCs w:val="5"/>
                <w:color w:val="auto"/>
              </w:rPr>
            </w:pPr>
          </w:p>
        </w:tc>
        <w:tc>
          <w:tcPr>
            <w:tcW w:w="6440" w:type="dxa"/>
            <w:vAlign w:val="bottom"/>
            <w:vMerge w:val="continue"/>
            <w:shd w:val="clear" w:color="auto" w:fill="F4F3F3"/>
          </w:tcPr>
          <w:p>
            <w:pPr>
              <w:spacing w:after="0"/>
              <w:rPr>
                <w:sz w:val="5"/>
                <w:szCs w:val="5"/>
                <w:color w:val="auto"/>
              </w:rPr>
            </w:pPr>
          </w:p>
        </w:tc>
        <w:tc>
          <w:tcPr>
            <w:tcW w:w="440" w:type="dxa"/>
            <w:vAlign w:val="bottom"/>
            <w:vMerge w:val="continue"/>
            <w:shd w:val="clear" w:color="auto" w:fill="F4F3F3"/>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80" w:type="dxa"/>
            <w:vAlign w:val="bottom"/>
            <w:vMerge w:val="continue"/>
            <w:shd w:val="clear" w:color="auto" w:fill="F4F3F3"/>
          </w:tcPr>
          <w:p>
            <w:pPr>
              <w:spacing w:after="0"/>
              <w:rPr>
                <w:sz w:val="16"/>
                <w:szCs w:val="16"/>
                <w:color w:val="auto"/>
              </w:rPr>
            </w:pPr>
          </w:p>
        </w:tc>
        <w:tc>
          <w:tcPr>
            <w:tcW w:w="120" w:type="dxa"/>
            <w:vAlign w:val="bottom"/>
            <w:shd w:val="clear" w:color="auto" w:fill="F4F3F3"/>
          </w:tcPr>
          <w:p>
            <w:pPr>
              <w:spacing w:after="0"/>
              <w:rPr>
                <w:sz w:val="16"/>
                <w:szCs w:val="16"/>
                <w:color w:val="auto"/>
              </w:rPr>
            </w:pPr>
          </w:p>
        </w:tc>
        <w:tc>
          <w:tcPr>
            <w:tcW w:w="2300" w:type="dxa"/>
            <w:vAlign w:val="bottom"/>
            <w:vMerge w:val="continue"/>
            <w:shd w:val="clear" w:color="auto" w:fill="F4F3F3"/>
          </w:tcPr>
          <w:p>
            <w:pPr>
              <w:spacing w:after="0"/>
              <w:rPr>
                <w:sz w:val="16"/>
                <w:szCs w:val="16"/>
                <w:color w:val="auto"/>
              </w:rPr>
            </w:pPr>
          </w:p>
        </w:tc>
        <w:tc>
          <w:tcPr>
            <w:tcW w:w="100" w:type="dxa"/>
            <w:vAlign w:val="bottom"/>
            <w:shd w:val="clear" w:color="auto" w:fill="F4F3F3"/>
          </w:tcPr>
          <w:p>
            <w:pPr>
              <w:spacing w:after="0"/>
              <w:rPr>
                <w:sz w:val="16"/>
                <w:szCs w:val="16"/>
                <w:color w:val="auto"/>
              </w:rPr>
            </w:pPr>
          </w:p>
        </w:tc>
        <w:tc>
          <w:tcPr>
            <w:tcW w:w="1320" w:type="dxa"/>
            <w:vAlign w:val="bottom"/>
            <w:shd w:val="clear" w:color="auto" w:fill="F4F3F3"/>
          </w:tcPr>
          <w:p>
            <w:pPr>
              <w:spacing w:after="0"/>
              <w:rPr>
                <w:sz w:val="16"/>
                <w:szCs w:val="16"/>
                <w:color w:val="auto"/>
              </w:rPr>
            </w:pPr>
          </w:p>
        </w:tc>
        <w:tc>
          <w:tcPr>
            <w:tcW w:w="6440" w:type="dxa"/>
            <w:vAlign w:val="bottom"/>
            <w:shd w:val="clear" w:color="auto" w:fill="F4F3F3"/>
          </w:tcPr>
          <w:p>
            <w:pPr>
              <w:ind w:left="100"/>
              <w:spacing w:after="0" w:line="189" w:lineRule="exact"/>
              <w:rPr>
                <w:sz w:val="20"/>
                <w:szCs w:val="20"/>
                <w:color w:val="auto"/>
              </w:rPr>
            </w:pPr>
            <w:r>
              <w:rPr>
                <w:rFonts w:ascii="Arial" w:cs="Arial" w:eastAsia="Arial" w:hAnsi="Arial"/>
                <w:sz w:val="17"/>
                <w:szCs w:val="17"/>
                <w:color w:val="auto"/>
              </w:rPr>
              <w:t>performance and stock value, and thereby aligns the interests of our Named</w:t>
            </w:r>
          </w:p>
        </w:tc>
        <w:tc>
          <w:tcPr>
            <w:tcW w:w="440" w:type="dxa"/>
            <w:vAlign w:val="bottom"/>
            <w:vMerge w:val="continue"/>
            <w:shd w:val="clear" w:color="auto" w:fill="F4F3F3"/>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80" w:type="dxa"/>
            <w:vAlign w:val="bottom"/>
            <w:shd w:val="clear" w:color="auto" w:fill="F4F3F3"/>
          </w:tcPr>
          <w:p>
            <w:pPr>
              <w:spacing w:after="0"/>
              <w:rPr>
                <w:sz w:val="20"/>
                <w:szCs w:val="20"/>
                <w:color w:val="auto"/>
              </w:rPr>
            </w:pPr>
          </w:p>
        </w:tc>
        <w:tc>
          <w:tcPr>
            <w:tcW w:w="120" w:type="dxa"/>
            <w:vAlign w:val="bottom"/>
            <w:shd w:val="clear" w:color="auto" w:fill="F4F3F3"/>
          </w:tcPr>
          <w:p>
            <w:pPr>
              <w:spacing w:after="0"/>
              <w:rPr>
                <w:sz w:val="20"/>
                <w:szCs w:val="20"/>
                <w:color w:val="auto"/>
              </w:rPr>
            </w:pPr>
          </w:p>
        </w:tc>
        <w:tc>
          <w:tcPr>
            <w:tcW w:w="2300" w:type="dxa"/>
            <w:vAlign w:val="bottom"/>
            <w:shd w:val="clear" w:color="auto" w:fill="F4F3F3"/>
          </w:tcPr>
          <w:p>
            <w:pPr>
              <w:spacing w:after="0"/>
              <w:rPr>
                <w:sz w:val="20"/>
                <w:szCs w:val="20"/>
                <w:color w:val="auto"/>
              </w:rPr>
            </w:pPr>
          </w:p>
        </w:tc>
        <w:tc>
          <w:tcPr>
            <w:tcW w:w="100" w:type="dxa"/>
            <w:vAlign w:val="bottom"/>
            <w:shd w:val="clear" w:color="auto" w:fill="F4F3F3"/>
          </w:tcPr>
          <w:p>
            <w:pPr>
              <w:spacing w:after="0"/>
              <w:rPr>
                <w:sz w:val="20"/>
                <w:szCs w:val="20"/>
                <w:color w:val="auto"/>
              </w:rPr>
            </w:pPr>
          </w:p>
        </w:tc>
        <w:tc>
          <w:tcPr>
            <w:tcW w:w="1320" w:type="dxa"/>
            <w:vAlign w:val="bottom"/>
            <w:shd w:val="clear" w:color="auto" w:fill="F4F3F3"/>
          </w:tcPr>
          <w:p>
            <w:pPr>
              <w:spacing w:after="0"/>
              <w:rPr>
                <w:sz w:val="20"/>
                <w:szCs w:val="20"/>
                <w:color w:val="auto"/>
              </w:rPr>
            </w:pPr>
          </w:p>
        </w:tc>
        <w:tc>
          <w:tcPr>
            <w:tcW w:w="6440" w:type="dxa"/>
            <w:vAlign w:val="bottom"/>
            <w:shd w:val="clear" w:color="auto" w:fill="F4F3F3"/>
          </w:tcPr>
          <w:p>
            <w:pPr>
              <w:ind w:left="100"/>
              <w:spacing w:after="0"/>
              <w:rPr>
                <w:sz w:val="20"/>
                <w:szCs w:val="20"/>
                <w:color w:val="auto"/>
              </w:rPr>
            </w:pPr>
            <w:r>
              <w:rPr>
                <w:rFonts w:ascii="Arial" w:cs="Arial" w:eastAsia="Arial" w:hAnsi="Arial"/>
                <w:sz w:val="17"/>
                <w:szCs w:val="17"/>
                <w:color w:val="auto"/>
              </w:rPr>
              <w:t>Executive Officers (“NEOs”) with those of stockholders.</w:t>
            </w:r>
          </w:p>
        </w:tc>
        <w:tc>
          <w:tcPr>
            <w:tcW w:w="440" w:type="dxa"/>
            <w:vAlign w:val="bottom"/>
            <w:shd w:val="clear" w:color="auto" w:fill="F4F3F3"/>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80" w:type="dxa"/>
            <w:vAlign w:val="bottom"/>
            <w:shd w:val="clear" w:color="auto" w:fill="F4F3F3"/>
          </w:tcPr>
          <w:p>
            <w:pPr>
              <w:spacing w:after="0"/>
              <w:rPr>
                <w:sz w:val="21"/>
                <w:szCs w:val="21"/>
                <w:color w:val="auto"/>
              </w:rPr>
            </w:pPr>
          </w:p>
        </w:tc>
        <w:tc>
          <w:tcPr>
            <w:tcW w:w="120" w:type="dxa"/>
            <w:vAlign w:val="bottom"/>
            <w:shd w:val="clear" w:color="auto" w:fill="F4F3F3"/>
          </w:tcPr>
          <w:p>
            <w:pPr>
              <w:spacing w:after="0"/>
              <w:rPr>
                <w:sz w:val="21"/>
                <w:szCs w:val="21"/>
                <w:color w:val="auto"/>
              </w:rPr>
            </w:pPr>
          </w:p>
        </w:tc>
        <w:tc>
          <w:tcPr>
            <w:tcW w:w="2300" w:type="dxa"/>
            <w:vAlign w:val="bottom"/>
            <w:shd w:val="clear" w:color="auto" w:fill="F4F3F3"/>
          </w:tcPr>
          <w:p>
            <w:pPr>
              <w:spacing w:after="0"/>
              <w:rPr>
                <w:sz w:val="20"/>
                <w:szCs w:val="20"/>
                <w:color w:val="auto"/>
              </w:rPr>
            </w:pPr>
            <w:r>
              <w:rPr>
                <w:rFonts w:ascii="Arial" w:cs="Arial" w:eastAsia="Arial" w:hAnsi="Arial"/>
                <w:sz w:val="17"/>
                <w:szCs w:val="17"/>
                <w:color w:val="auto"/>
              </w:rPr>
              <w:t>Approval of Proposed</w:t>
            </w:r>
          </w:p>
        </w:tc>
        <w:tc>
          <w:tcPr>
            <w:tcW w:w="100" w:type="dxa"/>
            <w:vAlign w:val="bottom"/>
            <w:shd w:val="clear" w:color="auto" w:fill="F4F3F3"/>
          </w:tcPr>
          <w:p>
            <w:pPr>
              <w:spacing w:after="0"/>
              <w:rPr>
                <w:sz w:val="21"/>
                <w:szCs w:val="21"/>
                <w:color w:val="auto"/>
              </w:rPr>
            </w:pPr>
          </w:p>
        </w:tc>
        <w:tc>
          <w:tcPr>
            <w:tcW w:w="1320" w:type="dxa"/>
            <w:vAlign w:val="bottom"/>
            <w:shd w:val="clear" w:color="auto" w:fill="F4F3F3"/>
          </w:tcPr>
          <w:p>
            <w:pPr>
              <w:jc w:val="center"/>
              <w:spacing w:after="0" w:line="221" w:lineRule="exact"/>
              <w:rPr>
                <w:sz w:val="20"/>
                <w:szCs w:val="20"/>
                <w:color w:val="auto"/>
              </w:rPr>
            </w:pPr>
            <w:r>
              <w:rPr>
                <w:rFonts w:ascii="MS PGothic" w:cs="MS PGothic" w:eastAsia="MS PGothic" w:hAnsi="MS PGothic"/>
                <w:sz w:val="22"/>
                <w:szCs w:val="22"/>
                <w:color w:val="998C87"/>
                <w:w w:val="90"/>
              </w:rPr>
              <w:t>✓</w:t>
            </w:r>
          </w:p>
        </w:tc>
        <w:tc>
          <w:tcPr>
            <w:tcW w:w="6440" w:type="dxa"/>
            <w:vAlign w:val="bottom"/>
            <w:shd w:val="clear" w:color="auto" w:fill="F4F3F3"/>
          </w:tcPr>
          <w:p>
            <w:pPr>
              <w:ind w:left="100"/>
              <w:spacing w:after="0"/>
              <w:rPr>
                <w:sz w:val="20"/>
                <w:szCs w:val="20"/>
                <w:color w:val="auto"/>
              </w:rPr>
            </w:pPr>
            <w:r>
              <w:rPr>
                <w:rFonts w:ascii="Arial" w:cs="Arial" w:eastAsia="Arial" w:hAnsi="Arial"/>
                <w:sz w:val="17"/>
                <w:szCs w:val="17"/>
                <w:color w:val="auto"/>
              </w:rPr>
              <w:t>The Board believes that the proposed amendment addresses the concerns</w:t>
            </w:r>
          </w:p>
        </w:tc>
        <w:tc>
          <w:tcPr>
            <w:tcW w:w="440" w:type="dxa"/>
            <w:vAlign w:val="bottom"/>
            <w:shd w:val="clear" w:color="auto" w:fill="F4F3F3"/>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280" w:type="dxa"/>
            <w:vAlign w:val="bottom"/>
            <w:shd w:val="clear" w:color="auto" w:fill="F4F3F3"/>
          </w:tcPr>
          <w:p>
            <w:pPr>
              <w:spacing w:after="0"/>
              <w:rPr>
                <w:sz w:val="14"/>
                <w:szCs w:val="14"/>
                <w:color w:val="auto"/>
              </w:rPr>
            </w:pPr>
          </w:p>
        </w:tc>
        <w:tc>
          <w:tcPr>
            <w:tcW w:w="120" w:type="dxa"/>
            <w:vAlign w:val="bottom"/>
            <w:shd w:val="clear" w:color="auto" w:fill="F4F3F3"/>
          </w:tcPr>
          <w:p>
            <w:pPr>
              <w:spacing w:after="0"/>
              <w:rPr>
                <w:sz w:val="14"/>
                <w:szCs w:val="14"/>
                <w:color w:val="auto"/>
              </w:rPr>
            </w:pPr>
          </w:p>
        </w:tc>
        <w:tc>
          <w:tcPr>
            <w:tcW w:w="2300" w:type="dxa"/>
            <w:vAlign w:val="bottom"/>
            <w:shd w:val="clear" w:color="auto" w:fill="F4F3F3"/>
          </w:tcPr>
          <w:p>
            <w:pPr>
              <w:spacing w:after="0" w:line="167" w:lineRule="exact"/>
              <w:rPr>
                <w:sz w:val="20"/>
                <w:szCs w:val="20"/>
                <w:color w:val="auto"/>
              </w:rPr>
            </w:pPr>
            <w:r>
              <w:rPr>
                <w:rFonts w:ascii="Arial" w:cs="Arial" w:eastAsia="Arial" w:hAnsi="Arial"/>
                <w:sz w:val="17"/>
                <w:szCs w:val="17"/>
                <w:color w:val="auto"/>
              </w:rPr>
              <w:t>Amendments to the</w:t>
            </w:r>
          </w:p>
        </w:tc>
        <w:tc>
          <w:tcPr>
            <w:tcW w:w="100" w:type="dxa"/>
            <w:vAlign w:val="bottom"/>
            <w:shd w:val="clear" w:color="auto" w:fill="F4F3F3"/>
          </w:tcPr>
          <w:p>
            <w:pPr>
              <w:spacing w:after="0"/>
              <w:rPr>
                <w:sz w:val="14"/>
                <w:szCs w:val="14"/>
                <w:color w:val="auto"/>
              </w:rPr>
            </w:pPr>
          </w:p>
        </w:tc>
        <w:tc>
          <w:tcPr>
            <w:tcW w:w="1320" w:type="dxa"/>
            <w:vAlign w:val="bottom"/>
            <w:vMerge w:val="restart"/>
            <w:shd w:val="clear" w:color="auto" w:fill="F4F3F3"/>
          </w:tcPr>
          <w:p>
            <w:pPr>
              <w:jc w:val="center"/>
              <w:spacing w:after="0"/>
              <w:rPr>
                <w:sz w:val="20"/>
                <w:szCs w:val="20"/>
                <w:color w:val="auto"/>
              </w:rPr>
            </w:pPr>
            <w:r>
              <w:rPr>
                <w:rFonts w:ascii="Arial" w:cs="Arial" w:eastAsia="Arial" w:hAnsi="Arial"/>
                <w:sz w:val="17"/>
                <w:szCs w:val="17"/>
                <w:b w:val="1"/>
                <w:bCs w:val="1"/>
                <w:color w:val="998C87"/>
              </w:rPr>
              <w:t>FOR</w:t>
            </w:r>
          </w:p>
        </w:tc>
        <w:tc>
          <w:tcPr>
            <w:tcW w:w="6440" w:type="dxa"/>
            <w:vAlign w:val="bottom"/>
            <w:shd w:val="clear" w:color="auto" w:fill="F4F3F3"/>
          </w:tcPr>
          <w:p>
            <w:pPr>
              <w:ind w:left="100"/>
              <w:spacing w:after="0" w:line="167" w:lineRule="exact"/>
              <w:rPr>
                <w:sz w:val="20"/>
                <w:szCs w:val="20"/>
                <w:color w:val="auto"/>
              </w:rPr>
            </w:pPr>
            <w:r>
              <w:rPr>
                <w:rFonts w:ascii="Arial" w:cs="Arial" w:eastAsia="Arial" w:hAnsi="Arial"/>
                <w:sz w:val="17"/>
                <w:szCs w:val="17"/>
                <w:color w:val="auto"/>
              </w:rPr>
              <w:t>raised by some stockholders by striking the appropriate balance between</w:t>
            </w:r>
          </w:p>
        </w:tc>
        <w:tc>
          <w:tcPr>
            <w:tcW w:w="440" w:type="dxa"/>
            <w:vAlign w:val="bottom"/>
            <w:shd w:val="clear" w:color="auto" w:fill="F4F3F3"/>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0" w:type="dxa"/>
            <w:vAlign w:val="bottom"/>
            <w:shd w:val="clear" w:color="auto" w:fill="F4F3F3"/>
          </w:tcPr>
          <w:p>
            <w:pPr>
              <w:spacing w:after="0"/>
              <w:rPr>
                <w:sz w:val="10"/>
                <w:szCs w:val="10"/>
                <w:color w:val="auto"/>
              </w:rPr>
            </w:pPr>
          </w:p>
        </w:tc>
        <w:tc>
          <w:tcPr>
            <w:tcW w:w="120" w:type="dxa"/>
            <w:vAlign w:val="bottom"/>
            <w:shd w:val="clear" w:color="auto" w:fill="F4F3F3"/>
          </w:tcPr>
          <w:p>
            <w:pPr>
              <w:spacing w:after="0"/>
              <w:rPr>
                <w:sz w:val="10"/>
                <w:szCs w:val="10"/>
                <w:color w:val="auto"/>
              </w:rPr>
            </w:pPr>
          </w:p>
        </w:tc>
        <w:tc>
          <w:tcPr>
            <w:tcW w:w="2300" w:type="dxa"/>
            <w:vAlign w:val="bottom"/>
            <w:vMerge w:val="restart"/>
            <w:shd w:val="clear" w:color="auto" w:fill="F4F3F3"/>
          </w:tcPr>
          <w:p>
            <w:pPr>
              <w:spacing w:after="0" w:line="189" w:lineRule="exact"/>
              <w:rPr>
                <w:sz w:val="20"/>
                <w:szCs w:val="20"/>
                <w:color w:val="auto"/>
              </w:rPr>
            </w:pPr>
            <w:r>
              <w:rPr>
                <w:rFonts w:ascii="Arial" w:cs="Arial" w:eastAsia="Arial" w:hAnsi="Arial"/>
                <w:sz w:val="17"/>
                <w:szCs w:val="17"/>
                <w:color w:val="auto"/>
              </w:rPr>
              <w:t>Company’s Restated</w:t>
            </w:r>
          </w:p>
        </w:tc>
        <w:tc>
          <w:tcPr>
            <w:tcW w:w="100" w:type="dxa"/>
            <w:vAlign w:val="bottom"/>
            <w:shd w:val="clear" w:color="auto" w:fill="F4F3F3"/>
          </w:tcPr>
          <w:p>
            <w:pPr>
              <w:spacing w:after="0"/>
              <w:rPr>
                <w:sz w:val="10"/>
                <w:szCs w:val="10"/>
                <w:color w:val="auto"/>
              </w:rPr>
            </w:pPr>
          </w:p>
        </w:tc>
        <w:tc>
          <w:tcPr>
            <w:tcW w:w="1320" w:type="dxa"/>
            <w:vAlign w:val="bottom"/>
            <w:vMerge w:val="continue"/>
            <w:shd w:val="clear" w:color="auto" w:fill="F4F3F3"/>
          </w:tcPr>
          <w:p>
            <w:pPr>
              <w:spacing w:after="0"/>
              <w:rPr>
                <w:sz w:val="10"/>
                <w:szCs w:val="10"/>
                <w:color w:val="auto"/>
              </w:rPr>
            </w:pPr>
          </w:p>
        </w:tc>
        <w:tc>
          <w:tcPr>
            <w:tcW w:w="6440" w:type="dxa"/>
            <w:vAlign w:val="bottom"/>
            <w:vMerge w:val="restart"/>
            <w:shd w:val="clear" w:color="auto" w:fill="F4F3F3"/>
          </w:tcPr>
          <w:p>
            <w:pPr>
              <w:ind w:left="100"/>
              <w:spacing w:after="0" w:line="189" w:lineRule="exact"/>
              <w:rPr>
                <w:sz w:val="20"/>
                <w:szCs w:val="20"/>
                <w:color w:val="auto"/>
              </w:rPr>
            </w:pPr>
            <w:r>
              <w:rPr>
                <w:rFonts w:ascii="Arial" w:cs="Arial" w:eastAsia="Arial" w:hAnsi="Arial"/>
                <w:sz w:val="17"/>
                <w:szCs w:val="17"/>
                <w:color w:val="auto"/>
              </w:rPr>
              <w:t>enhancing stockholder rights and adequately protecting stockholder interests.</w:t>
            </w:r>
          </w:p>
        </w:tc>
        <w:tc>
          <w:tcPr>
            <w:tcW w:w="440" w:type="dxa"/>
            <w:vAlign w:val="bottom"/>
            <w:shd w:val="clear" w:color="auto" w:fill="F4F3F3"/>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80" w:type="dxa"/>
            <w:vAlign w:val="bottom"/>
            <w:shd w:val="clear" w:color="auto" w:fill="F4F3F3"/>
          </w:tcPr>
          <w:p>
            <w:pPr>
              <w:spacing w:after="0"/>
              <w:rPr>
                <w:sz w:val="6"/>
                <w:szCs w:val="6"/>
                <w:color w:val="auto"/>
              </w:rPr>
            </w:pPr>
          </w:p>
        </w:tc>
        <w:tc>
          <w:tcPr>
            <w:tcW w:w="120" w:type="dxa"/>
            <w:vAlign w:val="bottom"/>
            <w:shd w:val="clear" w:color="auto" w:fill="F4F3F3"/>
          </w:tcPr>
          <w:p>
            <w:pPr>
              <w:spacing w:after="0"/>
              <w:rPr>
                <w:sz w:val="6"/>
                <w:szCs w:val="6"/>
                <w:color w:val="auto"/>
              </w:rPr>
            </w:pPr>
          </w:p>
        </w:tc>
        <w:tc>
          <w:tcPr>
            <w:tcW w:w="2300" w:type="dxa"/>
            <w:vAlign w:val="bottom"/>
            <w:vMerge w:val="continue"/>
            <w:shd w:val="clear" w:color="auto" w:fill="F4F3F3"/>
          </w:tcPr>
          <w:p>
            <w:pPr>
              <w:spacing w:after="0"/>
              <w:rPr>
                <w:sz w:val="6"/>
                <w:szCs w:val="6"/>
                <w:color w:val="auto"/>
              </w:rPr>
            </w:pPr>
          </w:p>
        </w:tc>
        <w:tc>
          <w:tcPr>
            <w:tcW w:w="100" w:type="dxa"/>
            <w:vAlign w:val="bottom"/>
            <w:shd w:val="clear" w:color="auto" w:fill="F4F3F3"/>
          </w:tcPr>
          <w:p>
            <w:pPr>
              <w:spacing w:after="0"/>
              <w:rPr>
                <w:sz w:val="6"/>
                <w:szCs w:val="6"/>
                <w:color w:val="auto"/>
              </w:rPr>
            </w:pPr>
          </w:p>
        </w:tc>
        <w:tc>
          <w:tcPr>
            <w:tcW w:w="1320" w:type="dxa"/>
            <w:vAlign w:val="bottom"/>
            <w:shd w:val="clear" w:color="auto" w:fill="F4F3F3"/>
          </w:tcPr>
          <w:p>
            <w:pPr>
              <w:spacing w:after="0"/>
              <w:rPr>
                <w:sz w:val="6"/>
                <w:szCs w:val="6"/>
                <w:color w:val="auto"/>
              </w:rPr>
            </w:pPr>
          </w:p>
        </w:tc>
        <w:tc>
          <w:tcPr>
            <w:tcW w:w="6440" w:type="dxa"/>
            <w:vAlign w:val="bottom"/>
            <w:vMerge w:val="continue"/>
            <w:shd w:val="clear" w:color="auto" w:fill="F4F3F3"/>
          </w:tcPr>
          <w:p>
            <w:pPr>
              <w:spacing w:after="0"/>
              <w:rPr>
                <w:sz w:val="6"/>
                <w:szCs w:val="6"/>
                <w:color w:val="auto"/>
              </w:rPr>
            </w:pPr>
          </w:p>
        </w:tc>
        <w:tc>
          <w:tcPr>
            <w:tcW w:w="440" w:type="dxa"/>
            <w:vAlign w:val="bottom"/>
            <w:shd w:val="clear" w:color="auto" w:fill="F4F3F3"/>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80" w:type="dxa"/>
            <w:vAlign w:val="bottom"/>
            <w:shd w:val="clear" w:color="auto" w:fill="F4F3F3"/>
          </w:tcPr>
          <w:p>
            <w:pPr>
              <w:ind w:left="80"/>
              <w:spacing w:after="0" w:line="189" w:lineRule="exact"/>
              <w:rPr>
                <w:sz w:val="20"/>
                <w:szCs w:val="20"/>
                <w:color w:val="auto"/>
              </w:rPr>
            </w:pPr>
            <w:r>
              <w:rPr>
                <w:rFonts w:ascii="Arial" w:cs="Arial" w:eastAsia="Arial" w:hAnsi="Arial"/>
                <w:sz w:val="17"/>
                <w:szCs w:val="17"/>
                <w:color w:val="auto"/>
              </w:rPr>
              <w:t>4.</w:t>
            </w:r>
          </w:p>
        </w:tc>
        <w:tc>
          <w:tcPr>
            <w:tcW w:w="120" w:type="dxa"/>
            <w:vAlign w:val="bottom"/>
            <w:shd w:val="clear" w:color="auto" w:fill="F4F3F3"/>
          </w:tcPr>
          <w:p>
            <w:pPr>
              <w:spacing w:after="0"/>
              <w:rPr>
                <w:sz w:val="16"/>
                <w:szCs w:val="16"/>
                <w:color w:val="auto"/>
              </w:rPr>
            </w:pPr>
          </w:p>
        </w:tc>
        <w:tc>
          <w:tcPr>
            <w:tcW w:w="2300" w:type="dxa"/>
            <w:vAlign w:val="bottom"/>
            <w:shd w:val="clear" w:color="auto" w:fill="F4F3F3"/>
          </w:tcPr>
          <w:p>
            <w:pPr>
              <w:spacing w:after="0" w:line="189" w:lineRule="exact"/>
              <w:rPr>
                <w:sz w:val="20"/>
                <w:szCs w:val="20"/>
                <w:color w:val="auto"/>
              </w:rPr>
            </w:pPr>
            <w:r>
              <w:rPr>
                <w:rFonts w:ascii="Arial" w:cs="Arial" w:eastAsia="Arial" w:hAnsi="Arial"/>
                <w:sz w:val="17"/>
                <w:szCs w:val="17"/>
                <w:color w:val="auto"/>
              </w:rPr>
              <w:t>Certificate of Incorporation</w:t>
            </w:r>
          </w:p>
        </w:tc>
        <w:tc>
          <w:tcPr>
            <w:tcW w:w="100" w:type="dxa"/>
            <w:vAlign w:val="bottom"/>
            <w:shd w:val="clear" w:color="auto" w:fill="F4F3F3"/>
          </w:tcPr>
          <w:p>
            <w:pPr>
              <w:spacing w:after="0"/>
              <w:rPr>
                <w:sz w:val="16"/>
                <w:szCs w:val="16"/>
                <w:color w:val="auto"/>
              </w:rPr>
            </w:pPr>
          </w:p>
        </w:tc>
        <w:tc>
          <w:tcPr>
            <w:tcW w:w="1320" w:type="dxa"/>
            <w:vAlign w:val="bottom"/>
            <w:shd w:val="clear" w:color="auto" w:fill="F4F3F3"/>
          </w:tcPr>
          <w:p>
            <w:pPr>
              <w:spacing w:after="0"/>
              <w:rPr>
                <w:sz w:val="16"/>
                <w:szCs w:val="16"/>
                <w:color w:val="auto"/>
              </w:rPr>
            </w:pPr>
          </w:p>
        </w:tc>
        <w:tc>
          <w:tcPr>
            <w:tcW w:w="6440" w:type="dxa"/>
            <w:vAlign w:val="bottom"/>
            <w:shd w:val="clear" w:color="auto" w:fill="F4F3F3"/>
          </w:tcPr>
          <w:p>
            <w:pPr>
              <w:spacing w:after="0"/>
              <w:rPr>
                <w:sz w:val="16"/>
                <w:szCs w:val="16"/>
                <w:color w:val="auto"/>
              </w:rPr>
            </w:pPr>
          </w:p>
        </w:tc>
        <w:tc>
          <w:tcPr>
            <w:tcW w:w="440" w:type="dxa"/>
            <w:vAlign w:val="bottom"/>
            <w:shd w:val="clear" w:color="auto" w:fill="F4F3F3"/>
          </w:tcPr>
          <w:p>
            <w:pPr>
              <w:jc w:val="center"/>
              <w:spacing w:after="0" w:line="189" w:lineRule="exact"/>
              <w:rPr>
                <w:sz w:val="20"/>
                <w:szCs w:val="20"/>
                <w:color w:val="auto"/>
              </w:rPr>
            </w:pPr>
            <w:r>
              <w:rPr>
                <w:rFonts w:ascii="Arial" w:cs="Arial" w:eastAsia="Arial" w:hAnsi="Arial"/>
                <w:sz w:val="17"/>
                <w:szCs w:val="17"/>
                <w:color w:val="auto"/>
                <w:w w:val="84"/>
              </w:rPr>
              <w:t>9</w:t>
            </w:r>
          </w:p>
        </w:tc>
        <w:tc>
          <w:tcPr>
            <w:tcW w:w="0" w:type="dxa"/>
            <w:vAlign w:val="bottom"/>
          </w:tcPr>
          <w:p>
            <w:pPr>
              <w:spacing w:after="0"/>
              <w:rPr>
                <w:sz w:val="1"/>
                <w:szCs w:val="1"/>
                <w:color w:val="auto"/>
              </w:rPr>
            </w:pPr>
          </w:p>
        </w:tc>
      </w:tr>
      <w:tr>
        <w:trPr>
          <w:trHeight w:val="189"/>
        </w:trPr>
        <w:tc>
          <w:tcPr>
            <w:tcW w:w="280" w:type="dxa"/>
            <w:vAlign w:val="bottom"/>
            <w:shd w:val="clear" w:color="auto" w:fill="F4F3F3"/>
          </w:tcPr>
          <w:p>
            <w:pPr>
              <w:spacing w:after="0"/>
              <w:rPr>
                <w:sz w:val="16"/>
                <w:szCs w:val="16"/>
                <w:color w:val="auto"/>
              </w:rPr>
            </w:pPr>
          </w:p>
        </w:tc>
        <w:tc>
          <w:tcPr>
            <w:tcW w:w="120" w:type="dxa"/>
            <w:vAlign w:val="bottom"/>
            <w:shd w:val="clear" w:color="auto" w:fill="F4F3F3"/>
          </w:tcPr>
          <w:p>
            <w:pPr>
              <w:spacing w:after="0"/>
              <w:rPr>
                <w:sz w:val="16"/>
                <w:szCs w:val="16"/>
                <w:color w:val="auto"/>
              </w:rPr>
            </w:pPr>
          </w:p>
        </w:tc>
        <w:tc>
          <w:tcPr>
            <w:tcW w:w="2300" w:type="dxa"/>
            <w:vAlign w:val="bottom"/>
            <w:shd w:val="clear" w:color="auto" w:fill="F4F3F3"/>
          </w:tcPr>
          <w:p>
            <w:pPr>
              <w:spacing w:after="0" w:line="189" w:lineRule="exact"/>
              <w:rPr>
                <w:sz w:val="20"/>
                <w:szCs w:val="20"/>
                <w:color w:val="auto"/>
              </w:rPr>
            </w:pPr>
            <w:r>
              <w:rPr>
                <w:rFonts w:ascii="Arial" w:cs="Arial" w:eastAsia="Arial" w:hAnsi="Arial"/>
                <w:sz w:val="17"/>
                <w:szCs w:val="17"/>
                <w:color w:val="auto"/>
              </w:rPr>
              <w:t>and Bylaws to provide holders</w:t>
            </w:r>
          </w:p>
        </w:tc>
        <w:tc>
          <w:tcPr>
            <w:tcW w:w="100" w:type="dxa"/>
            <w:vAlign w:val="bottom"/>
            <w:shd w:val="clear" w:color="auto" w:fill="F4F3F3"/>
          </w:tcPr>
          <w:p>
            <w:pPr>
              <w:spacing w:after="0"/>
              <w:rPr>
                <w:sz w:val="16"/>
                <w:szCs w:val="16"/>
                <w:color w:val="auto"/>
              </w:rPr>
            </w:pPr>
          </w:p>
        </w:tc>
        <w:tc>
          <w:tcPr>
            <w:tcW w:w="1320" w:type="dxa"/>
            <w:vAlign w:val="bottom"/>
            <w:shd w:val="clear" w:color="auto" w:fill="F4F3F3"/>
          </w:tcPr>
          <w:p>
            <w:pPr>
              <w:spacing w:after="0"/>
              <w:rPr>
                <w:sz w:val="16"/>
                <w:szCs w:val="16"/>
                <w:color w:val="auto"/>
              </w:rPr>
            </w:pPr>
          </w:p>
        </w:tc>
        <w:tc>
          <w:tcPr>
            <w:tcW w:w="6440" w:type="dxa"/>
            <w:vAlign w:val="bottom"/>
            <w:shd w:val="clear" w:color="auto" w:fill="F4F3F3"/>
          </w:tcPr>
          <w:p>
            <w:pPr>
              <w:spacing w:after="0"/>
              <w:rPr>
                <w:sz w:val="16"/>
                <w:szCs w:val="16"/>
                <w:color w:val="auto"/>
              </w:rPr>
            </w:pPr>
          </w:p>
        </w:tc>
        <w:tc>
          <w:tcPr>
            <w:tcW w:w="440" w:type="dxa"/>
            <w:vAlign w:val="bottom"/>
            <w:shd w:val="clear" w:color="auto" w:fill="F4F3F3"/>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 w:type="dxa"/>
            <w:vAlign w:val="bottom"/>
            <w:shd w:val="clear" w:color="auto" w:fill="F4F3F3"/>
          </w:tcPr>
          <w:p>
            <w:pPr>
              <w:spacing w:after="0"/>
              <w:rPr>
                <w:sz w:val="16"/>
                <w:szCs w:val="16"/>
                <w:color w:val="auto"/>
              </w:rPr>
            </w:pPr>
          </w:p>
        </w:tc>
        <w:tc>
          <w:tcPr>
            <w:tcW w:w="120" w:type="dxa"/>
            <w:vAlign w:val="bottom"/>
            <w:shd w:val="clear" w:color="auto" w:fill="F4F3F3"/>
          </w:tcPr>
          <w:p>
            <w:pPr>
              <w:spacing w:after="0"/>
              <w:rPr>
                <w:sz w:val="16"/>
                <w:szCs w:val="16"/>
                <w:color w:val="auto"/>
              </w:rPr>
            </w:pPr>
          </w:p>
        </w:tc>
        <w:tc>
          <w:tcPr>
            <w:tcW w:w="2300" w:type="dxa"/>
            <w:vAlign w:val="bottom"/>
            <w:shd w:val="clear" w:color="auto" w:fill="F4F3F3"/>
          </w:tcPr>
          <w:p>
            <w:pPr>
              <w:spacing w:after="0" w:line="189" w:lineRule="exact"/>
              <w:rPr>
                <w:sz w:val="20"/>
                <w:szCs w:val="20"/>
                <w:color w:val="auto"/>
              </w:rPr>
            </w:pPr>
            <w:r>
              <w:rPr>
                <w:rFonts w:ascii="Arial" w:cs="Arial" w:eastAsia="Arial" w:hAnsi="Arial"/>
                <w:sz w:val="17"/>
                <w:szCs w:val="17"/>
                <w:color w:val="auto"/>
              </w:rPr>
              <w:t>of 25% of Company stock the</w:t>
            </w:r>
          </w:p>
        </w:tc>
        <w:tc>
          <w:tcPr>
            <w:tcW w:w="100" w:type="dxa"/>
            <w:vAlign w:val="bottom"/>
            <w:shd w:val="clear" w:color="auto" w:fill="F4F3F3"/>
          </w:tcPr>
          <w:p>
            <w:pPr>
              <w:spacing w:after="0"/>
              <w:rPr>
                <w:sz w:val="16"/>
                <w:szCs w:val="16"/>
                <w:color w:val="auto"/>
              </w:rPr>
            </w:pPr>
          </w:p>
        </w:tc>
        <w:tc>
          <w:tcPr>
            <w:tcW w:w="1320" w:type="dxa"/>
            <w:vAlign w:val="bottom"/>
            <w:shd w:val="clear" w:color="auto" w:fill="F4F3F3"/>
          </w:tcPr>
          <w:p>
            <w:pPr>
              <w:spacing w:after="0"/>
              <w:rPr>
                <w:sz w:val="16"/>
                <w:szCs w:val="16"/>
                <w:color w:val="auto"/>
              </w:rPr>
            </w:pPr>
          </w:p>
        </w:tc>
        <w:tc>
          <w:tcPr>
            <w:tcW w:w="6440" w:type="dxa"/>
            <w:vAlign w:val="bottom"/>
            <w:shd w:val="clear" w:color="auto" w:fill="F4F3F3"/>
          </w:tcPr>
          <w:p>
            <w:pPr>
              <w:spacing w:after="0"/>
              <w:rPr>
                <w:sz w:val="16"/>
                <w:szCs w:val="16"/>
                <w:color w:val="auto"/>
              </w:rPr>
            </w:pPr>
          </w:p>
        </w:tc>
        <w:tc>
          <w:tcPr>
            <w:tcW w:w="440" w:type="dxa"/>
            <w:vAlign w:val="bottom"/>
            <w:shd w:val="clear" w:color="auto" w:fill="F4F3F3"/>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80" w:type="dxa"/>
            <w:vAlign w:val="bottom"/>
            <w:shd w:val="clear" w:color="auto" w:fill="F4F3F3"/>
          </w:tcPr>
          <w:p>
            <w:pPr>
              <w:spacing w:after="0"/>
              <w:rPr>
                <w:sz w:val="20"/>
                <w:szCs w:val="20"/>
                <w:color w:val="auto"/>
              </w:rPr>
            </w:pPr>
          </w:p>
        </w:tc>
        <w:tc>
          <w:tcPr>
            <w:tcW w:w="120" w:type="dxa"/>
            <w:vAlign w:val="bottom"/>
            <w:shd w:val="clear" w:color="auto" w:fill="F4F3F3"/>
          </w:tcPr>
          <w:p>
            <w:pPr>
              <w:spacing w:after="0"/>
              <w:rPr>
                <w:sz w:val="20"/>
                <w:szCs w:val="20"/>
                <w:color w:val="auto"/>
              </w:rPr>
            </w:pPr>
          </w:p>
        </w:tc>
        <w:tc>
          <w:tcPr>
            <w:tcW w:w="2300" w:type="dxa"/>
            <w:vAlign w:val="bottom"/>
            <w:shd w:val="clear" w:color="auto" w:fill="F4F3F3"/>
          </w:tcPr>
          <w:p>
            <w:pPr>
              <w:spacing w:after="0"/>
              <w:rPr>
                <w:sz w:val="20"/>
                <w:szCs w:val="20"/>
                <w:color w:val="auto"/>
              </w:rPr>
            </w:pPr>
            <w:r>
              <w:rPr>
                <w:rFonts w:ascii="Arial" w:cs="Arial" w:eastAsia="Arial" w:hAnsi="Arial"/>
                <w:sz w:val="17"/>
                <w:szCs w:val="17"/>
                <w:color w:val="auto"/>
              </w:rPr>
              <w:t>right to call special meetings</w:t>
            </w:r>
          </w:p>
        </w:tc>
        <w:tc>
          <w:tcPr>
            <w:tcW w:w="100" w:type="dxa"/>
            <w:vAlign w:val="bottom"/>
            <w:shd w:val="clear" w:color="auto" w:fill="F4F3F3"/>
          </w:tcPr>
          <w:p>
            <w:pPr>
              <w:spacing w:after="0"/>
              <w:rPr>
                <w:sz w:val="20"/>
                <w:szCs w:val="20"/>
                <w:color w:val="auto"/>
              </w:rPr>
            </w:pPr>
          </w:p>
        </w:tc>
        <w:tc>
          <w:tcPr>
            <w:tcW w:w="1320" w:type="dxa"/>
            <w:vAlign w:val="bottom"/>
            <w:vMerge w:val="restart"/>
            <w:shd w:val="clear" w:color="auto" w:fill="F4F3F3"/>
          </w:tcPr>
          <w:p>
            <w:pPr>
              <w:jc w:val="center"/>
              <w:spacing w:after="0"/>
              <w:rPr>
                <w:sz w:val="20"/>
                <w:szCs w:val="20"/>
                <w:color w:val="auto"/>
              </w:rPr>
            </w:pPr>
            <w:r>
              <w:rPr>
                <w:rFonts w:ascii="Arial" w:cs="Arial" w:eastAsia="Arial" w:hAnsi="Arial"/>
                <w:sz w:val="22"/>
                <w:szCs w:val="22"/>
                <w:b w:val="1"/>
                <w:bCs w:val="1"/>
                <w:color w:val="998C87"/>
                <w:w w:val="95"/>
              </w:rPr>
              <w:t>X</w:t>
            </w:r>
          </w:p>
        </w:tc>
        <w:tc>
          <w:tcPr>
            <w:tcW w:w="6440" w:type="dxa"/>
            <w:vAlign w:val="bottom"/>
            <w:shd w:val="clear" w:color="auto" w:fill="F4F3F3"/>
          </w:tcPr>
          <w:p>
            <w:pPr>
              <w:spacing w:after="0"/>
              <w:rPr>
                <w:sz w:val="20"/>
                <w:szCs w:val="20"/>
                <w:color w:val="auto"/>
              </w:rPr>
            </w:pPr>
          </w:p>
        </w:tc>
        <w:tc>
          <w:tcPr>
            <w:tcW w:w="440" w:type="dxa"/>
            <w:vAlign w:val="bottom"/>
            <w:shd w:val="clear" w:color="auto" w:fill="F4F3F3"/>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80" w:type="dxa"/>
            <w:vAlign w:val="bottom"/>
            <w:shd w:val="clear" w:color="auto" w:fill="F4F3F3"/>
          </w:tcPr>
          <w:p>
            <w:pPr>
              <w:spacing w:after="0"/>
              <w:rPr>
                <w:sz w:val="17"/>
                <w:szCs w:val="17"/>
                <w:color w:val="auto"/>
              </w:rPr>
            </w:pPr>
          </w:p>
        </w:tc>
        <w:tc>
          <w:tcPr>
            <w:tcW w:w="120" w:type="dxa"/>
            <w:vAlign w:val="bottom"/>
            <w:shd w:val="clear" w:color="auto" w:fill="F4F3F3"/>
          </w:tcPr>
          <w:p>
            <w:pPr>
              <w:spacing w:after="0"/>
              <w:rPr>
                <w:sz w:val="17"/>
                <w:szCs w:val="17"/>
                <w:color w:val="auto"/>
              </w:rPr>
            </w:pPr>
          </w:p>
        </w:tc>
        <w:tc>
          <w:tcPr>
            <w:tcW w:w="2300" w:type="dxa"/>
            <w:vAlign w:val="bottom"/>
            <w:shd w:val="clear" w:color="auto" w:fill="F4F3F3"/>
          </w:tcPr>
          <w:p>
            <w:pPr>
              <w:spacing w:after="0"/>
              <w:rPr>
                <w:sz w:val="20"/>
                <w:szCs w:val="20"/>
                <w:color w:val="auto"/>
              </w:rPr>
            </w:pPr>
            <w:r>
              <w:rPr>
                <w:rFonts w:ascii="Arial" w:cs="Arial" w:eastAsia="Arial" w:hAnsi="Arial"/>
                <w:sz w:val="17"/>
                <w:szCs w:val="17"/>
                <w:color w:val="auto"/>
              </w:rPr>
              <w:t>Stockholder resolution to</w:t>
            </w:r>
          </w:p>
        </w:tc>
        <w:tc>
          <w:tcPr>
            <w:tcW w:w="100" w:type="dxa"/>
            <w:vAlign w:val="bottom"/>
            <w:shd w:val="clear" w:color="auto" w:fill="F4F3F3"/>
          </w:tcPr>
          <w:p>
            <w:pPr>
              <w:spacing w:after="0"/>
              <w:rPr>
                <w:sz w:val="17"/>
                <w:szCs w:val="17"/>
                <w:color w:val="auto"/>
              </w:rPr>
            </w:pPr>
          </w:p>
        </w:tc>
        <w:tc>
          <w:tcPr>
            <w:tcW w:w="1320" w:type="dxa"/>
            <w:vAlign w:val="bottom"/>
            <w:vMerge w:val="continue"/>
            <w:shd w:val="clear" w:color="auto" w:fill="F4F3F3"/>
          </w:tcPr>
          <w:p>
            <w:pPr>
              <w:spacing w:after="0"/>
              <w:rPr>
                <w:sz w:val="17"/>
                <w:szCs w:val="17"/>
                <w:color w:val="auto"/>
              </w:rPr>
            </w:pPr>
          </w:p>
        </w:tc>
        <w:tc>
          <w:tcPr>
            <w:tcW w:w="6440" w:type="dxa"/>
            <w:vAlign w:val="bottom"/>
            <w:shd w:val="clear" w:color="auto" w:fill="F4F3F3"/>
          </w:tcPr>
          <w:p>
            <w:pPr>
              <w:ind w:left="100"/>
              <w:spacing w:after="0"/>
              <w:rPr>
                <w:sz w:val="20"/>
                <w:szCs w:val="20"/>
                <w:color w:val="auto"/>
              </w:rPr>
            </w:pPr>
            <w:r>
              <w:rPr>
                <w:rFonts w:ascii="Arial" w:cs="Arial" w:eastAsia="Arial" w:hAnsi="Arial"/>
                <w:sz w:val="17"/>
                <w:szCs w:val="17"/>
                <w:color w:val="auto"/>
              </w:rPr>
              <w:t>The Board believes that this proposal is adequately addressed in the Board’s</w:t>
            </w:r>
          </w:p>
        </w:tc>
        <w:tc>
          <w:tcPr>
            <w:tcW w:w="440" w:type="dxa"/>
            <w:vAlign w:val="bottom"/>
            <w:shd w:val="clear" w:color="auto" w:fill="F4F3F3"/>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280" w:type="dxa"/>
            <w:vAlign w:val="bottom"/>
            <w:vMerge w:val="restart"/>
            <w:shd w:val="clear" w:color="auto" w:fill="F4F3F3"/>
          </w:tcPr>
          <w:p>
            <w:pPr>
              <w:ind w:left="80"/>
              <w:spacing w:after="0"/>
              <w:rPr>
                <w:sz w:val="20"/>
                <w:szCs w:val="20"/>
                <w:color w:val="auto"/>
              </w:rPr>
            </w:pPr>
            <w:r>
              <w:rPr>
                <w:rFonts w:ascii="Arial" w:cs="Arial" w:eastAsia="Arial" w:hAnsi="Arial"/>
                <w:sz w:val="17"/>
                <w:szCs w:val="17"/>
                <w:color w:val="auto"/>
              </w:rPr>
              <w:t>5.</w:t>
            </w:r>
          </w:p>
        </w:tc>
        <w:tc>
          <w:tcPr>
            <w:tcW w:w="120" w:type="dxa"/>
            <w:vAlign w:val="bottom"/>
            <w:shd w:val="clear" w:color="auto" w:fill="F4F3F3"/>
          </w:tcPr>
          <w:p>
            <w:pPr>
              <w:spacing w:after="0"/>
              <w:rPr>
                <w:sz w:val="14"/>
                <w:szCs w:val="14"/>
                <w:color w:val="auto"/>
              </w:rPr>
            </w:pPr>
          </w:p>
        </w:tc>
        <w:tc>
          <w:tcPr>
            <w:tcW w:w="2300" w:type="dxa"/>
            <w:vAlign w:val="bottom"/>
            <w:shd w:val="clear" w:color="auto" w:fill="F4F3F3"/>
          </w:tcPr>
          <w:p>
            <w:pPr>
              <w:spacing w:after="0" w:line="167" w:lineRule="exact"/>
              <w:rPr>
                <w:sz w:val="20"/>
                <w:szCs w:val="20"/>
                <w:color w:val="auto"/>
              </w:rPr>
            </w:pPr>
            <w:r>
              <w:rPr>
                <w:rFonts w:ascii="Arial" w:cs="Arial" w:eastAsia="Arial" w:hAnsi="Arial"/>
                <w:sz w:val="17"/>
                <w:szCs w:val="17"/>
                <w:color w:val="auto"/>
              </w:rPr>
              <w:t>allow holders of 15% of</w:t>
            </w:r>
          </w:p>
        </w:tc>
        <w:tc>
          <w:tcPr>
            <w:tcW w:w="100" w:type="dxa"/>
            <w:vAlign w:val="bottom"/>
            <w:shd w:val="clear" w:color="auto" w:fill="F4F3F3"/>
          </w:tcPr>
          <w:p>
            <w:pPr>
              <w:spacing w:after="0"/>
              <w:rPr>
                <w:sz w:val="14"/>
                <w:szCs w:val="14"/>
                <w:color w:val="auto"/>
              </w:rPr>
            </w:pPr>
          </w:p>
        </w:tc>
        <w:tc>
          <w:tcPr>
            <w:tcW w:w="1320" w:type="dxa"/>
            <w:vAlign w:val="bottom"/>
            <w:vMerge w:val="restart"/>
            <w:shd w:val="clear" w:color="auto" w:fill="F4F3F3"/>
          </w:tcPr>
          <w:p>
            <w:pPr>
              <w:jc w:val="center"/>
              <w:spacing w:after="0"/>
              <w:rPr>
                <w:sz w:val="20"/>
                <w:szCs w:val="20"/>
                <w:color w:val="auto"/>
              </w:rPr>
            </w:pPr>
            <w:r>
              <w:rPr>
                <w:rFonts w:ascii="Arial" w:cs="Arial" w:eastAsia="Arial" w:hAnsi="Arial"/>
                <w:sz w:val="17"/>
                <w:szCs w:val="17"/>
                <w:b w:val="1"/>
                <w:bCs w:val="1"/>
                <w:color w:val="998C87"/>
                <w:w w:val="99"/>
              </w:rPr>
              <w:t>AGAINST</w:t>
            </w:r>
          </w:p>
        </w:tc>
        <w:tc>
          <w:tcPr>
            <w:tcW w:w="6440" w:type="dxa"/>
            <w:vAlign w:val="bottom"/>
            <w:shd w:val="clear" w:color="auto" w:fill="F4F3F3"/>
          </w:tcPr>
          <w:p>
            <w:pPr>
              <w:ind w:left="100"/>
              <w:spacing w:after="0" w:line="167" w:lineRule="exact"/>
              <w:rPr>
                <w:sz w:val="20"/>
                <w:szCs w:val="20"/>
                <w:color w:val="auto"/>
              </w:rPr>
            </w:pPr>
            <w:r>
              <w:rPr>
                <w:rFonts w:ascii="Arial" w:cs="Arial" w:eastAsia="Arial" w:hAnsi="Arial"/>
                <w:sz w:val="17"/>
                <w:szCs w:val="17"/>
                <w:color w:val="auto"/>
              </w:rPr>
              <w:t>own proposal to provide that right to stockholders (see Item 4. above).</w:t>
            </w:r>
          </w:p>
        </w:tc>
        <w:tc>
          <w:tcPr>
            <w:tcW w:w="440" w:type="dxa"/>
            <w:vAlign w:val="bottom"/>
            <w:vMerge w:val="restart"/>
            <w:shd w:val="clear" w:color="auto" w:fill="F4F3F3"/>
          </w:tcPr>
          <w:p>
            <w:pPr>
              <w:jc w:val="center"/>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189"/>
        </w:trPr>
        <w:tc>
          <w:tcPr>
            <w:tcW w:w="280" w:type="dxa"/>
            <w:vAlign w:val="bottom"/>
            <w:vMerge w:val="continue"/>
            <w:shd w:val="clear" w:color="auto" w:fill="F4F3F3"/>
          </w:tcPr>
          <w:p>
            <w:pPr>
              <w:spacing w:after="0"/>
              <w:rPr>
                <w:sz w:val="16"/>
                <w:szCs w:val="16"/>
                <w:color w:val="auto"/>
              </w:rPr>
            </w:pPr>
          </w:p>
        </w:tc>
        <w:tc>
          <w:tcPr>
            <w:tcW w:w="120" w:type="dxa"/>
            <w:vAlign w:val="bottom"/>
            <w:shd w:val="clear" w:color="auto" w:fill="F4F3F3"/>
          </w:tcPr>
          <w:p>
            <w:pPr>
              <w:spacing w:after="0"/>
              <w:rPr>
                <w:sz w:val="16"/>
                <w:szCs w:val="16"/>
                <w:color w:val="auto"/>
              </w:rPr>
            </w:pPr>
          </w:p>
        </w:tc>
        <w:tc>
          <w:tcPr>
            <w:tcW w:w="2300" w:type="dxa"/>
            <w:vAlign w:val="bottom"/>
            <w:shd w:val="clear" w:color="auto" w:fill="F4F3F3"/>
          </w:tcPr>
          <w:p>
            <w:pPr>
              <w:spacing w:after="0" w:line="189" w:lineRule="exact"/>
              <w:rPr>
                <w:sz w:val="20"/>
                <w:szCs w:val="20"/>
                <w:color w:val="auto"/>
              </w:rPr>
            </w:pPr>
            <w:r>
              <w:rPr>
                <w:rFonts w:ascii="Arial" w:cs="Arial" w:eastAsia="Arial" w:hAnsi="Arial"/>
                <w:sz w:val="17"/>
                <w:szCs w:val="17"/>
                <w:color w:val="auto"/>
              </w:rPr>
              <w:t>Company stock to call special</w:t>
            </w:r>
          </w:p>
        </w:tc>
        <w:tc>
          <w:tcPr>
            <w:tcW w:w="100" w:type="dxa"/>
            <w:vAlign w:val="bottom"/>
            <w:shd w:val="clear" w:color="auto" w:fill="F4F3F3"/>
          </w:tcPr>
          <w:p>
            <w:pPr>
              <w:spacing w:after="0"/>
              <w:rPr>
                <w:sz w:val="16"/>
                <w:szCs w:val="16"/>
                <w:color w:val="auto"/>
              </w:rPr>
            </w:pPr>
          </w:p>
        </w:tc>
        <w:tc>
          <w:tcPr>
            <w:tcW w:w="1320" w:type="dxa"/>
            <w:vAlign w:val="bottom"/>
            <w:vMerge w:val="continue"/>
            <w:shd w:val="clear" w:color="auto" w:fill="F4F3F3"/>
          </w:tcPr>
          <w:p>
            <w:pPr>
              <w:spacing w:after="0"/>
              <w:rPr>
                <w:sz w:val="16"/>
                <w:szCs w:val="16"/>
                <w:color w:val="auto"/>
              </w:rPr>
            </w:pPr>
          </w:p>
        </w:tc>
        <w:tc>
          <w:tcPr>
            <w:tcW w:w="6440" w:type="dxa"/>
            <w:vAlign w:val="bottom"/>
            <w:shd w:val="clear" w:color="auto" w:fill="F4F3F3"/>
          </w:tcPr>
          <w:p>
            <w:pPr>
              <w:spacing w:after="0"/>
              <w:rPr>
                <w:sz w:val="16"/>
                <w:szCs w:val="16"/>
                <w:color w:val="auto"/>
              </w:rPr>
            </w:pPr>
          </w:p>
        </w:tc>
        <w:tc>
          <w:tcPr>
            <w:tcW w:w="440" w:type="dxa"/>
            <w:vAlign w:val="bottom"/>
            <w:vMerge w:val="continue"/>
            <w:shd w:val="clear" w:color="auto" w:fill="F4F3F3"/>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80" w:type="dxa"/>
            <w:vAlign w:val="bottom"/>
            <w:shd w:val="clear" w:color="auto" w:fill="F4F3F3"/>
          </w:tcPr>
          <w:p>
            <w:pPr>
              <w:spacing w:after="0"/>
              <w:rPr>
                <w:sz w:val="20"/>
                <w:szCs w:val="20"/>
                <w:color w:val="auto"/>
              </w:rPr>
            </w:pPr>
          </w:p>
        </w:tc>
        <w:tc>
          <w:tcPr>
            <w:tcW w:w="120" w:type="dxa"/>
            <w:vAlign w:val="bottom"/>
            <w:shd w:val="clear" w:color="auto" w:fill="F4F3F3"/>
          </w:tcPr>
          <w:p>
            <w:pPr>
              <w:spacing w:after="0"/>
              <w:rPr>
                <w:sz w:val="20"/>
                <w:szCs w:val="20"/>
                <w:color w:val="auto"/>
              </w:rPr>
            </w:pPr>
          </w:p>
        </w:tc>
        <w:tc>
          <w:tcPr>
            <w:tcW w:w="2300" w:type="dxa"/>
            <w:vAlign w:val="bottom"/>
            <w:shd w:val="clear" w:color="auto" w:fill="F4F3F3"/>
          </w:tcPr>
          <w:p>
            <w:pPr>
              <w:spacing w:after="0"/>
              <w:rPr>
                <w:sz w:val="20"/>
                <w:szCs w:val="20"/>
                <w:color w:val="auto"/>
              </w:rPr>
            </w:pPr>
            <w:r>
              <w:rPr>
                <w:rFonts w:ascii="Arial" w:cs="Arial" w:eastAsia="Arial" w:hAnsi="Arial"/>
                <w:sz w:val="17"/>
                <w:szCs w:val="17"/>
                <w:color w:val="auto"/>
              </w:rPr>
              <w:t>meetings</w:t>
            </w:r>
          </w:p>
        </w:tc>
        <w:tc>
          <w:tcPr>
            <w:tcW w:w="100" w:type="dxa"/>
            <w:vAlign w:val="bottom"/>
            <w:shd w:val="clear" w:color="auto" w:fill="F4F3F3"/>
          </w:tcPr>
          <w:p>
            <w:pPr>
              <w:spacing w:after="0"/>
              <w:rPr>
                <w:sz w:val="20"/>
                <w:szCs w:val="20"/>
                <w:color w:val="auto"/>
              </w:rPr>
            </w:pPr>
          </w:p>
        </w:tc>
        <w:tc>
          <w:tcPr>
            <w:tcW w:w="1320" w:type="dxa"/>
            <w:vAlign w:val="bottom"/>
            <w:vMerge w:val="restart"/>
            <w:shd w:val="clear" w:color="auto" w:fill="F4F3F3"/>
          </w:tcPr>
          <w:p>
            <w:pPr>
              <w:jc w:val="center"/>
              <w:spacing w:after="0"/>
              <w:rPr>
                <w:sz w:val="20"/>
                <w:szCs w:val="20"/>
                <w:color w:val="auto"/>
              </w:rPr>
            </w:pPr>
            <w:r>
              <w:rPr>
                <w:rFonts w:ascii="Arial" w:cs="Arial" w:eastAsia="Arial" w:hAnsi="Arial"/>
                <w:sz w:val="22"/>
                <w:szCs w:val="22"/>
                <w:b w:val="1"/>
                <w:bCs w:val="1"/>
                <w:color w:val="998C87"/>
                <w:w w:val="95"/>
              </w:rPr>
              <w:t>X</w:t>
            </w:r>
          </w:p>
        </w:tc>
        <w:tc>
          <w:tcPr>
            <w:tcW w:w="6440" w:type="dxa"/>
            <w:vAlign w:val="bottom"/>
            <w:shd w:val="clear" w:color="auto" w:fill="F4F3F3"/>
          </w:tcPr>
          <w:p>
            <w:pPr>
              <w:spacing w:after="0"/>
              <w:rPr>
                <w:sz w:val="20"/>
                <w:szCs w:val="20"/>
                <w:color w:val="auto"/>
              </w:rPr>
            </w:pPr>
          </w:p>
        </w:tc>
        <w:tc>
          <w:tcPr>
            <w:tcW w:w="440" w:type="dxa"/>
            <w:vAlign w:val="bottom"/>
            <w:shd w:val="clear" w:color="auto" w:fill="F4F3F3"/>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80" w:type="dxa"/>
            <w:vAlign w:val="bottom"/>
            <w:shd w:val="clear" w:color="auto" w:fill="F4F3F3"/>
          </w:tcPr>
          <w:p>
            <w:pPr>
              <w:spacing w:after="0"/>
              <w:rPr>
                <w:sz w:val="17"/>
                <w:szCs w:val="17"/>
                <w:color w:val="auto"/>
              </w:rPr>
            </w:pPr>
          </w:p>
        </w:tc>
        <w:tc>
          <w:tcPr>
            <w:tcW w:w="120" w:type="dxa"/>
            <w:vAlign w:val="bottom"/>
            <w:shd w:val="clear" w:color="auto" w:fill="F4F3F3"/>
          </w:tcPr>
          <w:p>
            <w:pPr>
              <w:spacing w:after="0"/>
              <w:rPr>
                <w:sz w:val="17"/>
                <w:szCs w:val="17"/>
                <w:color w:val="auto"/>
              </w:rPr>
            </w:pPr>
          </w:p>
        </w:tc>
        <w:tc>
          <w:tcPr>
            <w:tcW w:w="2300" w:type="dxa"/>
            <w:vAlign w:val="bottom"/>
            <w:shd w:val="clear" w:color="auto" w:fill="F4F3F3"/>
          </w:tcPr>
          <w:p>
            <w:pPr>
              <w:spacing w:after="0"/>
              <w:rPr>
                <w:sz w:val="20"/>
                <w:szCs w:val="20"/>
                <w:color w:val="auto"/>
              </w:rPr>
            </w:pPr>
            <w:r>
              <w:rPr>
                <w:rFonts w:ascii="Arial" w:cs="Arial" w:eastAsia="Arial" w:hAnsi="Arial"/>
                <w:sz w:val="17"/>
                <w:szCs w:val="17"/>
                <w:color w:val="auto"/>
              </w:rPr>
              <w:t>Stockholder resolution</w:t>
            </w:r>
          </w:p>
        </w:tc>
        <w:tc>
          <w:tcPr>
            <w:tcW w:w="100" w:type="dxa"/>
            <w:vAlign w:val="bottom"/>
            <w:shd w:val="clear" w:color="auto" w:fill="F4F3F3"/>
          </w:tcPr>
          <w:p>
            <w:pPr>
              <w:spacing w:after="0"/>
              <w:rPr>
                <w:sz w:val="17"/>
                <w:szCs w:val="17"/>
                <w:color w:val="auto"/>
              </w:rPr>
            </w:pPr>
          </w:p>
        </w:tc>
        <w:tc>
          <w:tcPr>
            <w:tcW w:w="1320" w:type="dxa"/>
            <w:vAlign w:val="bottom"/>
            <w:vMerge w:val="continue"/>
            <w:shd w:val="clear" w:color="auto" w:fill="F4F3F3"/>
          </w:tcPr>
          <w:p>
            <w:pPr>
              <w:spacing w:after="0"/>
              <w:rPr>
                <w:sz w:val="17"/>
                <w:szCs w:val="17"/>
                <w:color w:val="auto"/>
              </w:rPr>
            </w:pPr>
          </w:p>
        </w:tc>
        <w:tc>
          <w:tcPr>
            <w:tcW w:w="6440" w:type="dxa"/>
            <w:vAlign w:val="bottom"/>
            <w:shd w:val="clear" w:color="auto" w:fill="F4F3F3"/>
          </w:tcPr>
          <w:p>
            <w:pPr>
              <w:ind w:left="100"/>
              <w:spacing w:after="0"/>
              <w:rPr>
                <w:sz w:val="20"/>
                <w:szCs w:val="20"/>
                <w:color w:val="auto"/>
              </w:rPr>
            </w:pPr>
            <w:r>
              <w:rPr>
                <w:rFonts w:ascii="Arial" w:cs="Arial" w:eastAsia="Arial" w:hAnsi="Arial"/>
                <w:sz w:val="17"/>
                <w:szCs w:val="17"/>
                <w:color w:val="auto"/>
              </w:rPr>
              <w:t>A majority of votes cast is already the voting standard for uncontested director</w:t>
            </w:r>
          </w:p>
        </w:tc>
        <w:tc>
          <w:tcPr>
            <w:tcW w:w="440" w:type="dxa"/>
            <w:vAlign w:val="bottom"/>
            <w:shd w:val="clear" w:color="auto" w:fill="F4F3F3"/>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80" w:type="dxa"/>
            <w:vAlign w:val="bottom"/>
            <w:vMerge w:val="restart"/>
            <w:shd w:val="clear" w:color="auto" w:fill="F4F3F3"/>
          </w:tcPr>
          <w:p>
            <w:pPr>
              <w:ind w:left="80"/>
              <w:spacing w:after="0"/>
              <w:rPr>
                <w:sz w:val="20"/>
                <w:szCs w:val="20"/>
                <w:color w:val="auto"/>
              </w:rPr>
            </w:pPr>
            <w:r>
              <w:rPr>
                <w:rFonts w:ascii="Arial" w:cs="Arial" w:eastAsia="Arial" w:hAnsi="Arial"/>
                <w:sz w:val="17"/>
                <w:szCs w:val="17"/>
                <w:color w:val="auto"/>
              </w:rPr>
              <w:t>6.</w:t>
            </w:r>
          </w:p>
        </w:tc>
        <w:tc>
          <w:tcPr>
            <w:tcW w:w="120" w:type="dxa"/>
            <w:vAlign w:val="bottom"/>
            <w:shd w:val="clear" w:color="auto" w:fill="F4F3F3"/>
          </w:tcPr>
          <w:p>
            <w:pPr>
              <w:spacing w:after="0"/>
              <w:rPr>
                <w:sz w:val="18"/>
                <w:szCs w:val="18"/>
                <w:color w:val="auto"/>
              </w:rPr>
            </w:pPr>
          </w:p>
        </w:tc>
        <w:tc>
          <w:tcPr>
            <w:tcW w:w="2300" w:type="dxa"/>
            <w:vAlign w:val="bottom"/>
            <w:shd w:val="clear" w:color="auto" w:fill="F4F3F3"/>
          </w:tcPr>
          <w:p>
            <w:pPr>
              <w:spacing w:after="0"/>
              <w:rPr>
                <w:sz w:val="20"/>
                <w:szCs w:val="20"/>
                <w:color w:val="auto"/>
              </w:rPr>
            </w:pPr>
            <w:r>
              <w:rPr>
                <w:rFonts w:ascii="Arial" w:cs="Arial" w:eastAsia="Arial" w:hAnsi="Arial"/>
                <w:sz w:val="17"/>
                <w:szCs w:val="17"/>
                <w:color w:val="auto"/>
              </w:rPr>
              <w:t>recommending</w:t>
            </w:r>
          </w:p>
        </w:tc>
        <w:tc>
          <w:tcPr>
            <w:tcW w:w="100" w:type="dxa"/>
            <w:vAlign w:val="bottom"/>
            <w:shd w:val="clear" w:color="auto" w:fill="F4F3F3"/>
          </w:tcPr>
          <w:p>
            <w:pPr>
              <w:spacing w:after="0"/>
              <w:rPr>
                <w:sz w:val="18"/>
                <w:szCs w:val="18"/>
                <w:color w:val="auto"/>
              </w:rPr>
            </w:pPr>
          </w:p>
        </w:tc>
        <w:tc>
          <w:tcPr>
            <w:tcW w:w="1320" w:type="dxa"/>
            <w:vAlign w:val="bottom"/>
            <w:shd w:val="clear" w:color="auto" w:fill="F4F3F3"/>
          </w:tcPr>
          <w:p>
            <w:pPr>
              <w:jc w:val="center"/>
              <w:spacing w:after="0"/>
              <w:rPr>
                <w:sz w:val="20"/>
                <w:szCs w:val="20"/>
                <w:color w:val="auto"/>
              </w:rPr>
            </w:pPr>
            <w:r>
              <w:rPr>
                <w:rFonts w:ascii="Arial" w:cs="Arial" w:eastAsia="Arial" w:hAnsi="Arial"/>
                <w:sz w:val="17"/>
                <w:szCs w:val="17"/>
                <w:b w:val="1"/>
                <w:bCs w:val="1"/>
                <w:color w:val="998C87"/>
                <w:w w:val="99"/>
              </w:rPr>
              <w:t>AGAINST</w:t>
            </w:r>
          </w:p>
        </w:tc>
        <w:tc>
          <w:tcPr>
            <w:tcW w:w="6440" w:type="dxa"/>
            <w:vAlign w:val="bottom"/>
            <w:shd w:val="clear" w:color="auto" w:fill="F4F3F3"/>
          </w:tcPr>
          <w:p>
            <w:pPr>
              <w:ind w:left="100"/>
              <w:spacing w:after="0"/>
              <w:rPr>
                <w:sz w:val="20"/>
                <w:szCs w:val="20"/>
                <w:color w:val="auto"/>
              </w:rPr>
            </w:pPr>
            <w:r>
              <w:rPr>
                <w:rFonts w:ascii="Arial" w:cs="Arial" w:eastAsia="Arial" w:hAnsi="Arial"/>
                <w:sz w:val="17"/>
                <w:szCs w:val="17"/>
                <w:color w:val="auto"/>
              </w:rPr>
              <w:t>elections. The approval of two-thirds of outstanding shares is required only for</w:t>
            </w:r>
          </w:p>
        </w:tc>
        <w:tc>
          <w:tcPr>
            <w:tcW w:w="440" w:type="dxa"/>
            <w:vAlign w:val="bottom"/>
            <w:vMerge w:val="restart"/>
            <w:shd w:val="clear" w:color="auto" w:fill="F4F3F3"/>
          </w:tcPr>
          <w:p>
            <w:pPr>
              <w:jc w:val="center"/>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162"/>
        </w:trPr>
        <w:tc>
          <w:tcPr>
            <w:tcW w:w="280" w:type="dxa"/>
            <w:vAlign w:val="bottom"/>
            <w:vMerge w:val="continue"/>
            <w:shd w:val="clear" w:color="auto" w:fill="F4F3F3"/>
          </w:tcPr>
          <w:p>
            <w:pPr>
              <w:spacing w:after="0"/>
              <w:rPr>
                <w:sz w:val="14"/>
                <w:szCs w:val="14"/>
                <w:color w:val="auto"/>
              </w:rPr>
            </w:pPr>
          </w:p>
        </w:tc>
        <w:tc>
          <w:tcPr>
            <w:tcW w:w="120" w:type="dxa"/>
            <w:vAlign w:val="bottom"/>
            <w:shd w:val="clear" w:color="auto" w:fill="F4F3F3"/>
          </w:tcPr>
          <w:p>
            <w:pPr>
              <w:spacing w:after="0"/>
              <w:rPr>
                <w:sz w:val="14"/>
                <w:szCs w:val="14"/>
                <w:color w:val="auto"/>
              </w:rPr>
            </w:pPr>
          </w:p>
        </w:tc>
        <w:tc>
          <w:tcPr>
            <w:tcW w:w="2300" w:type="dxa"/>
            <w:vAlign w:val="bottom"/>
            <w:shd w:val="clear" w:color="auto" w:fill="F4F3F3"/>
          </w:tcPr>
          <w:p>
            <w:pPr>
              <w:spacing w:after="0" w:line="162" w:lineRule="exact"/>
              <w:rPr>
                <w:sz w:val="20"/>
                <w:szCs w:val="20"/>
                <w:color w:val="auto"/>
              </w:rPr>
            </w:pPr>
            <w:r>
              <w:rPr>
                <w:rFonts w:ascii="Arial" w:cs="Arial" w:eastAsia="Arial" w:hAnsi="Arial"/>
                <w:sz w:val="17"/>
                <w:szCs w:val="17"/>
                <w:color w:val="auto"/>
              </w:rPr>
              <w:t>implementation of a simple</w:t>
            </w:r>
          </w:p>
        </w:tc>
        <w:tc>
          <w:tcPr>
            <w:tcW w:w="100" w:type="dxa"/>
            <w:vAlign w:val="bottom"/>
            <w:shd w:val="clear" w:color="auto" w:fill="F4F3F3"/>
          </w:tcPr>
          <w:p>
            <w:pPr>
              <w:spacing w:after="0"/>
              <w:rPr>
                <w:sz w:val="14"/>
                <w:szCs w:val="14"/>
                <w:color w:val="auto"/>
              </w:rPr>
            </w:pPr>
          </w:p>
        </w:tc>
        <w:tc>
          <w:tcPr>
            <w:tcW w:w="1320" w:type="dxa"/>
            <w:vAlign w:val="bottom"/>
            <w:shd w:val="clear" w:color="auto" w:fill="F4F3F3"/>
          </w:tcPr>
          <w:p>
            <w:pPr>
              <w:spacing w:after="0"/>
              <w:rPr>
                <w:sz w:val="14"/>
                <w:szCs w:val="14"/>
                <w:color w:val="auto"/>
              </w:rPr>
            </w:pPr>
          </w:p>
        </w:tc>
        <w:tc>
          <w:tcPr>
            <w:tcW w:w="6440" w:type="dxa"/>
            <w:vAlign w:val="bottom"/>
            <w:shd w:val="clear" w:color="auto" w:fill="F4F3F3"/>
          </w:tcPr>
          <w:p>
            <w:pPr>
              <w:ind w:left="100"/>
              <w:spacing w:after="0" w:line="162" w:lineRule="exact"/>
              <w:rPr>
                <w:sz w:val="20"/>
                <w:szCs w:val="20"/>
                <w:color w:val="auto"/>
              </w:rPr>
            </w:pPr>
            <w:r>
              <w:rPr>
                <w:rFonts w:ascii="Arial" w:cs="Arial" w:eastAsia="Arial" w:hAnsi="Arial"/>
                <w:sz w:val="17"/>
                <w:szCs w:val="17"/>
                <w:color w:val="auto"/>
              </w:rPr>
              <w:t>fundamental changes to the Company’s corporate governance. The Board notes</w:t>
            </w:r>
          </w:p>
        </w:tc>
        <w:tc>
          <w:tcPr>
            <w:tcW w:w="440" w:type="dxa"/>
            <w:vAlign w:val="bottom"/>
            <w:vMerge w:val="continue"/>
            <w:shd w:val="clear" w:color="auto" w:fill="F4F3F3"/>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80" w:type="dxa"/>
            <w:vAlign w:val="bottom"/>
            <w:shd w:val="clear" w:color="auto" w:fill="F4F3F3"/>
          </w:tcPr>
          <w:p>
            <w:pPr>
              <w:spacing w:after="0"/>
              <w:rPr>
                <w:sz w:val="15"/>
                <w:szCs w:val="15"/>
                <w:color w:val="auto"/>
              </w:rPr>
            </w:pPr>
          </w:p>
        </w:tc>
        <w:tc>
          <w:tcPr>
            <w:tcW w:w="120" w:type="dxa"/>
            <w:vAlign w:val="bottom"/>
            <w:shd w:val="clear" w:color="auto" w:fill="F4F3F3"/>
          </w:tcPr>
          <w:p>
            <w:pPr>
              <w:spacing w:after="0"/>
              <w:rPr>
                <w:sz w:val="15"/>
                <w:szCs w:val="15"/>
                <w:color w:val="auto"/>
              </w:rPr>
            </w:pPr>
          </w:p>
        </w:tc>
        <w:tc>
          <w:tcPr>
            <w:tcW w:w="2300" w:type="dxa"/>
            <w:vAlign w:val="bottom"/>
            <w:shd w:val="clear" w:color="auto" w:fill="F4F3F3"/>
          </w:tcPr>
          <w:p>
            <w:pPr>
              <w:spacing w:after="0" w:line="174" w:lineRule="exact"/>
              <w:rPr>
                <w:sz w:val="20"/>
                <w:szCs w:val="20"/>
                <w:color w:val="auto"/>
              </w:rPr>
            </w:pPr>
            <w:r>
              <w:rPr>
                <w:rFonts w:ascii="Arial" w:cs="Arial" w:eastAsia="Arial" w:hAnsi="Arial"/>
                <w:sz w:val="17"/>
                <w:szCs w:val="17"/>
                <w:color w:val="auto"/>
              </w:rPr>
              <w:t>majority voting standard in our</w:t>
            </w:r>
          </w:p>
        </w:tc>
        <w:tc>
          <w:tcPr>
            <w:tcW w:w="100" w:type="dxa"/>
            <w:vAlign w:val="bottom"/>
            <w:shd w:val="clear" w:color="auto" w:fill="F4F3F3"/>
          </w:tcPr>
          <w:p>
            <w:pPr>
              <w:spacing w:after="0"/>
              <w:rPr>
                <w:sz w:val="15"/>
                <w:szCs w:val="15"/>
                <w:color w:val="auto"/>
              </w:rPr>
            </w:pPr>
          </w:p>
        </w:tc>
        <w:tc>
          <w:tcPr>
            <w:tcW w:w="1320" w:type="dxa"/>
            <w:vAlign w:val="bottom"/>
            <w:shd w:val="clear" w:color="auto" w:fill="F4F3F3"/>
          </w:tcPr>
          <w:p>
            <w:pPr>
              <w:spacing w:after="0"/>
              <w:rPr>
                <w:sz w:val="15"/>
                <w:szCs w:val="15"/>
                <w:color w:val="auto"/>
              </w:rPr>
            </w:pPr>
          </w:p>
        </w:tc>
        <w:tc>
          <w:tcPr>
            <w:tcW w:w="6440" w:type="dxa"/>
            <w:vAlign w:val="bottom"/>
            <w:shd w:val="clear" w:color="auto" w:fill="F4F3F3"/>
          </w:tcPr>
          <w:p>
            <w:pPr>
              <w:ind w:left="100"/>
              <w:spacing w:after="0" w:line="174" w:lineRule="exact"/>
              <w:rPr>
                <w:sz w:val="20"/>
                <w:szCs w:val="20"/>
                <w:color w:val="auto"/>
              </w:rPr>
            </w:pPr>
            <w:r>
              <w:rPr>
                <w:rFonts w:ascii="Arial" w:cs="Arial" w:eastAsia="Arial" w:hAnsi="Arial"/>
                <w:sz w:val="17"/>
                <w:szCs w:val="17"/>
                <w:color w:val="auto"/>
              </w:rPr>
              <w:t>that this proposal has been rejected by stockholders on the three previous</w:t>
            </w:r>
          </w:p>
        </w:tc>
        <w:tc>
          <w:tcPr>
            <w:tcW w:w="440" w:type="dxa"/>
            <w:vAlign w:val="bottom"/>
            <w:shd w:val="clear" w:color="auto" w:fill="F4F3F3"/>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80" w:type="dxa"/>
            <w:vAlign w:val="bottom"/>
            <w:tcBorders>
              <w:bottom w:val="single" w:sz="8" w:color="F4F3F3"/>
            </w:tcBorders>
            <w:shd w:val="clear" w:color="auto" w:fill="F4F3F3"/>
          </w:tcPr>
          <w:p>
            <w:pPr>
              <w:spacing w:after="0"/>
              <w:rPr>
                <w:sz w:val="22"/>
                <w:szCs w:val="22"/>
                <w:color w:val="auto"/>
              </w:rPr>
            </w:pPr>
          </w:p>
        </w:tc>
        <w:tc>
          <w:tcPr>
            <w:tcW w:w="120" w:type="dxa"/>
            <w:vAlign w:val="bottom"/>
            <w:tcBorders>
              <w:bottom w:val="single" w:sz="8" w:color="F4F3F3"/>
            </w:tcBorders>
            <w:shd w:val="clear" w:color="auto" w:fill="F4F3F3"/>
          </w:tcPr>
          <w:p>
            <w:pPr>
              <w:spacing w:after="0"/>
              <w:rPr>
                <w:sz w:val="22"/>
                <w:szCs w:val="22"/>
                <w:color w:val="auto"/>
              </w:rPr>
            </w:pPr>
          </w:p>
        </w:tc>
        <w:tc>
          <w:tcPr>
            <w:tcW w:w="2300" w:type="dxa"/>
            <w:vAlign w:val="bottom"/>
            <w:tcBorders>
              <w:bottom w:val="single" w:sz="8" w:color="F4F3F3"/>
            </w:tcBorders>
            <w:shd w:val="clear" w:color="auto" w:fill="F4F3F3"/>
          </w:tcPr>
          <w:p>
            <w:pPr>
              <w:spacing w:after="0"/>
              <w:rPr>
                <w:sz w:val="20"/>
                <w:szCs w:val="20"/>
                <w:color w:val="auto"/>
              </w:rPr>
            </w:pPr>
            <w:r>
              <w:rPr>
                <w:rFonts w:ascii="Arial" w:cs="Arial" w:eastAsia="Arial" w:hAnsi="Arial"/>
                <w:sz w:val="17"/>
                <w:szCs w:val="17"/>
                <w:color w:val="auto"/>
              </w:rPr>
              <w:t>governance documents</w:t>
            </w:r>
          </w:p>
        </w:tc>
        <w:tc>
          <w:tcPr>
            <w:tcW w:w="100" w:type="dxa"/>
            <w:vAlign w:val="bottom"/>
            <w:tcBorders>
              <w:bottom w:val="single" w:sz="8" w:color="F4F3F3"/>
            </w:tcBorders>
            <w:shd w:val="clear" w:color="auto" w:fill="F4F3F3"/>
          </w:tcPr>
          <w:p>
            <w:pPr>
              <w:spacing w:after="0"/>
              <w:rPr>
                <w:sz w:val="22"/>
                <w:szCs w:val="22"/>
                <w:color w:val="auto"/>
              </w:rPr>
            </w:pPr>
          </w:p>
        </w:tc>
        <w:tc>
          <w:tcPr>
            <w:tcW w:w="1320" w:type="dxa"/>
            <w:vAlign w:val="bottom"/>
            <w:tcBorders>
              <w:bottom w:val="single" w:sz="8" w:color="F4F3F3"/>
            </w:tcBorders>
            <w:shd w:val="clear" w:color="auto" w:fill="F4F3F3"/>
          </w:tcPr>
          <w:p>
            <w:pPr>
              <w:spacing w:after="0"/>
              <w:rPr>
                <w:sz w:val="22"/>
                <w:szCs w:val="22"/>
                <w:color w:val="auto"/>
              </w:rPr>
            </w:pPr>
          </w:p>
        </w:tc>
        <w:tc>
          <w:tcPr>
            <w:tcW w:w="6440" w:type="dxa"/>
            <w:vAlign w:val="bottom"/>
            <w:tcBorders>
              <w:bottom w:val="single" w:sz="8" w:color="F4F3F3"/>
            </w:tcBorders>
            <w:shd w:val="clear" w:color="auto" w:fill="F4F3F3"/>
          </w:tcPr>
          <w:p>
            <w:pPr>
              <w:ind w:left="100"/>
              <w:spacing w:after="0"/>
              <w:rPr>
                <w:sz w:val="20"/>
                <w:szCs w:val="20"/>
                <w:color w:val="auto"/>
              </w:rPr>
            </w:pPr>
            <w:r>
              <w:rPr>
                <w:rFonts w:ascii="Arial" w:cs="Arial" w:eastAsia="Arial" w:hAnsi="Arial"/>
                <w:sz w:val="17"/>
                <w:szCs w:val="17"/>
                <w:color w:val="auto"/>
              </w:rPr>
              <w:t>occasions that it was presented.</w:t>
            </w:r>
          </w:p>
        </w:tc>
        <w:tc>
          <w:tcPr>
            <w:tcW w:w="440" w:type="dxa"/>
            <w:vAlign w:val="bottom"/>
            <w:tcBorders>
              <w:bottom w:val="single" w:sz="8" w:color="F4F3F3"/>
            </w:tcBorders>
            <w:shd w:val="clear" w:color="auto" w:fill="F4F3F3"/>
          </w:tcPr>
          <w:p>
            <w:pPr>
              <w:spacing w:after="0"/>
              <w:rPr>
                <w:sz w:val="22"/>
                <w:szCs w:val="22"/>
                <w:color w:val="auto"/>
              </w:rPr>
            </w:pPr>
          </w:p>
        </w:tc>
        <w:tc>
          <w:tcPr>
            <w:tcW w:w="0" w:type="dxa"/>
            <w:vAlign w:val="bottom"/>
          </w:tcPr>
          <w:p>
            <w:pPr>
              <w:spacing w:after="0"/>
              <w:rPr>
                <w:sz w:val="1"/>
                <w:szCs w:val="1"/>
                <w:color w:val="auto"/>
              </w:rPr>
            </w:pPr>
          </w:p>
        </w:tc>
      </w:tr>
      <w:tr>
        <w:trPr>
          <w:trHeight w:val="353"/>
        </w:trPr>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440" w:type="dxa"/>
            <w:vAlign w:val="bottom"/>
          </w:tcPr>
          <w:p>
            <w:pPr>
              <w:ind w:left="4920"/>
              <w:spacing w:after="0"/>
              <w:rPr>
                <w:sz w:val="20"/>
                <w:szCs w:val="20"/>
                <w:color w:val="auto"/>
              </w:rPr>
            </w:pPr>
            <w:r>
              <w:rPr>
                <w:rFonts w:ascii="Arial" w:cs="Arial" w:eastAsia="Arial" w:hAnsi="Arial"/>
                <w:sz w:val="15"/>
                <w:szCs w:val="15"/>
                <w:color w:val="998C87"/>
              </w:rPr>
              <w:t>2018 Proxy Statement</w:t>
            </w:r>
          </w:p>
        </w:tc>
        <w:tc>
          <w:tcPr>
            <w:tcW w:w="440" w:type="dxa"/>
            <w:vAlign w:val="bottom"/>
          </w:tcPr>
          <w:p>
            <w:pPr>
              <w:jc w:val="right"/>
              <w:spacing w:after="0"/>
              <w:rPr>
                <w:sz w:val="20"/>
                <w:szCs w:val="20"/>
                <w:color w:val="auto"/>
              </w:rPr>
            </w:pPr>
            <w:r>
              <w:rPr>
                <w:rFonts w:ascii="Arial" w:cs="Arial" w:eastAsia="Arial" w:hAnsi="Arial"/>
                <w:sz w:val="15"/>
                <w:szCs w:val="15"/>
                <w:b w:val="1"/>
                <w:bCs w:val="1"/>
                <w:color w:val="7F7F7F"/>
              </w:rPr>
              <w:t>1</w:t>
            </w:r>
          </w:p>
        </w:tc>
        <w:tc>
          <w:tcPr>
            <w:tcW w:w="0" w:type="dxa"/>
            <w:vAlign w:val="bottom"/>
          </w:tcPr>
          <w:p>
            <w:pPr>
              <w:spacing w:after="0"/>
              <w:rPr>
                <w:sz w:val="1"/>
                <w:szCs w:val="1"/>
                <w:color w:val="auto"/>
              </w:rPr>
            </w:pPr>
          </w:p>
        </w:tc>
      </w:tr>
    </w:tbl>
    <w:p>
      <w:pPr>
        <w:sectPr>
          <w:pgSz w:w="11900" w:h="16838" w:orient="portrait"/>
          <w:cols w:equalWidth="0" w:num="1">
            <w:col w:w="11220"/>
          </w:cols>
          <w:pgMar w:left="240" w:top="455" w:right="4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ind w:left="220"/>
        <w:spacing w:after="0"/>
        <w:rPr>
          <w:sz w:val="20"/>
          <w:szCs w:val="20"/>
          <w:color w:val="auto"/>
        </w:rPr>
      </w:pPr>
      <w:r>
        <w:rPr>
          <w:rFonts w:ascii="Arial" w:cs="Arial" w:eastAsia="Arial" w:hAnsi="Arial"/>
          <w:sz w:val="15"/>
          <w:szCs w:val="15"/>
          <w:color w:val="7F7F7F"/>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25"/>
          <w:szCs w:val="25"/>
          <w:color w:val="7F7F7F"/>
        </w:rPr>
        <w:t>Our director nominees</w:t>
      </w:r>
    </w:p>
    <w:p>
      <w:pPr>
        <w:spacing w:after="0" w:line="118"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See “Corporate Governance – Nominees to Our Board of Directors” for more information.</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provides summary information about each director nominee. Each director is elected annually by a majority of votes 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167640</wp:posOffset>
            </wp:positionV>
            <wp:extent cx="6989445" cy="40862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89445" cy="4086225"/>
                    </a:xfrm>
                    <a:prstGeom prst="rect">
                      <a:avLst/>
                    </a:prstGeom>
                    <a:noFill/>
                  </pic:spPr>
                </pic:pic>
              </a:graphicData>
            </a:graphic>
          </wp:anchor>
        </w:drawing>
      </w:r>
    </w:p>
    <w:p>
      <w:pPr>
        <w:spacing w:after="0" w:line="244"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5500" w:type="dxa"/>
            <w:vAlign w:val="bottom"/>
            <w:shd w:val="clear" w:color="auto" w:fill="998C87"/>
          </w:tcPr>
          <w:p>
            <w:pPr>
              <w:ind w:left="200"/>
              <w:spacing w:after="0"/>
              <w:rPr>
                <w:sz w:val="20"/>
                <w:szCs w:val="20"/>
                <w:color w:val="auto"/>
              </w:rPr>
            </w:pPr>
            <w:r>
              <w:rPr>
                <w:rFonts w:ascii="Arial" w:cs="Arial" w:eastAsia="Arial" w:hAnsi="Arial"/>
                <w:sz w:val="14"/>
                <w:szCs w:val="14"/>
                <w:b w:val="1"/>
                <w:bCs w:val="1"/>
                <w:color w:val="FFFFFF"/>
              </w:rPr>
              <w:t>Name</w:t>
            </w:r>
          </w:p>
        </w:tc>
        <w:tc>
          <w:tcPr>
            <w:tcW w:w="500" w:type="dxa"/>
            <w:vAlign w:val="bottom"/>
            <w:shd w:val="clear" w:color="auto" w:fill="998C87"/>
          </w:tcPr>
          <w:p>
            <w:pPr>
              <w:spacing w:after="0"/>
              <w:rPr>
                <w:sz w:val="15"/>
                <w:szCs w:val="15"/>
                <w:color w:val="auto"/>
              </w:rPr>
            </w:pPr>
          </w:p>
        </w:tc>
        <w:tc>
          <w:tcPr>
            <w:tcW w:w="74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Director</w:t>
            </w:r>
          </w:p>
        </w:tc>
        <w:tc>
          <w:tcPr>
            <w:tcW w:w="1000" w:type="dxa"/>
            <w:vAlign w:val="bottom"/>
            <w:shd w:val="clear" w:color="auto" w:fill="998C87"/>
          </w:tcPr>
          <w:p>
            <w:pPr>
              <w:spacing w:after="0"/>
              <w:rPr>
                <w:sz w:val="15"/>
                <w:szCs w:val="15"/>
                <w:color w:val="auto"/>
              </w:rPr>
            </w:pPr>
          </w:p>
        </w:tc>
        <w:tc>
          <w:tcPr>
            <w:tcW w:w="160" w:type="dxa"/>
            <w:vAlign w:val="bottom"/>
            <w:shd w:val="clear" w:color="auto" w:fill="998C87"/>
          </w:tcPr>
          <w:p>
            <w:pPr>
              <w:spacing w:after="0"/>
              <w:rPr>
                <w:sz w:val="15"/>
                <w:szCs w:val="15"/>
                <w:color w:val="auto"/>
              </w:rPr>
            </w:pPr>
          </w:p>
        </w:tc>
        <w:tc>
          <w:tcPr>
            <w:tcW w:w="240" w:type="dxa"/>
            <w:vAlign w:val="bottom"/>
            <w:tcBorders>
              <w:right w:val="single" w:sz="8" w:color="998C87"/>
            </w:tcBorders>
            <w:shd w:val="clear" w:color="auto" w:fill="998C87"/>
          </w:tcPr>
          <w:p>
            <w:pPr>
              <w:spacing w:after="0"/>
              <w:rPr>
                <w:sz w:val="15"/>
                <w:szCs w:val="15"/>
                <w:color w:val="auto"/>
              </w:rPr>
            </w:pPr>
          </w:p>
        </w:tc>
        <w:tc>
          <w:tcPr>
            <w:tcW w:w="260" w:type="dxa"/>
            <w:vAlign w:val="bottom"/>
            <w:shd w:val="clear" w:color="auto" w:fill="998C87"/>
          </w:tcPr>
          <w:p>
            <w:pPr>
              <w:spacing w:after="0"/>
              <w:rPr>
                <w:sz w:val="15"/>
                <w:szCs w:val="15"/>
                <w:color w:val="auto"/>
              </w:rPr>
            </w:pPr>
          </w:p>
        </w:tc>
        <w:tc>
          <w:tcPr>
            <w:tcW w:w="1980" w:type="dxa"/>
            <w:vAlign w:val="bottom"/>
            <w:tcBorders>
              <w:left w:val="single" w:sz="8" w:color="998C87"/>
              <w:right w:val="single" w:sz="8" w:color="998C87"/>
            </w:tcBorders>
            <w:gridSpan w:val="8"/>
            <w:shd w:val="clear" w:color="auto" w:fill="998C87"/>
          </w:tcPr>
          <w:p>
            <w:pPr>
              <w:ind w:left="100"/>
              <w:spacing w:after="0"/>
              <w:rPr>
                <w:sz w:val="20"/>
                <w:szCs w:val="20"/>
                <w:color w:val="auto"/>
              </w:rPr>
            </w:pPr>
            <w:r>
              <w:rPr>
                <w:rFonts w:ascii="Arial" w:cs="Arial" w:eastAsia="Arial" w:hAnsi="Arial"/>
                <w:sz w:val="14"/>
                <w:szCs w:val="14"/>
                <w:b w:val="1"/>
                <w:bCs w:val="1"/>
                <w:color w:val="FFFFFF"/>
              </w:rPr>
              <w:t>Committee memberships</w:t>
            </w:r>
          </w:p>
        </w:tc>
        <w:tc>
          <w:tcPr>
            <w:tcW w:w="260" w:type="dxa"/>
            <w:vAlign w:val="bottom"/>
            <w:shd w:val="clear" w:color="auto" w:fill="998C87"/>
          </w:tcPr>
          <w:p>
            <w:pPr>
              <w:spacing w:after="0"/>
              <w:rPr>
                <w:sz w:val="15"/>
                <w:szCs w:val="15"/>
                <w:color w:val="auto"/>
              </w:rPr>
            </w:pPr>
          </w:p>
        </w:tc>
        <w:tc>
          <w:tcPr>
            <w:tcW w:w="240" w:type="dxa"/>
            <w:vAlign w:val="bottom"/>
            <w:shd w:val="clear" w:color="auto" w:fill="998C87"/>
          </w:tcPr>
          <w:p>
            <w:pPr>
              <w:spacing w:after="0"/>
              <w:rPr>
                <w:sz w:val="15"/>
                <w:szCs w:val="15"/>
                <w:color w:val="auto"/>
              </w:rPr>
            </w:pPr>
          </w:p>
        </w:tc>
        <w:tc>
          <w:tcPr>
            <w:tcW w:w="20" w:type="dxa"/>
            <w:vAlign w:val="bottom"/>
            <w:shd w:val="clear" w:color="auto" w:fill="998C87"/>
          </w:tcPr>
          <w:p>
            <w:pPr>
              <w:spacing w:after="0"/>
              <w:rPr>
                <w:sz w:val="15"/>
                <w:szCs w:val="15"/>
                <w:color w:val="auto"/>
              </w:rPr>
            </w:pPr>
          </w:p>
        </w:tc>
        <w:tc>
          <w:tcPr>
            <w:tcW w:w="100" w:type="dxa"/>
            <w:vAlign w:val="bottom"/>
            <w:shd w:val="clear" w:color="auto" w:fill="998C87"/>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00" w:type="dxa"/>
            <w:vAlign w:val="bottom"/>
            <w:shd w:val="clear" w:color="auto" w:fill="998C87"/>
          </w:tcPr>
          <w:p>
            <w:pPr>
              <w:ind w:left="200"/>
              <w:spacing w:after="0"/>
              <w:rPr>
                <w:sz w:val="20"/>
                <w:szCs w:val="20"/>
                <w:color w:val="auto"/>
              </w:rPr>
            </w:pPr>
            <w:r>
              <w:rPr>
                <w:rFonts w:ascii="Arial" w:cs="Arial" w:eastAsia="Arial" w:hAnsi="Arial"/>
                <w:sz w:val="14"/>
                <w:szCs w:val="14"/>
                <w:b w:val="1"/>
                <w:bCs w:val="1"/>
                <w:color w:val="FFFFFF"/>
              </w:rPr>
              <w:t>Occupation</w:t>
            </w:r>
          </w:p>
        </w:tc>
        <w:tc>
          <w:tcPr>
            <w:tcW w:w="50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Age*</w:t>
            </w:r>
          </w:p>
        </w:tc>
        <w:tc>
          <w:tcPr>
            <w:tcW w:w="74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since</w:t>
            </w:r>
          </w:p>
        </w:tc>
        <w:tc>
          <w:tcPr>
            <w:tcW w:w="100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Independent</w:t>
            </w:r>
          </w:p>
        </w:tc>
        <w:tc>
          <w:tcPr>
            <w:tcW w:w="400" w:type="dxa"/>
            <w:vAlign w:val="bottom"/>
            <w:tcBorders>
              <w:right w:val="single" w:sz="8" w:color="998C87"/>
            </w:tcBorders>
            <w:gridSpan w:val="2"/>
            <w:shd w:val="clear" w:color="auto" w:fill="998C87"/>
          </w:tcPr>
          <w:p>
            <w:pPr>
              <w:ind w:left="140"/>
              <w:spacing w:after="0"/>
              <w:rPr>
                <w:sz w:val="20"/>
                <w:szCs w:val="20"/>
                <w:color w:val="auto"/>
              </w:rPr>
            </w:pPr>
            <w:r>
              <w:rPr>
                <w:rFonts w:ascii="Arial" w:cs="Arial" w:eastAsia="Arial" w:hAnsi="Arial"/>
                <w:sz w:val="14"/>
                <w:szCs w:val="14"/>
                <w:b w:val="1"/>
                <w:bCs w:val="1"/>
                <w:color w:val="FFFFFF"/>
              </w:rPr>
              <w:t>AC</w:t>
            </w:r>
          </w:p>
        </w:tc>
        <w:tc>
          <w:tcPr>
            <w:tcW w:w="540" w:type="dxa"/>
            <w:vAlign w:val="bottom"/>
            <w:tcBorders>
              <w:right w:val="single" w:sz="8" w:color="998C87"/>
            </w:tcBorders>
            <w:gridSpan w:val="2"/>
            <w:shd w:val="clear" w:color="auto" w:fill="998C87"/>
          </w:tcPr>
          <w:p>
            <w:pPr>
              <w:ind w:left="220"/>
              <w:spacing w:after="0"/>
              <w:rPr>
                <w:sz w:val="20"/>
                <w:szCs w:val="20"/>
                <w:color w:val="auto"/>
              </w:rPr>
            </w:pPr>
            <w:r>
              <w:rPr>
                <w:rFonts w:ascii="Arial" w:cs="Arial" w:eastAsia="Arial" w:hAnsi="Arial"/>
                <w:sz w:val="14"/>
                <w:szCs w:val="14"/>
                <w:b w:val="1"/>
                <w:bCs w:val="1"/>
                <w:color w:val="FFFFFF"/>
                <w:w w:val="94"/>
              </w:rPr>
              <w:t>CPC</w:t>
            </w:r>
          </w:p>
        </w:tc>
        <w:tc>
          <w:tcPr>
            <w:tcW w:w="260" w:type="dxa"/>
            <w:vAlign w:val="bottom"/>
            <w:shd w:val="clear" w:color="auto" w:fill="998C87"/>
          </w:tcPr>
          <w:p>
            <w:pPr>
              <w:spacing w:after="0"/>
              <w:rPr>
                <w:sz w:val="15"/>
                <w:szCs w:val="15"/>
                <w:color w:val="auto"/>
              </w:rPr>
            </w:pPr>
          </w:p>
        </w:tc>
        <w:tc>
          <w:tcPr>
            <w:tcW w:w="260" w:type="dxa"/>
            <w:vAlign w:val="bottom"/>
            <w:tcBorders>
              <w:right w:val="single" w:sz="8" w:color="998C87"/>
            </w:tcBorders>
            <w:shd w:val="clear" w:color="auto" w:fill="998C87"/>
          </w:tcPr>
          <w:p>
            <w:pPr>
              <w:jc w:val="right"/>
              <w:spacing w:after="0"/>
              <w:rPr>
                <w:sz w:val="20"/>
                <w:szCs w:val="20"/>
                <w:color w:val="auto"/>
              </w:rPr>
            </w:pPr>
            <w:r>
              <w:rPr>
                <w:rFonts w:ascii="Arial" w:cs="Arial" w:eastAsia="Arial" w:hAnsi="Arial"/>
                <w:sz w:val="14"/>
                <w:szCs w:val="14"/>
                <w:b w:val="1"/>
                <w:bCs w:val="1"/>
                <w:color w:val="FFFFFF"/>
                <w:w w:val="96"/>
              </w:rPr>
              <w:t>FC</w:t>
            </w:r>
          </w:p>
        </w:tc>
        <w:tc>
          <w:tcPr>
            <w:tcW w:w="740" w:type="dxa"/>
            <w:vAlign w:val="bottom"/>
            <w:gridSpan w:val="3"/>
            <w:shd w:val="clear" w:color="auto" w:fill="998C87"/>
          </w:tcPr>
          <w:p>
            <w:pPr>
              <w:ind w:left="220"/>
              <w:spacing w:after="0"/>
              <w:rPr>
                <w:sz w:val="20"/>
                <w:szCs w:val="20"/>
                <w:color w:val="auto"/>
              </w:rPr>
            </w:pPr>
            <w:r>
              <w:rPr>
                <w:rFonts w:ascii="Arial" w:cs="Arial" w:eastAsia="Arial" w:hAnsi="Arial"/>
                <w:sz w:val="14"/>
                <w:szCs w:val="14"/>
                <w:b w:val="1"/>
                <w:bCs w:val="1"/>
                <w:color w:val="FFFFFF"/>
              </w:rPr>
              <w:t>NCGC</w:t>
            </w:r>
          </w:p>
        </w:tc>
        <w:tc>
          <w:tcPr>
            <w:tcW w:w="440" w:type="dxa"/>
            <w:vAlign w:val="bottom"/>
            <w:tcBorders>
              <w:right w:val="single" w:sz="8" w:color="998C87"/>
            </w:tcBorders>
            <w:gridSpan w:val="2"/>
            <w:shd w:val="clear" w:color="auto" w:fill="998C87"/>
          </w:tcPr>
          <w:p>
            <w:pPr>
              <w:ind w:left="120"/>
              <w:spacing w:after="0"/>
              <w:rPr>
                <w:sz w:val="20"/>
                <w:szCs w:val="20"/>
                <w:color w:val="auto"/>
              </w:rPr>
            </w:pPr>
            <w:r>
              <w:rPr>
                <w:rFonts w:ascii="Arial" w:cs="Arial" w:eastAsia="Arial" w:hAnsi="Arial"/>
                <w:sz w:val="14"/>
                <w:szCs w:val="14"/>
                <w:b w:val="1"/>
                <w:bCs w:val="1"/>
                <w:color w:val="FFFFFF"/>
                <w:w w:val="99"/>
              </w:rPr>
              <w:t>CFE</w:t>
            </w:r>
          </w:p>
        </w:tc>
        <w:tc>
          <w:tcPr>
            <w:tcW w:w="260" w:type="dxa"/>
            <w:vAlign w:val="bottom"/>
            <w:shd w:val="clear" w:color="auto" w:fill="998C87"/>
          </w:tcPr>
          <w:p>
            <w:pPr>
              <w:spacing w:after="0"/>
              <w:rPr>
                <w:sz w:val="15"/>
                <w:szCs w:val="15"/>
                <w:color w:val="auto"/>
              </w:rPr>
            </w:pPr>
          </w:p>
        </w:tc>
        <w:tc>
          <w:tcPr>
            <w:tcW w:w="360" w:type="dxa"/>
            <w:vAlign w:val="bottom"/>
            <w:gridSpan w:val="3"/>
            <w:shd w:val="clear" w:color="auto" w:fill="998C87"/>
          </w:tcPr>
          <w:p>
            <w:pPr>
              <w:jc w:val="right"/>
              <w:ind w:right="160"/>
              <w:spacing w:after="0"/>
              <w:rPr>
                <w:sz w:val="20"/>
                <w:szCs w:val="20"/>
                <w:color w:val="auto"/>
              </w:rPr>
            </w:pPr>
            <w:r>
              <w:rPr>
                <w:rFonts w:ascii="Arial" w:cs="Arial" w:eastAsia="Arial" w:hAnsi="Arial"/>
                <w:sz w:val="14"/>
                <w:szCs w:val="14"/>
                <w:b w:val="1"/>
                <w:bCs w:val="1"/>
                <w:color w:val="FFFFFF"/>
                <w:w w:val="92"/>
              </w:rPr>
              <w:t>EC</w:t>
            </w:r>
          </w:p>
        </w:tc>
        <w:tc>
          <w:tcPr>
            <w:tcW w:w="0" w:type="dxa"/>
            <w:vAlign w:val="bottom"/>
          </w:tcPr>
          <w:p>
            <w:pPr>
              <w:spacing w:after="0"/>
              <w:rPr>
                <w:sz w:val="1"/>
                <w:szCs w:val="1"/>
                <w:color w:val="auto"/>
              </w:rPr>
            </w:pPr>
          </w:p>
        </w:tc>
      </w:tr>
      <w:tr>
        <w:trPr>
          <w:trHeight w:val="94"/>
        </w:trPr>
        <w:tc>
          <w:tcPr>
            <w:tcW w:w="5500" w:type="dxa"/>
            <w:vAlign w:val="bottom"/>
            <w:vMerge w:val="restart"/>
            <w:shd w:val="clear" w:color="auto" w:fill="F4F3F3"/>
          </w:tcPr>
          <w:p>
            <w:pPr>
              <w:ind w:left="180"/>
              <w:spacing w:after="0"/>
              <w:rPr>
                <w:sz w:val="20"/>
                <w:szCs w:val="20"/>
                <w:color w:val="auto"/>
              </w:rPr>
            </w:pPr>
            <w:r>
              <w:rPr>
                <w:rFonts w:ascii="Arial" w:cs="Arial" w:eastAsia="Arial" w:hAnsi="Arial"/>
                <w:sz w:val="14"/>
                <w:szCs w:val="14"/>
                <w:b w:val="1"/>
                <w:bCs w:val="1"/>
                <w:color w:val="998C87"/>
              </w:rPr>
              <w:t>J.W. Marriott, Jr.</w:t>
            </w:r>
          </w:p>
        </w:tc>
        <w:tc>
          <w:tcPr>
            <w:tcW w:w="500" w:type="dxa"/>
            <w:vAlign w:val="bottom"/>
            <w:shd w:val="clear" w:color="auto" w:fill="F4F3F3"/>
          </w:tcPr>
          <w:p>
            <w:pPr>
              <w:spacing w:after="0"/>
              <w:rPr>
                <w:sz w:val="8"/>
                <w:szCs w:val="8"/>
                <w:color w:val="auto"/>
              </w:rPr>
            </w:pPr>
          </w:p>
        </w:tc>
        <w:tc>
          <w:tcPr>
            <w:tcW w:w="740" w:type="dxa"/>
            <w:vAlign w:val="bottom"/>
            <w:shd w:val="clear" w:color="auto" w:fill="F4F3F3"/>
          </w:tcPr>
          <w:p>
            <w:pPr>
              <w:spacing w:after="0"/>
              <w:rPr>
                <w:sz w:val="8"/>
                <w:szCs w:val="8"/>
                <w:color w:val="auto"/>
              </w:rPr>
            </w:pPr>
          </w:p>
        </w:tc>
        <w:tc>
          <w:tcPr>
            <w:tcW w:w="1000" w:type="dxa"/>
            <w:vAlign w:val="bottom"/>
            <w:shd w:val="clear" w:color="auto" w:fill="F4F3F3"/>
          </w:tcPr>
          <w:p>
            <w:pPr>
              <w:spacing w:after="0"/>
              <w:rPr>
                <w:sz w:val="8"/>
                <w:szCs w:val="8"/>
                <w:color w:val="auto"/>
              </w:rPr>
            </w:pPr>
          </w:p>
        </w:tc>
        <w:tc>
          <w:tcPr>
            <w:tcW w:w="160" w:type="dxa"/>
            <w:vAlign w:val="bottom"/>
            <w:shd w:val="clear" w:color="auto" w:fill="F4F3F3"/>
          </w:tcPr>
          <w:p>
            <w:pPr>
              <w:spacing w:after="0"/>
              <w:rPr>
                <w:sz w:val="8"/>
                <w:szCs w:val="8"/>
                <w:color w:val="auto"/>
              </w:rPr>
            </w:pPr>
          </w:p>
        </w:tc>
        <w:tc>
          <w:tcPr>
            <w:tcW w:w="240" w:type="dxa"/>
            <w:vAlign w:val="bottom"/>
            <w:tcBorders>
              <w:right w:val="single" w:sz="8" w:color="F4F3F3"/>
            </w:tcBorders>
            <w:shd w:val="clear" w:color="auto" w:fill="F4F3F3"/>
          </w:tcPr>
          <w:p>
            <w:pPr>
              <w:spacing w:after="0"/>
              <w:rPr>
                <w:sz w:val="8"/>
                <w:szCs w:val="8"/>
                <w:color w:val="auto"/>
              </w:rPr>
            </w:pPr>
          </w:p>
        </w:tc>
        <w:tc>
          <w:tcPr>
            <w:tcW w:w="260" w:type="dxa"/>
            <w:vAlign w:val="bottom"/>
            <w:shd w:val="clear" w:color="auto" w:fill="F4F3F3"/>
          </w:tcPr>
          <w:p>
            <w:pPr>
              <w:spacing w:after="0"/>
              <w:rPr>
                <w:sz w:val="8"/>
                <w:szCs w:val="8"/>
                <w:color w:val="auto"/>
              </w:rPr>
            </w:pPr>
          </w:p>
        </w:tc>
        <w:tc>
          <w:tcPr>
            <w:tcW w:w="280" w:type="dxa"/>
            <w:vAlign w:val="bottom"/>
            <w:tcBorders>
              <w:left w:val="single" w:sz="8" w:color="F4F3F3"/>
              <w:right w:val="single" w:sz="8" w:color="F4F3F3"/>
            </w:tcBorders>
            <w:shd w:val="clear" w:color="auto" w:fill="F4F3F3"/>
          </w:tcPr>
          <w:p>
            <w:pPr>
              <w:spacing w:after="0"/>
              <w:rPr>
                <w:sz w:val="8"/>
                <w:szCs w:val="8"/>
                <w:color w:val="auto"/>
              </w:rPr>
            </w:pPr>
          </w:p>
        </w:tc>
        <w:tc>
          <w:tcPr>
            <w:tcW w:w="260" w:type="dxa"/>
            <w:vAlign w:val="bottom"/>
            <w:shd w:val="clear" w:color="auto" w:fill="F4F3F3"/>
          </w:tcPr>
          <w:p>
            <w:pPr>
              <w:spacing w:after="0"/>
              <w:rPr>
                <w:sz w:val="8"/>
                <w:szCs w:val="8"/>
                <w:color w:val="auto"/>
              </w:rPr>
            </w:pPr>
          </w:p>
        </w:tc>
        <w:tc>
          <w:tcPr>
            <w:tcW w:w="260" w:type="dxa"/>
            <w:vAlign w:val="bottom"/>
            <w:tcBorders>
              <w:right w:val="single" w:sz="8" w:color="F4F3F3"/>
            </w:tcBorders>
            <w:shd w:val="clear" w:color="auto" w:fill="F4F3F3"/>
          </w:tcPr>
          <w:p>
            <w:pPr>
              <w:spacing w:after="0"/>
              <w:rPr>
                <w:sz w:val="8"/>
                <w:szCs w:val="8"/>
                <w:color w:val="auto"/>
              </w:rPr>
            </w:pPr>
          </w:p>
        </w:tc>
        <w:tc>
          <w:tcPr>
            <w:tcW w:w="340" w:type="dxa"/>
            <w:vAlign w:val="bottom"/>
            <w:tcBorders>
              <w:right w:val="single" w:sz="8" w:color="F4F3F3"/>
            </w:tcBorders>
            <w:shd w:val="clear" w:color="auto" w:fill="F4F3F3"/>
          </w:tcPr>
          <w:p>
            <w:pPr>
              <w:spacing w:after="0"/>
              <w:rPr>
                <w:sz w:val="8"/>
                <w:szCs w:val="8"/>
                <w:color w:val="auto"/>
              </w:rPr>
            </w:pPr>
          </w:p>
        </w:tc>
        <w:tc>
          <w:tcPr>
            <w:tcW w:w="260" w:type="dxa"/>
            <w:vAlign w:val="bottom"/>
            <w:tcBorders>
              <w:right w:val="single" w:sz="8" w:color="F4F3F3"/>
            </w:tcBorders>
            <w:shd w:val="clear" w:color="auto" w:fill="F4F3F3"/>
          </w:tcPr>
          <w:p>
            <w:pPr>
              <w:spacing w:after="0"/>
              <w:rPr>
                <w:sz w:val="8"/>
                <w:szCs w:val="8"/>
                <w:color w:val="auto"/>
              </w:rPr>
            </w:pPr>
          </w:p>
        </w:tc>
        <w:tc>
          <w:tcPr>
            <w:tcW w:w="140" w:type="dxa"/>
            <w:vAlign w:val="bottom"/>
            <w:shd w:val="clear" w:color="auto" w:fill="F4F3F3"/>
          </w:tcPr>
          <w:p>
            <w:pPr>
              <w:spacing w:after="0"/>
              <w:rPr>
                <w:sz w:val="8"/>
                <w:szCs w:val="8"/>
                <w:color w:val="auto"/>
              </w:rPr>
            </w:pPr>
          </w:p>
        </w:tc>
        <w:tc>
          <w:tcPr>
            <w:tcW w:w="160" w:type="dxa"/>
            <w:vAlign w:val="bottom"/>
            <w:shd w:val="clear" w:color="auto" w:fill="F4F3F3"/>
          </w:tcPr>
          <w:p>
            <w:pPr>
              <w:spacing w:after="0"/>
              <w:rPr>
                <w:sz w:val="8"/>
                <w:szCs w:val="8"/>
                <w:color w:val="auto"/>
              </w:rPr>
            </w:pPr>
          </w:p>
        </w:tc>
        <w:tc>
          <w:tcPr>
            <w:tcW w:w="280" w:type="dxa"/>
            <w:vAlign w:val="bottom"/>
            <w:tcBorders>
              <w:left w:val="single" w:sz="8" w:color="F4F3F3"/>
              <w:right w:val="single" w:sz="8" w:color="F4F3F3"/>
            </w:tcBorders>
            <w:shd w:val="clear" w:color="auto" w:fill="F4F3F3"/>
          </w:tcPr>
          <w:p>
            <w:pPr>
              <w:spacing w:after="0"/>
              <w:rPr>
                <w:sz w:val="8"/>
                <w:szCs w:val="8"/>
                <w:color w:val="auto"/>
              </w:rPr>
            </w:pPr>
          </w:p>
        </w:tc>
        <w:tc>
          <w:tcPr>
            <w:tcW w:w="260" w:type="dxa"/>
            <w:vAlign w:val="bottom"/>
            <w:shd w:val="clear" w:color="auto" w:fill="F4F3F3"/>
          </w:tcPr>
          <w:p>
            <w:pPr>
              <w:spacing w:after="0"/>
              <w:rPr>
                <w:sz w:val="8"/>
                <w:szCs w:val="8"/>
                <w:color w:val="auto"/>
              </w:rPr>
            </w:pPr>
          </w:p>
        </w:tc>
        <w:tc>
          <w:tcPr>
            <w:tcW w:w="240" w:type="dxa"/>
            <w:vAlign w:val="bottom"/>
            <w:shd w:val="clear" w:color="auto" w:fill="F4F3F3"/>
          </w:tcPr>
          <w:p>
            <w:pPr>
              <w:spacing w:after="0"/>
              <w:rPr>
                <w:sz w:val="8"/>
                <w:szCs w:val="8"/>
                <w:color w:val="auto"/>
              </w:rPr>
            </w:pPr>
          </w:p>
        </w:tc>
        <w:tc>
          <w:tcPr>
            <w:tcW w:w="20" w:type="dxa"/>
            <w:vAlign w:val="bottom"/>
            <w:vMerge w:val="restart"/>
            <w:shd w:val="clear" w:color="auto" w:fill="F4F3F3"/>
          </w:tcPr>
          <w:p>
            <w:pPr>
              <w:spacing w:after="0"/>
              <w:rPr>
                <w:sz w:val="8"/>
                <w:szCs w:val="8"/>
                <w:color w:val="auto"/>
              </w:rPr>
            </w:pPr>
          </w:p>
        </w:tc>
        <w:tc>
          <w:tcPr>
            <w:tcW w:w="100" w:type="dxa"/>
            <w:vAlign w:val="bottom"/>
            <w:vMerge w:val="restart"/>
            <w:shd w:val="clear" w:color="auto" w:fill="F4F3F3"/>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5500" w:type="dxa"/>
            <w:vAlign w:val="bottom"/>
            <w:vMerge w:val="continue"/>
            <w:shd w:val="clear" w:color="auto" w:fill="F4F3F3"/>
          </w:tcPr>
          <w:p>
            <w:pPr>
              <w:spacing w:after="0"/>
              <w:rPr>
                <w:sz w:val="17"/>
                <w:szCs w:val="17"/>
                <w:color w:val="auto"/>
              </w:rPr>
            </w:pPr>
          </w:p>
        </w:tc>
        <w:tc>
          <w:tcPr>
            <w:tcW w:w="500" w:type="dxa"/>
            <w:vAlign w:val="bottom"/>
            <w:shd w:val="clear" w:color="auto" w:fill="F4F3F3"/>
          </w:tcPr>
          <w:p>
            <w:pPr>
              <w:jc w:val="center"/>
              <w:ind w:left="28"/>
              <w:spacing w:after="0"/>
              <w:rPr>
                <w:sz w:val="20"/>
                <w:szCs w:val="20"/>
                <w:color w:val="auto"/>
              </w:rPr>
            </w:pPr>
            <w:r>
              <w:rPr>
                <w:rFonts w:ascii="Arial" w:cs="Arial" w:eastAsia="Arial" w:hAnsi="Arial"/>
                <w:sz w:val="14"/>
                <w:szCs w:val="14"/>
                <w:color w:val="auto"/>
              </w:rPr>
              <w:t>86</w:t>
            </w:r>
          </w:p>
        </w:tc>
        <w:tc>
          <w:tcPr>
            <w:tcW w:w="74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1964</w:t>
            </w:r>
          </w:p>
        </w:tc>
        <w:tc>
          <w:tcPr>
            <w:tcW w:w="100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No</w:t>
            </w:r>
          </w:p>
        </w:tc>
        <w:tc>
          <w:tcPr>
            <w:tcW w:w="160" w:type="dxa"/>
            <w:vAlign w:val="bottom"/>
            <w:shd w:val="clear" w:color="auto" w:fill="F4F3F3"/>
          </w:tcPr>
          <w:p>
            <w:pPr>
              <w:spacing w:after="0"/>
              <w:rPr>
                <w:sz w:val="17"/>
                <w:szCs w:val="17"/>
                <w:color w:val="auto"/>
              </w:rPr>
            </w:pPr>
          </w:p>
        </w:tc>
        <w:tc>
          <w:tcPr>
            <w:tcW w:w="240" w:type="dxa"/>
            <w:vAlign w:val="bottom"/>
            <w:tcBorders>
              <w:right w:val="single" w:sz="8" w:color="F4F3F3"/>
            </w:tcBorders>
            <w:shd w:val="clear" w:color="auto" w:fill="F4F3F3"/>
          </w:tcPr>
          <w:p>
            <w:pPr>
              <w:spacing w:after="0"/>
              <w:rPr>
                <w:sz w:val="17"/>
                <w:szCs w:val="17"/>
                <w:color w:val="auto"/>
              </w:rPr>
            </w:pPr>
          </w:p>
        </w:tc>
        <w:tc>
          <w:tcPr>
            <w:tcW w:w="260" w:type="dxa"/>
            <w:vAlign w:val="bottom"/>
            <w:shd w:val="clear" w:color="auto" w:fill="F4F3F3"/>
          </w:tcPr>
          <w:p>
            <w:pPr>
              <w:spacing w:after="0"/>
              <w:rPr>
                <w:sz w:val="17"/>
                <w:szCs w:val="17"/>
                <w:color w:val="auto"/>
              </w:rPr>
            </w:pPr>
          </w:p>
        </w:tc>
        <w:tc>
          <w:tcPr>
            <w:tcW w:w="280" w:type="dxa"/>
            <w:vAlign w:val="bottom"/>
            <w:tcBorders>
              <w:left w:val="single" w:sz="8" w:color="F4F3F3"/>
              <w:right w:val="single" w:sz="8" w:color="F4F3F3"/>
            </w:tcBorders>
            <w:shd w:val="clear" w:color="auto" w:fill="F4F3F3"/>
          </w:tcPr>
          <w:p>
            <w:pPr>
              <w:spacing w:after="0"/>
              <w:rPr>
                <w:sz w:val="17"/>
                <w:szCs w:val="17"/>
                <w:color w:val="auto"/>
              </w:rPr>
            </w:pPr>
          </w:p>
        </w:tc>
        <w:tc>
          <w:tcPr>
            <w:tcW w:w="260" w:type="dxa"/>
            <w:vAlign w:val="bottom"/>
            <w:shd w:val="clear" w:color="auto" w:fill="F4F3F3"/>
          </w:tcPr>
          <w:p>
            <w:pPr>
              <w:spacing w:after="0"/>
              <w:rPr>
                <w:sz w:val="17"/>
                <w:szCs w:val="17"/>
                <w:color w:val="auto"/>
              </w:rPr>
            </w:pPr>
          </w:p>
        </w:tc>
        <w:tc>
          <w:tcPr>
            <w:tcW w:w="260" w:type="dxa"/>
            <w:vAlign w:val="bottom"/>
            <w:tcBorders>
              <w:right w:val="single" w:sz="8" w:color="F4F3F3"/>
            </w:tcBorders>
            <w:shd w:val="clear" w:color="auto" w:fill="F4F3F3"/>
          </w:tcPr>
          <w:p>
            <w:pPr>
              <w:spacing w:after="0"/>
              <w:rPr>
                <w:sz w:val="17"/>
                <w:szCs w:val="17"/>
                <w:color w:val="auto"/>
              </w:rPr>
            </w:pPr>
          </w:p>
        </w:tc>
        <w:tc>
          <w:tcPr>
            <w:tcW w:w="340" w:type="dxa"/>
            <w:vAlign w:val="bottom"/>
            <w:tcBorders>
              <w:right w:val="single" w:sz="8" w:color="F4F3F3"/>
            </w:tcBorders>
            <w:shd w:val="clear" w:color="auto" w:fill="F4F3F3"/>
          </w:tcPr>
          <w:p>
            <w:pPr>
              <w:spacing w:after="0"/>
              <w:rPr>
                <w:sz w:val="17"/>
                <w:szCs w:val="17"/>
                <w:color w:val="auto"/>
              </w:rPr>
            </w:pPr>
          </w:p>
        </w:tc>
        <w:tc>
          <w:tcPr>
            <w:tcW w:w="260" w:type="dxa"/>
            <w:vAlign w:val="bottom"/>
            <w:tcBorders>
              <w:right w:val="single" w:sz="8" w:color="F4F3F3"/>
            </w:tcBorders>
            <w:shd w:val="clear" w:color="auto" w:fill="F4F3F3"/>
          </w:tcPr>
          <w:p>
            <w:pPr>
              <w:spacing w:after="0"/>
              <w:rPr>
                <w:sz w:val="17"/>
                <w:szCs w:val="17"/>
                <w:color w:val="auto"/>
              </w:rPr>
            </w:pPr>
          </w:p>
        </w:tc>
        <w:tc>
          <w:tcPr>
            <w:tcW w:w="140" w:type="dxa"/>
            <w:vAlign w:val="bottom"/>
            <w:shd w:val="clear" w:color="auto" w:fill="F4F3F3"/>
          </w:tcPr>
          <w:p>
            <w:pPr>
              <w:spacing w:after="0"/>
              <w:rPr>
                <w:sz w:val="17"/>
                <w:szCs w:val="17"/>
                <w:color w:val="auto"/>
              </w:rPr>
            </w:pPr>
          </w:p>
        </w:tc>
        <w:tc>
          <w:tcPr>
            <w:tcW w:w="160" w:type="dxa"/>
            <w:vAlign w:val="bottom"/>
            <w:shd w:val="clear" w:color="auto" w:fill="F4F3F3"/>
          </w:tcPr>
          <w:p>
            <w:pPr>
              <w:spacing w:after="0"/>
              <w:rPr>
                <w:sz w:val="17"/>
                <w:szCs w:val="17"/>
                <w:color w:val="auto"/>
              </w:rPr>
            </w:pPr>
          </w:p>
        </w:tc>
        <w:tc>
          <w:tcPr>
            <w:tcW w:w="280" w:type="dxa"/>
            <w:vAlign w:val="bottom"/>
            <w:tcBorders>
              <w:left w:val="single" w:sz="8" w:color="F4F3F3"/>
              <w:right w:val="single" w:sz="8" w:color="F4F3F3"/>
            </w:tcBorders>
            <w:shd w:val="clear" w:color="auto" w:fill="F4F3F3"/>
          </w:tcPr>
          <w:p>
            <w:pPr>
              <w:spacing w:after="0"/>
              <w:rPr>
                <w:sz w:val="17"/>
                <w:szCs w:val="17"/>
                <w:color w:val="auto"/>
              </w:rPr>
            </w:pPr>
          </w:p>
        </w:tc>
        <w:tc>
          <w:tcPr>
            <w:tcW w:w="260" w:type="dxa"/>
            <w:vAlign w:val="bottom"/>
            <w:shd w:val="clear" w:color="auto" w:fill="F4F3F3"/>
          </w:tcPr>
          <w:p>
            <w:pPr>
              <w:spacing w:after="0"/>
              <w:rPr>
                <w:sz w:val="17"/>
                <w:szCs w:val="17"/>
                <w:color w:val="auto"/>
              </w:rPr>
            </w:pPr>
          </w:p>
        </w:tc>
        <w:tc>
          <w:tcPr>
            <w:tcW w:w="240" w:type="dxa"/>
            <w:vAlign w:val="bottom"/>
            <w:shd w:val="clear" w:color="auto" w:fill="00358E"/>
          </w:tcPr>
          <w:p>
            <w:pPr>
              <w:jc w:val="right"/>
              <w:spacing w:after="0" w:line="189" w:lineRule="exact"/>
              <w:rPr>
                <w:sz w:val="20"/>
                <w:szCs w:val="20"/>
                <w:color w:val="auto"/>
              </w:rPr>
            </w:pPr>
            <w:r>
              <w:rPr>
                <w:rFonts w:ascii="Arial" w:cs="Arial" w:eastAsia="Arial" w:hAnsi="Arial"/>
                <w:sz w:val="18"/>
                <w:szCs w:val="18"/>
                <w:b w:val="1"/>
                <w:bCs w:val="1"/>
                <w:color w:val="FFFFFF"/>
              </w:rPr>
              <w:t>C</w:t>
            </w:r>
          </w:p>
        </w:tc>
        <w:tc>
          <w:tcPr>
            <w:tcW w:w="20" w:type="dxa"/>
            <w:vAlign w:val="bottom"/>
            <w:vMerge w:val="continue"/>
            <w:shd w:val="clear" w:color="auto" w:fill="F4F3F3"/>
          </w:tcPr>
          <w:p>
            <w:pPr>
              <w:spacing w:after="0"/>
              <w:rPr>
                <w:sz w:val="17"/>
                <w:szCs w:val="17"/>
                <w:color w:val="auto"/>
              </w:rPr>
            </w:pPr>
          </w:p>
        </w:tc>
        <w:tc>
          <w:tcPr>
            <w:tcW w:w="100" w:type="dxa"/>
            <w:vAlign w:val="bottom"/>
            <w:vMerge w:val="continue"/>
            <w:shd w:val="clear" w:color="auto" w:fill="F4F3F3"/>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5500" w:type="dxa"/>
            <w:vAlign w:val="bottom"/>
            <w:shd w:val="clear" w:color="auto" w:fill="F4F3F3"/>
          </w:tcPr>
          <w:p>
            <w:pPr>
              <w:ind w:left="180"/>
              <w:spacing w:after="0" w:line="121" w:lineRule="exact"/>
              <w:rPr>
                <w:sz w:val="20"/>
                <w:szCs w:val="20"/>
                <w:color w:val="auto"/>
              </w:rPr>
            </w:pPr>
            <w:r>
              <w:rPr>
                <w:rFonts w:ascii="Arial" w:cs="Arial" w:eastAsia="Arial" w:hAnsi="Arial"/>
                <w:sz w:val="14"/>
                <w:szCs w:val="14"/>
                <w:i w:val="1"/>
                <w:iCs w:val="1"/>
                <w:color w:val="auto"/>
              </w:rPr>
              <w:t>Executive Chairman, Marriott International, Inc.</w:t>
            </w:r>
          </w:p>
        </w:tc>
        <w:tc>
          <w:tcPr>
            <w:tcW w:w="500" w:type="dxa"/>
            <w:vAlign w:val="bottom"/>
            <w:shd w:val="clear" w:color="auto" w:fill="F4F3F3"/>
          </w:tcPr>
          <w:p>
            <w:pPr>
              <w:spacing w:after="0"/>
              <w:rPr>
                <w:sz w:val="10"/>
                <w:szCs w:val="10"/>
                <w:color w:val="auto"/>
              </w:rPr>
            </w:pPr>
          </w:p>
        </w:tc>
        <w:tc>
          <w:tcPr>
            <w:tcW w:w="740" w:type="dxa"/>
            <w:vAlign w:val="bottom"/>
            <w:shd w:val="clear" w:color="auto" w:fill="F4F3F3"/>
          </w:tcPr>
          <w:p>
            <w:pPr>
              <w:spacing w:after="0"/>
              <w:rPr>
                <w:sz w:val="10"/>
                <w:szCs w:val="10"/>
                <w:color w:val="auto"/>
              </w:rPr>
            </w:pPr>
          </w:p>
        </w:tc>
        <w:tc>
          <w:tcPr>
            <w:tcW w:w="1000" w:type="dxa"/>
            <w:vAlign w:val="bottom"/>
            <w:shd w:val="clear" w:color="auto" w:fill="F4F3F3"/>
          </w:tcPr>
          <w:p>
            <w:pPr>
              <w:spacing w:after="0"/>
              <w:rPr>
                <w:sz w:val="10"/>
                <w:szCs w:val="10"/>
                <w:color w:val="auto"/>
              </w:rPr>
            </w:pPr>
          </w:p>
        </w:tc>
        <w:tc>
          <w:tcPr>
            <w:tcW w:w="160" w:type="dxa"/>
            <w:vAlign w:val="bottom"/>
            <w:shd w:val="clear" w:color="auto" w:fill="F4F3F3"/>
          </w:tcPr>
          <w:p>
            <w:pPr>
              <w:spacing w:after="0"/>
              <w:rPr>
                <w:sz w:val="10"/>
                <w:szCs w:val="10"/>
                <w:color w:val="auto"/>
              </w:rPr>
            </w:pPr>
          </w:p>
        </w:tc>
        <w:tc>
          <w:tcPr>
            <w:tcW w:w="240" w:type="dxa"/>
            <w:vAlign w:val="bottom"/>
            <w:tcBorders>
              <w:right w:val="single" w:sz="8" w:color="F4F3F3"/>
            </w:tcBorders>
            <w:shd w:val="clear" w:color="auto" w:fill="F4F3F3"/>
          </w:tcPr>
          <w:p>
            <w:pPr>
              <w:spacing w:after="0"/>
              <w:rPr>
                <w:sz w:val="10"/>
                <w:szCs w:val="10"/>
                <w:color w:val="auto"/>
              </w:rPr>
            </w:pPr>
          </w:p>
        </w:tc>
        <w:tc>
          <w:tcPr>
            <w:tcW w:w="260" w:type="dxa"/>
            <w:vAlign w:val="bottom"/>
            <w:shd w:val="clear" w:color="auto" w:fill="F4F3F3"/>
          </w:tcPr>
          <w:p>
            <w:pPr>
              <w:spacing w:after="0"/>
              <w:rPr>
                <w:sz w:val="10"/>
                <w:szCs w:val="10"/>
                <w:color w:val="auto"/>
              </w:rPr>
            </w:pPr>
          </w:p>
        </w:tc>
        <w:tc>
          <w:tcPr>
            <w:tcW w:w="280" w:type="dxa"/>
            <w:vAlign w:val="bottom"/>
            <w:tcBorders>
              <w:left w:val="single" w:sz="8" w:color="F4F3F3"/>
              <w:right w:val="single" w:sz="8" w:color="F4F3F3"/>
            </w:tcBorders>
            <w:shd w:val="clear" w:color="auto" w:fill="F4F3F3"/>
          </w:tcPr>
          <w:p>
            <w:pPr>
              <w:spacing w:after="0"/>
              <w:rPr>
                <w:sz w:val="10"/>
                <w:szCs w:val="10"/>
                <w:color w:val="auto"/>
              </w:rPr>
            </w:pPr>
          </w:p>
        </w:tc>
        <w:tc>
          <w:tcPr>
            <w:tcW w:w="260" w:type="dxa"/>
            <w:vAlign w:val="bottom"/>
            <w:shd w:val="clear" w:color="auto" w:fill="F4F3F3"/>
          </w:tcPr>
          <w:p>
            <w:pPr>
              <w:spacing w:after="0"/>
              <w:rPr>
                <w:sz w:val="10"/>
                <w:szCs w:val="10"/>
                <w:color w:val="auto"/>
              </w:rPr>
            </w:pPr>
          </w:p>
        </w:tc>
        <w:tc>
          <w:tcPr>
            <w:tcW w:w="260" w:type="dxa"/>
            <w:vAlign w:val="bottom"/>
            <w:tcBorders>
              <w:right w:val="single" w:sz="8" w:color="F4F3F3"/>
            </w:tcBorders>
            <w:shd w:val="clear" w:color="auto" w:fill="F4F3F3"/>
          </w:tcPr>
          <w:p>
            <w:pPr>
              <w:spacing w:after="0"/>
              <w:rPr>
                <w:sz w:val="10"/>
                <w:szCs w:val="10"/>
                <w:color w:val="auto"/>
              </w:rPr>
            </w:pPr>
          </w:p>
        </w:tc>
        <w:tc>
          <w:tcPr>
            <w:tcW w:w="340" w:type="dxa"/>
            <w:vAlign w:val="bottom"/>
            <w:tcBorders>
              <w:right w:val="single" w:sz="8" w:color="F4F3F3"/>
            </w:tcBorders>
            <w:shd w:val="clear" w:color="auto" w:fill="F4F3F3"/>
          </w:tcPr>
          <w:p>
            <w:pPr>
              <w:spacing w:after="0"/>
              <w:rPr>
                <w:sz w:val="10"/>
                <w:szCs w:val="10"/>
                <w:color w:val="auto"/>
              </w:rPr>
            </w:pPr>
          </w:p>
        </w:tc>
        <w:tc>
          <w:tcPr>
            <w:tcW w:w="260" w:type="dxa"/>
            <w:vAlign w:val="bottom"/>
            <w:tcBorders>
              <w:right w:val="single" w:sz="8" w:color="F4F3F3"/>
            </w:tcBorders>
            <w:shd w:val="clear" w:color="auto" w:fill="F4F3F3"/>
          </w:tcPr>
          <w:p>
            <w:pPr>
              <w:spacing w:after="0"/>
              <w:rPr>
                <w:sz w:val="10"/>
                <w:szCs w:val="10"/>
                <w:color w:val="auto"/>
              </w:rPr>
            </w:pPr>
          </w:p>
        </w:tc>
        <w:tc>
          <w:tcPr>
            <w:tcW w:w="140" w:type="dxa"/>
            <w:vAlign w:val="bottom"/>
            <w:shd w:val="clear" w:color="auto" w:fill="F4F3F3"/>
          </w:tcPr>
          <w:p>
            <w:pPr>
              <w:spacing w:after="0"/>
              <w:rPr>
                <w:sz w:val="10"/>
                <w:szCs w:val="10"/>
                <w:color w:val="auto"/>
              </w:rPr>
            </w:pPr>
          </w:p>
        </w:tc>
        <w:tc>
          <w:tcPr>
            <w:tcW w:w="160" w:type="dxa"/>
            <w:vAlign w:val="bottom"/>
            <w:shd w:val="clear" w:color="auto" w:fill="F4F3F3"/>
          </w:tcPr>
          <w:p>
            <w:pPr>
              <w:spacing w:after="0"/>
              <w:rPr>
                <w:sz w:val="10"/>
                <w:szCs w:val="10"/>
                <w:color w:val="auto"/>
              </w:rPr>
            </w:pPr>
          </w:p>
        </w:tc>
        <w:tc>
          <w:tcPr>
            <w:tcW w:w="280" w:type="dxa"/>
            <w:vAlign w:val="bottom"/>
            <w:tcBorders>
              <w:left w:val="single" w:sz="8" w:color="F4F3F3"/>
              <w:right w:val="single" w:sz="8" w:color="F4F3F3"/>
            </w:tcBorders>
            <w:shd w:val="clear" w:color="auto" w:fill="F4F3F3"/>
          </w:tcPr>
          <w:p>
            <w:pPr>
              <w:spacing w:after="0"/>
              <w:rPr>
                <w:sz w:val="10"/>
                <w:szCs w:val="10"/>
                <w:color w:val="auto"/>
              </w:rPr>
            </w:pPr>
          </w:p>
        </w:tc>
        <w:tc>
          <w:tcPr>
            <w:tcW w:w="260" w:type="dxa"/>
            <w:vAlign w:val="bottom"/>
            <w:shd w:val="clear" w:color="auto" w:fill="F4F3F3"/>
          </w:tcPr>
          <w:p>
            <w:pPr>
              <w:spacing w:after="0"/>
              <w:rPr>
                <w:sz w:val="10"/>
                <w:szCs w:val="10"/>
                <w:color w:val="auto"/>
              </w:rPr>
            </w:pPr>
          </w:p>
        </w:tc>
        <w:tc>
          <w:tcPr>
            <w:tcW w:w="240" w:type="dxa"/>
            <w:vAlign w:val="bottom"/>
            <w:shd w:val="clear" w:color="auto" w:fill="F4F3F3"/>
          </w:tcPr>
          <w:p>
            <w:pPr>
              <w:spacing w:after="0"/>
              <w:rPr>
                <w:sz w:val="10"/>
                <w:szCs w:val="10"/>
                <w:color w:val="auto"/>
              </w:rPr>
            </w:pPr>
          </w:p>
        </w:tc>
        <w:tc>
          <w:tcPr>
            <w:tcW w:w="20" w:type="dxa"/>
            <w:vAlign w:val="bottom"/>
            <w:shd w:val="clear" w:color="auto" w:fill="F4F3F3"/>
          </w:tcPr>
          <w:p>
            <w:pPr>
              <w:spacing w:after="0"/>
              <w:rPr>
                <w:sz w:val="10"/>
                <w:szCs w:val="10"/>
                <w:color w:val="auto"/>
              </w:rPr>
            </w:pPr>
          </w:p>
        </w:tc>
        <w:tc>
          <w:tcPr>
            <w:tcW w:w="100" w:type="dxa"/>
            <w:vAlign w:val="bottom"/>
            <w:shd w:val="clear" w:color="auto" w:fill="F4F3F3"/>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500" w:type="dxa"/>
            <w:vAlign w:val="bottom"/>
            <w:vMerge w:val="restart"/>
            <w:shd w:val="clear" w:color="auto" w:fill="F4F3F3"/>
          </w:tcPr>
          <w:p>
            <w:pPr>
              <w:ind w:left="180"/>
              <w:spacing w:after="0"/>
              <w:rPr>
                <w:sz w:val="20"/>
                <w:szCs w:val="20"/>
                <w:color w:val="auto"/>
              </w:rPr>
            </w:pPr>
            <w:r>
              <w:rPr>
                <w:rFonts w:ascii="Arial" w:cs="Arial" w:eastAsia="Arial" w:hAnsi="Arial"/>
                <w:sz w:val="14"/>
                <w:szCs w:val="14"/>
                <w:b w:val="1"/>
                <w:bCs w:val="1"/>
                <w:color w:val="998C87"/>
              </w:rPr>
              <w:t>Mary K. Bush</w:t>
            </w:r>
          </w:p>
        </w:tc>
        <w:tc>
          <w:tcPr>
            <w:tcW w:w="500" w:type="dxa"/>
            <w:vAlign w:val="bottom"/>
            <w:shd w:val="clear" w:color="auto" w:fill="F4F3F3"/>
          </w:tcPr>
          <w:p>
            <w:pPr>
              <w:spacing w:after="0"/>
              <w:rPr>
                <w:sz w:val="11"/>
                <w:szCs w:val="11"/>
                <w:color w:val="auto"/>
              </w:rPr>
            </w:pPr>
          </w:p>
        </w:tc>
        <w:tc>
          <w:tcPr>
            <w:tcW w:w="740" w:type="dxa"/>
            <w:vAlign w:val="bottom"/>
            <w:shd w:val="clear" w:color="auto" w:fill="F4F3F3"/>
          </w:tcPr>
          <w:p>
            <w:pPr>
              <w:spacing w:after="0"/>
              <w:rPr>
                <w:sz w:val="11"/>
                <w:szCs w:val="11"/>
                <w:color w:val="auto"/>
              </w:rPr>
            </w:pPr>
          </w:p>
        </w:tc>
        <w:tc>
          <w:tcPr>
            <w:tcW w:w="1000" w:type="dxa"/>
            <w:vAlign w:val="bottom"/>
            <w:shd w:val="clear" w:color="auto" w:fill="F4F3F3"/>
          </w:tcPr>
          <w:p>
            <w:pPr>
              <w:spacing w:after="0"/>
              <w:rPr>
                <w:sz w:val="11"/>
                <w:szCs w:val="11"/>
                <w:color w:val="auto"/>
              </w:rPr>
            </w:pPr>
          </w:p>
        </w:tc>
        <w:tc>
          <w:tcPr>
            <w:tcW w:w="160" w:type="dxa"/>
            <w:vAlign w:val="bottom"/>
            <w:shd w:val="clear" w:color="auto" w:fill="F4F3F3"/>
          </w:tcPr>
          <w:p>
            <w:pPr>
              <w:spacing w:after="0"/>
              <w:rPr>
                <w:sz w:val="11"/>
                <w:szCs w:val="11"/>
                <w:color w:val="auto"/>
              </w:rPr>
            </w:pPr>
          </w:p>
        </w:tc>
        <w:tc>
          <w:tcPr>
            <w:tcW w:w="240" w:type="dxa"/>
            <w:vAlign w:val="bottom"/>
            <w:tcBorders>
              <w:right w:val="single" w:sz="8" w:color="F4F3F3"/>
            </w:tcBorders>
            <w:shd w:val="clear" w:color="auto" w:fill="F4F3F3"/>
          </w:tcPr>
          <w:p>
            <w:pPr>
              <w:spacing w:after="0"/>
              <w:rPr>
                <w:sz w:val="11"/>
                <w:szCs w:val="11"/>
                <w:color w:val="auto"/>
              </w:rPr>
            </w:pPr>
          </w:p>
        </w:tc>
        <w:tc>
          <w:tcPr>
            <w:tcW w:w="260" w:type="dxa"/>
            <w:vAlign w:val="bottom"/>
            <w:shd w:val="clear" w:color="auto" w:fill="F4F3F3"/>
          </w:tcPr>
          <w:p>
            <w:pPr>
              <w:spacing w:after="0"/>
              <w:rPr>
                <w:sz w:val="11"/>
                <w:szCs w:val="11"/>
                <w:color w:val="auto"/>
              </w:rPr>
            </w:pPr>
          </w:p>
        </w:tc>
        <w:tc>
          <w:tcPr>
            <w:tcW w:w="280" w:type="dxa"/>
            <w:vAlign w:val="bottom"/>
            <w:tcBorders>
              <w:left w:val="single" w:sz="8" w:color="F4F3F3"/>
              <w:right w:val="single" w:sz="8" w:color="F4F3F3"/>
            </w:tcBorders>
            <w:shd w:val="clear" w:color="auto" w:fill="F4F3F3"/>
          </w:tcPr>
          <w:p>
            <w:pPr>
              <w:spacing w:after="0"/>
              <w:rPr>
                <w:sz w:val="11"/>
                <w:szCs w:val="11"/>
                <w:color w:val="auto"/>
              </w:rPr>
            </w:pPr>
          </w:p>
        </w:tc>
        <w:tc>
          <w:tcPr>
            <w:tcW w:w="260" w:type="dxa"/>
            <w:vAlign w:val="bottom"/>
            <w:shd w:val="clear" w:color="auto" w:fill="F4F3F3"/>
          </w:tcPr>
          <w:p>
            <w:pPr>
              <w:spacing w:after="0"/>
              <w:rPr>
                <w:sz w:val="11"/>
                <w:szCs w:val="11"/>
                <w:color w:val="auto"/>
              </w:rPr>
            </w:pPr>
          </w:p>
        </w:tc>
        <w:tc>
          <w:tcPr>
            <w:tcW w:w="260" w:type="dxa"/>
            <w:vAlign w:val="bottom"/>
            <w:tcBorders>
              <w:right w:val="single" w:sz="8" w:color="F4F3F3"/>
            </w:tcBorders>
            <w:shd w:val="clear" w:color="auto" w:fill="F4F3F3"/>
          </w:tcPr>
          <w:p>
            <w:pPr>
              <w:spacing w:after="0"/>
              <w:rPr>
                <w:sz w:val="11"/>
                <w:szCs w:val="11"/>
                <w:color w:val="auto"/>
              </w:rPr>
            </w:pPr>
          </w:p>
        </w:tc>
        <w:tc>
          <w:tcPr>
            <w:tcW w:w="340" w:type="dxa"/>
            <w:vAlign w:val="bottom"/>
            <w:tcBorders>
              <w:right w:val="single" w:sz="8" w:color="F4F3F3"/>
            </w:tcBorders>
            <w:shd w:val="clear" w:color="auto" w:fill="F4F3F3"/>
          </w:tcPr>
          <w:p>
            <w:pPr>
              <w:spacing w:after="0"/>
              <w:rPr>
                <w:sz w:val="11"/>
                <w:szCs w:val="11"/>
                <w:color w:val="auto"/>
              </w:rPr>
            </w:pPr>
          </w:p>
        </w:tc>
        <w:tc>
          <w:tcPr>
            <w:tcW w:w="260" w:type="dxa"/>
            <w:vAlign w:val="bottom"/>
            <w:tcBorders>
              <w:right w:val="single" w:sz="8" w:color="F4F3F3"/>
            </w:tcBorders>
            <w:shd w:val="clear" w:color="auto" w:fill="F4F3F3"/>
          </w:tcPr>
          <w:p>
            <w:pPr>
              <w:spacing w:after="0"/>
              <w:rPr>
                <w:sz w:val="11"/>
                <w:szCs w:val="11"/>
                <w:color w:val="auto"/>
              </w:rPr>
            </w:pPr>
          </w:p>
        </w:tc>
        <w:tc>
          <w:tcPr>
            <w:tcW w:w="140" w:type="dxa"/>
            <w:vAlign w:val="bottom"/>
            <w:shd w:val="clear" w:color="auto" w:fill="F4F3F3"/>
          </w:tcPr>
          <w:p>
            <w:pPr>
              <w:spacing w:after="0"/>
              <w:rPr>
                <w:sz w:val="11"/>
                <w:szCs w:val="11"/>
                <w:color w:val="auto"/>
              </w:rPr>
            </w:pPr>
          </w:p>
        </w:tc>
        <w:tc>
          <w:tcPr>
            <w:tcW w:w="160" w:type="dxa"/>
            <w:vAlign w:val="bottom"/>
            <w:shd w:val="clear" w:color="auto" w:fill="F4F3F3"/>
          </w:tcPr>
          <w:p>
            <w:pPr>
              <w:spacing w:after="0"/>
              <w:rPr>
                <w:sz w:val="11"/>
                <w:szCs w:val="11"/>
                <w:color w:val="auto"/>
              </w:rPr>
            </w:pPr>
          </w:p>
        </w:tc>
        <w:tc>
          <w:tcPr>
            <w:tcW w:w="280" w:type="dxa"/>
            <w:vAlign w:val="bottom"/>
            <w:tcBorders>
              <w:left w:val="single" w:sz="8" w:color="F4F3F3"/>
              <w:right w:val="single" w:sz="8" w:color="F4F3F3"/>
            </w:tcBorders>
            <w:shd w:val="clear" w:color="auto" w:fill="F4F3F3"/>
          </w:tcPr>
          <w:p>
            <w:pPr>
              <w:spacing w:after="0"/>
              <w:rPr>
                <w:sz w:val="11"/>
                <w:szCs w:val="11"/>
                <w:color w:val="auto"/>
              </w:rPr>
            </w:pPr>
          </w:p>
        </w:tc>
        <w:tc>
          <w:tcPr>
            <w:tcW w:w="260" w:type="dxa"/>
            <w:vAlign w:val="bottom"/>
            <w:shd w:val="clear" w:color="auto" w:fill="F4F3F3"/>
          </w:tcPr>
          <w:p>
            <w:pPr>
              <w:spacing w:after="0"/>
              <w:rPr>
                <w:sz w:val="11"/>
                <w:szCs w:val="11"/>
                <w:color w:val="auto"/>
              </w:rPr>
            </w:pPr>
          </w:p>
        </w:tc>
        <w:tc>
          <w:tcPr>
            <w:tcW w:w="240" w:type="dxa"/>
            <w:vAlign w:val="bottom"/>
            <w:shd w:val="clear" w:color="auto" w:fill="F4F3F3"/>
          </w:tcPr>
          <w:p>
            <w:pPr>
              <w:spacing w:after="0"/>
              <w:rPr>
                <w:sz w:val="11"/>
                <w:szCs w:val="11"/>
                <w:color w:val="auto"/>
              </w:rPr>
            </w:pPr>
          </w:p>
        </w:tc>
        <w:tc>
          <w:tcPr>
            <w:tcW w:w="20" w:type="dxa"/>
            <w:vAlign w:val="bottom"/>
            <w:shd w:val="clear" w:color="auto" w:fill="F4F3F3"/>
          </w:tcPr>
          <w:p>
            <w:pPr>
              <w:spacing w:after="0"/>
              <w:rPr>
                <w:sz w:val="11"/>
                <w:szCs w:val="11"/>
                <w:color w:val="auto"/>
              </w:rPr>
            </w:pPr>
          </w:p>
        </w:tc>
        <w:tc>
          <w:tcPr>
            <w:tcW w:w="100" w:type="dxa"/>
            <w:vAlign w:val="bottom"/>
            <w:shd w:val="clear" w:color="auto" w:fill="F4F3F3"/>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5500" w:type="dxa"/>
            <w:vAlign w:val="bottom"/>
            <w:vMerge w:val="continue"/>
            <w:shd w:val="clear" w:color="auto" w:fill="F4F3F3"/>
          </w:tcPr>
          <w:p>
            <w:pPr>
              <w:spacing w:after="0"/>
              <w:rPr>
                <w:sz w:val="7"/>
                <w:szCs w:val="7"/>
                <w:color w:val="auto"/>
              </w:rPr>
            </w:pPr>
          </w:p>
        </w:tc>
        <w:tc>
          <w:tcPr>
            <w:tcW w:w="500" w:type="dxa"/>
            <w:vAlign w:val="bottom"/>
            <w:vMerge w:val="restart"/>
            <w:shd w:val="clear" w:color="auto" w:fill="F4F3F3"/>
          </w:tcPr>
          <w:p>
            <w:pPr>
              <w:jc w:val="center"/>
              <w:ind w:left="28"/>
              <w:spacing w:after="0"/>
              <w:rPr>
                <w:sz w:val="20"/>
                <w:szCs w:val="20"/>
                <w:color w:val="auto"/>
              </w:rPr>
            </w:pPr>
            <w:r>
              <w:rPr>
                <w:rFonts w:ascii="Arial" w:cs="Arial" w:eastAsia="Arial" w:hAnsi="Arial"/>
                <w:sz w:val="14"/>
                <w:szCs w:val="14"/>
                <w:color w:val="auto"/>
              </w:rPr>
              <w:t>70</w:t>
            </w:r>
          </w:p>
        </w:tc>
        <w:tc>
          <w:tcPr>
            <w:tcW w:w="740" w:type="dxa"/>
            <w:vAlign w:val="bottom"/>
            <w:vMerge w:val="restart"/>
            <w:shd w:val="clear" w:color="auto" w:fill="F4F3F3"/>
          </w:tcPr>
          <w:p>
            <w:pPr>
              <w:jc w:val="center"/>
              <w:spacing w:after="0"/>
              <w:rPr>
                <w:sz w:val="20"/>
                <w:szCs w:val="20"/>
                <w:color w:val="auto"/>
              </w:rPr>
            </w:pPr>
            <w:r>
              <w:rPr>
                <w:rFonts w:ascii="Arial" w:cs="Arial" w:eastAsia="Arial" w:hAnsi="Arial"/>
                <w:sz w:val="14"/>
                <w:szCs w:val="14"/>
                <w:color w:val="auto"/>
              </w:rPr>
              <w:t>2008</w:t>
            </w:r>
          </w:p>
        </w:tc>
        <w:tc>
          <w:tcPr>
            <w:tcW w:w="1000" w:type="dxa"/>
            <w:vAlign w:val="bottom"/>
            <w:vMerge w:val="restart"/>
            <w:shd w:val="clear" w:color="auto" w:fill="F4F3F3"/>
          </w:tcPr>
          <w:p>
            <w:pPr>
              <w:jc w:val="center"/>
              <w:spacing w:after="0"/>
              <w:rPr>
                <w:sz w:val="20"/>
                <w:szCs w:val="20"/>
                <w:color w:val="auto"/>
              </w:rPr>
            </w:pPr>
            <w:r>
              <w:rPr>
                <w:rFonts w:ascii="Arial" w:cs="Arial" w:eastAsia="Arial" w:hAnsi="Arial"/>
                <w:sz w:val="14"/>
                <w:szCs w:val="14"/>
                <w:color w:val="auto"/>
                <w:w w:val="90"/>
              </w:rPr>
              <w:t>Yes</w:t>
            </w:r>
          </w:p>
        </w:tc>
        <w:tc>
          <w:tcPr>
            <w:tcW w:w="160" w:type="dxa"/>
            <w:vAlign w:val="bottom"/>
            <w:shd w:val="clear" w:color="auto" w:fill="F4F3F3"/>
          </w:tcPr>
          <w:p>
            <w:pPr>
              <w:spacing w:after="0"/>
              <w:rPr>
                <w:sz w:val="7"/>
                <w:szCs w:val="7"/>
                <w:color w:val="auto"/>
              </w:rPr>
            </w:pPr>
          </w:p>
        </w:tc>
        <w:tc>
          <w:tcPr>
            <w:tcW w:w="240" w:type="dxa"/>
            <w:vAlign w:val="bottom"/>
            <w:tcBorders>
              <w:right w:val="single" w:sz="8" w:color="F4F3F3"/>
            </w:tcBorders>
            <w:vMerge w:val="restart"/>
            <w:shd w:val="clear" w:color="auto" w:fill="998C87"/>
          </w:tcPr>
          <w:p>
            <w:pPr>
              <w:ind w:left="60"/>
              <w:spacing w:after="0" w:line="182" w:lineRule="exact"/>
              <w:rPr>
                <w:sz w:val="20"/>
                <w:szCs w:val="20"/>
                <w:color w:val="auto"/>
              </w:rPr>
            </w:pPr>
            <w:r>
              <w:rPr>
                <w:rFonts w:ascii="Arial" w:cs="Arial" w:eastAsia="Arial" w:hAnsi="Arial"/>
                <w:sz w:val="18"/>
                <w:szCs w:val="18"/>
                <w:b w:val="1"/>
                <w:bCs w:val="1"/>
                <w:color w:val="FFFFFF"/>
              </w:rPr>
              <w:t>F</w:t>
            </w:r>
          </w:p>
        </w:tc>
        <w:tc>
          <w:tcPr>
            <w:tcW w:w="260" w:type="dxa"/>
            <w:vAlign w:val="bottom"/>
            <w:shd w:val="clear" w:color="auto" w:fill="F4F3F3"/>
          </w:tcPr>
          <w:p>
            <w:pPr>
              <w:spacing w:after="0"/>
              <w:rPr>
                <w:sz w:val="7"/>
                <w:szCs w:val="7"/>
                <w:color w:val="auto"/>
              </w:rPr>
            </w:pPr>
          </w:p>
        </w:tc>
        <w:tc>
          <w:tcPr>
            <w:tcW w:w="280" w:type="dxa"/>
            <w:vAlign w:val="bottom"/>
            <w:tcBorders>
              <w:left w:val="single" w:sz="8" w:color="7F7F7F"/>
              <w:right w:val="single" w:sz="8" w:color="7F7F7F"/>
            </w:tcBorders>
            <w:vMerge w:val="restart"/>
            <w:shd w:val="clear" w:color="auto" w:fill="7F7F7F"/>
          </w:tcPr>
          <w:p>
            <w:pPr>
              <w:ind w:left="60"/>
              <w:spacing w:after="0" w:line="182" w:lineRule="exact"/>
              <w:rPr>
                <w:sz w:val="20"/>
                <w:szCs w:val="20"/>
                <w:color w:val="auto"/>
              </w:rPr>
            </w:pPr>
            <w:r>
              <w:rPr>
                <w:rFonts w:ascii="Arial" w:cs="Arial" w:eastAsia="Arial" w:hAnsi="Arial"/>
                <w:sz w:val="18"/>
                <w:szCs w:val="18"/>
                <w:b w:val="1"/>
                <w:bCs w:val="1"/>
                <w:color w:val="FFFFFF"/>
              </w:rPr>
              <w:t>M</w:t>
            </w:r>
          </w:p>
        </w:tc>
        <w:tc>
          <w:tcPr>
            <w:tcW w:w="260" w:type="dxa"/>
            <w:vAlign w:val="bottom"/>
            <w:shd w:val="clear" w:color="auto" w:fill="F4F3F3"/>
          </w:tcPr>
          <w:p>
            <w:pPr>
              <w:spacing w:after="0"/>
              <w:rPr>
                <w:sz w:val="7"/>
                <w:szCs w:val="7"/>
                <w:color w:val="auto"/>
              </w:rPr>
            </w:pPr>
          </w:p>
        </w:tc>
        <w:tc>
          <w:tcPr>
            <w:tcW w:w="260" w:type="dxa"/>
            <w:vAlign w:val="bottom"/>
            <w:tcBorders>
              <w:right w:val="single" w:sz="8" w:color="F4F3F3"/>
            </w:tcBorders>
            <w:shd w:val="clear" w:color="auto" w:fill="F4F3F3"/>
          </w:tcPr>
          <w:p>
            <w:pPr>
              <w:spacing w:after="0"/>
              <w:rPr>
                <w:sz w:val="7"/>
                <w:szCs w:val="7"/>
                <w:color w:val="auto"/>
              </w:rPr>
            </w:pPr>
          </w:p>
        </w:tc>
        <w:tc>
          <w:tcPr>
            <w:tcW w:w="340" w:type="dxa"/>
            <w:vAlign w:val="bottom"/>
            <w:tcBorders>
              <w:right w:val="single" w:sz="8" w:color="F4F3F3"/>
            </w:tcBorders>
            <w:shd w:val="clear" w:color="auto" w:fill="F4F3F3"/>
          </w:tcPr>
          <w:p>
            <w:pPr>
              <w:spacing w:after="0"/>
              <w:rPr>
                <w:sz w:val="7"/>
                <w:szCs w:val="7"/>
                <w:color w:val="auto"/>
              </w:rPr>
            </w:pPr>
          </w:p>
        </w:tc>
        <w:tc>
          <w:tcPr>
            <w:tcW w:w="260" w:type="dxa"/>
            <w:vAlign w:val="bottom"/>
            <w:tcBorders>
              <w:right w:val="single" w:sz="8" w:color="F4F3F3"/>
            </w:tcBorders>
            <w:shd w:val="clear" w:color="auto" w:fill="F4F3F3"/>
          </w:tcPr>
          <w:p>
            <w:pPr>
              <w:spacing w:after="0"/>
              <w:rPr>
                <w:sz w:val="7"/>
                <w:szCs w:val="7"/>
                <w:color w:val="auto"/>
              </w:rPr>
            </w:pPr>
          </w:p>
        </w:tc>
        <w:tc>
          <w:tcPr>
            <w:tcW w:w="140" w:type="dxa"/>
            <w:vAlign w:val="bottom"/>
            <w:shd w:val="clear" w:color="auto" w:fill="F4F3F3"/>
          </w:tcPr>
          <w:p>
            <w:pPr>
              <w:spacing w:after="0"/>
              <w:rPr>
                <w:sz w:val="7"/>
                <w:szCs w:val="7"/>
                <w:color w:val="auto"/>
              </w:rPr>
            </w:pPr>
          </w:p>
        </w:tc>
        <w:tc>
          <w:tcPr>
            <w:tcW w:w="160" w:type="dxa"/>
            <w:vAlign w:val="bottom"/>
            <w:shd w:val="clear" w:color="auto" w:fill="F4F3F3"/>
          </w:tcPr>
          <w:p>
            <w:pPr>
              <w:spacing w:after="0"/>
              <w:rPr>
                <w:sz w:val="7"/>
                <w:szCs w:val="7"/>
                <w:color w:val="auto"/>
              </w:rPr>
            </w:pPr>
          </w:p>
        </w:tc>
        <w:tc>
          <w:tcPr>
            <w:tcW w:w="280" w:type="dxa"/>
            <w:vAlign w:val="bottom"/>
            <w:tcBorders>
              <w:left w:val="single" w:sz="8" w:color="F4F3F3"/>
              <w:right w:val="single" w:sz="8" w:color="F4F3F3"/>
            </w:tcBorders>
            <w:shd w:val="clear" w:color="auto" w:fill="F4F3F3"/>
          </w:tcPr>
          <w:p>
            <w:pPr>
              <w:spacing w:after="0"/>
              <w:rPr>
                <w:sz w:val="7"/>
                <w:szCs w:val="7"/>
                <w:color w:val="auto"/>
              </w:rPr>
            </w:pPr>
          </w:p>
        </w:tc>
        <w:tc>
          <w:tcPr>
            <w:tcW w:w="260" w:type="dxa"/>
            <w:vAlign w:val="bottom"/>
            <w:shd w:val="clear" w:color="auto" w:fill="F4F3F3"/>
          </w:tcPr>
          <w:p>
            <w:pPr>
              <w:spacing w:after="0"/>
              <w:rPr>
                <w:sz w:val="7"/>
                <w:szCs w:val="7"/>
                <w:color w:val="auto"/>
              </w:rPr>
            </w:pPr>
          </w:p>
        </w:tc>
        <w:tc>
          <w:tcPr>
            <w:tcW w:w="240" w:type="dxa"/>
            <w:vAlign w:val="bottom"/>
            <w:shd w:val="clear" w:color="auto" w:fill="F4F3F3"/>
          </w:tcPr>
          <w:p>
            <w:pPr>
              <w:spacing w:after="0"/>
              <w:rPr>
                <w:sz w:val="7"/>
                <w:szCs w:val="7"/>
                <w:color w:val="auto"/>
              </w:rPr>
            </w:pPr>
          </w:p>
        </w:tc>
        <w:tc>
          <w:tcPr>
            <w:tcW w:w="20" w:type="dxa"/>
            <w:vAlign w:val="bottom"/>
            <w:shd w:val="clear" w:color="auto" w:fill="F4F3F3"/>
          </w:tcPr>
          <w:p>
            <w:pPr>
              <w:spacing w:after="0"/>
              <w:rPr>
                <w:sz w:val="7"/>
                <w:szCs w:val="7"/>
                <w:color w:val="auto"/>
              </w:rPr>
            </w:pPr>
          </w:p>
        </w:tc>
        <w:tc>
          <w:tcPr>
            <w:tcW w:w="100" w:type="dxa"/>
            <w:vAlign w:val="bottom"/>
            <w:shd w:val="clear" w:color="auto" w:fill="F4F3F3"/>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5500" w:type="dxa"/>
            <w:vAlign w:val="bottom"/>
            <w:vMerge w:val="restart"/>
            <w:shd w:val="clear" w:color="auto" w:fill="F4F3F3"/>
          </w:tcPr>
          <w:p>
            <w:pPr>
              <w:ind w:left="180"/>
              <w:spacing w:after="0"/>
              <w:rPr>
                <w:sz w:val="20"/>
                <w:szCs w:val="20"/>
                <w:color w:val="auto"/>
              </w:rPr>
            </w:pPr>
            <w:r>
              <w:rPr>
                <w:rFonts w:ascii="Arial" w:cs="Arial" w:eastAsia="Arial" w:hAnsi="Arial"/>
                <w:sz w:val="14"/>
                <w:szCs w:val="14"/>
                <w:i w:val="1"/>
                <w:iCs w:val="1"/>
                <w:color w:val="auto"/>
              </w:rPr>
              <w:t>President, Bush International, LLC</w:t>
            </w:r>
          </w:p>
        </w:tc>
        <w:tc>
          <w:tcPr>
            <w:tcW w:w="500" w:type="dxa"/>
            <w:vAlign w:val="bottom"/>
            <w:vMerge w:val="continue"/>
            <w:shd w:val="clear" w:color="auto" w:fill="F4F3F3"/>
          </w:tcPr>
          <w:p>
            <w:pPr>
              <w:spacing w:after="0"/>
              <w:rPr>
                <w:sz w:val="10"/>
                <w:szCs w:val="10"/>
                <w:color w:val="auto"/>
              </w:rPr>
            </w:pPr>
          </w:p>
        </w:tc>
        <w:tc>
          <w:tcPr>
            <w:tcW w:w="740" w:type="dxa"/>
            <w:vAlign w:val="bottom"/>
            <w:vMerge w:val="continue"/>
            <w:shd w:val="clear" w:color="auto" w:fill="F4F3F3"/>
          </w:tcPr>
          <w:p>
            <w:pPr>
              <w:spacing w:after="0"/>
              <w:rPr>
                <w:sz w:val="10"/>
                <w:szCs w:val="10"/>
                <w:color w:val="auto"/>
              </w:rPr>
            </w:pPr>
          </w:p>
        </w:tc>
        <w:tc>
          <w:tcPr>
            <w:tcW w:w="1000" w:type="dxa"/>
            <w:vAlign w:val="bottom"/>
            <w:vMerge w:val="continue"/>
            <w:shd w:val="clear" w:color="auto" w:fill="F4F3F3"/>
          </w:tcPr>
          <w:p>
            <w:pPr>
              <w:spacing w:after="0"/>
              <w:rPr>
                <w:sz w:val="10"/>
                <w:szCs w:val="10"/>
                <w:color w:val="auto"/>
              </w:rPr>
            </w:pPr>
          </w:p>
        </w:tc>
        <w:tc>
          <w:tcPr>
            <w:tcW w:w="160" w:type="dxa"/>
            <w:vAlign w:val="bottom"/>
            <w:shd w:val="clear" w:color="auto" w:fill="F4F3F3"/>
          </w:tcPr>
          <w:p>
            <w:pPr>
              <w:spacing w:after="0"/>
              <w:rPr>
                <w:sz w:val="10"/>
                <w:szCs w:val="10"/>
                <w:color w:val="auto"/>
              </w:rPr>
            </w:pPr>
          </w:p>
        </w:tc>
        <w:tc>
          <w:tcPr>
            <w:tcW w:w="240" w:type="dxa"/>
            <w:vAlign w:val="bottom"/>
            <w:tcBorders>
              <w:right w:val="single" w:sz="8" w:color="F4F3F3"/>
            </w:tcBorders>
            <w:vMerge w:val="continue"/>
            <w:shd w:val="clear" w:color="auto" w:fill="998C87"/>
          </w:tcPr>
          <w:p>
            <w:pPr>
              <w:spacing w:after="0"/>
              <w:rPr>
                <w:sz w:val="10"/>
                <w:szCs w:val="10"/>
                <w:color w:val="auto"/>
              </w:rPr>
            </w:pPr>
          </w:p>
        </w:tc>
        <w:tc>
          <w:tcPr>
            <w:tcW w:w="260" w:type="dxa"/>
            <w:vAlign w:val="bottom"/>
            <w:vMerge w:val="restart"/>
            <w:shd w:val="clear" w:color="auto" w:fill="F4F3F3"/>
          </w:tcPr>
          <w:p>
            <w:pPr>
              <w:spacing w:after="0"/>
              <w:rPr>
                <w:sz w:val="10"/>
                <w:szCs w:val="10"/>
                <w:color w:val="auto"/>
              </w:rPr>
            </w:pPr>
          </w:p>
        </w:tc>
        <w:tc>
          <w:tcPr>
            <w:tcW w:w="280" w:type="dxa"/>
            <w:vAlign w:val="bottom"/>
            <w:tcBorders>
              <w:left w:val="single" w:sz="8" w:color="7F7F7F"/>
              <w:right w:val="single" w:sz="8" w:color="7F7F7F"/>
            </w:tcBorders>
            <w:vMerge w:val="continue"/>
            <w:shd w:val="clear" w:color="auto" w:fill="7F7F7F"/>
          </w:tcPr>
          <w:p>
            <w:pPr>
              <w:spacing w:after="0"/>
              <w:rPr>
                <w:sz w:val="10"/>
                <w:szCs w:val="10"/>
                <w:color w:val="auto"/>
              </w:rPr>
            </w:pPr>
          </w:p>
        </w:tc>
        <w:tc>
          <w:tcPr>
            <w:tcW w:w="260" w:type="dxa"/>
            <w:vAlign w:val="bottom"/>
            <w:shd w:val="clear" w:color="auto" w:fill="F4F3F3"/>
          </w:tcPr>
          <w:p>
            <w:pPr>
              <w:spacing w:after="0"/>
              <w:rPr>
                <w:sz w:val="10"/>
                <w:szCs w:val="10"/>
                <w:color w:val="auto"/>
              </w:rPr>
            </w:pPr>
          </w:p>
        </w:tc>
        <w:tc>
          <w:tcPr>
            <w:tcW w:w="260" w:type="dxa"/>
            <w:vAlign w:val="bottom"/>
            <w:tcBorders>
              <w:right w:val="single" w:sz="8" w:color="F4F3F3"/>
            </w:tcBorders>
            <w:shd w:val="clear" w:color="auto" w:fill="F4F3F3"/>
          </w:tcPr>
          <w:p>
            <w:pPr>
              <w:spacing w:after="0"/>
              <w:rPr>
                <w:sz w:val="10"/>
                <w:szCs w:val="10"/>
                <w:color w:val="auto"/>
              </w:rPr>
            </w:pPr>
          </w:p>
        </w:tc>
        <w:tc>
          <w:tcPr>
            <w:tcW w:w="340" w:type="dxa"/>
            <w:vAlign w:val="bottom"/>
            <w:tcBorders>
              <w:right w:val="single" w:sz="8" w:color="F4F3F3"/>
            </w:tcBorders>
            <w:shd w:val="clear" w:color="auto" w:fill="F4F3F3"/>
          </w:tcPr>
          <w:p>
            <w:pPr>
              <w:spacing w:after="0"/>
              <w:rPr>
                <w:sz w:val="10"/>
                <w:szCs w:val="10"/>
                <w:color w:val="auto"/>
              </w:rPr>
            </w:pPr>
          </w:p>
        </w:tc>
        <w:tc>
          <w:tcPr>
            <w:tcW w:w="260" w:type="dxa"/>
            <w:vAlign w:val="bottom"/>
            <w:tcBorders>
              <w:right w:val="single" w:sz="8" w:color="F4F3F3"/>
            </w:tcBorders>
            <w:shd w:val="clear" w:color="auto" w:fill="F4F3F3"/>
          </w:tcPr>
          <w:p>
            <w:pPr>
              <w:spacing w:after="0"/>
              <w:rPr>
                <w:sz w:val="10"/>
                <w:szCs w:val="10"/>
                <w:color w:val="auto"/>
              </w:rPr>
            </w:pPr>
          </w:p>
        </w:tc>
        <w:tc>
          <w:tcPr>
            <w:tcW w:w="140" w:type="dxa"/>
            <w:vAlign w:val="bottom"/>
            <w:shd w:val="clear" w:color="auto" w:fill="F4F3F3"/>
          </w:tcPr>
          <w:p>
            <w:pPr>
              <w:spacing w:after="0"/>
              <w:rPr>
                <w:sz w:val="10"/>
                <w:szCs w:val="10"/>
                <w:color w:val="auto"/>
              </w:rPr>
            </w:pPr>
          </w:p>
        </w:tc>
        <w:tc>
          <w:tcPr>
            <w:tcW w:w="160" w:type="dxa"/>
            <w:vAlign w:val="bottom"/>
            <w:shd w:val="clear" w:color="auto" w:fill="F4F3F3"/>
          </w:tcPr>
          <w:p>
            <w:pPr>
              <w:spacing w:after="0"/>
              <w:rPr>
                <w:sz w:val="10"/>
                <w:szCs w:val="10"/>
                <w:color w:val="auto"/>
              </w:rPr>
            </w:pPr>
          </w:p>
        </w:tc>
        <w:tc>
          <w:tcPr>
            <w:tcW w:w="280" w:type="dxa"/>
            <w:vAlign w:val="bottom"/>
            <w:tcBorders>
              <w:left w:val="single" w:sz="8" w:color="F4F3F3"/>
              <w:right w:val="single" w:sz="8" w:color="F4F3F3"/>
            </w:tcBorders>
            <w:shd w:val="clear" w:color="auto" w:fill="F4F3F3"/>
          </w:tcPr>
          <w:p>
            <w:pPr>
              <w:spacing w:after="0"/>
              <w:rPr>
                <w:sz w:val="10"/>
                <w:szCs w:val="10"/>
                <w:color w:val="auto"/>
              </w:rPr>
            </w:pPr>
          </w:p>
        </w:tc>
        <w:tc>
          <w:tcPr>
            <w:tcW w:w="260" w:type="dxa"/>
            <w:vAlign w:val="bottom"/>
            <w:shd w:val="clear" w:color="auto" w:fill="F4F3F3"/>
          </w:tcPr>
          <w:p>
            <w:pPr>
              <w:spacing w:after="0"/>
              <w:rPr>
                <w:sz w:val="10"/>
                <w:szCs w:val="10"/>
                <w:color w:val="auto"/>
              </w:rPr>
            </w:pPr>
          </w:p>
        </w:tc>
        <w:tc>
          <w:tcPr>
            <w:tcW w:w="240" w:type="dxa"/>
            <w:vAlign w:val="bottom"/>
            <w:shd w:val="clear" w:color="auto" w:fill="F4F3F3"/>
          </w:tcPr>
          <w:p>
            <w:pPr>
              <w:spacing w:after="0"/>
              <w:rPr>
                <w:sz w:val="10"/>
                <w:szCs w:val="10"/>
                <w:color w:val="auto"/>
              </w:rPr>
            </w:pPr>
          </w:p>
        </w:tc>
        <w:tc>
          <w:tcPr>
            <w:tcW w:w="20" w:type="dxa"/>
            <w:vAlign w:val="bottom"/>
            <w:shd w:val="clear" w:color="auto" w:fill="F4F3F3"/>
          </w:tcPr>
          <w:p>
            <w:pPr>
              <w:spacing w:after="0"/>
              <w:rPr>
                <w:sz w:val="10"/>
                <w:szCs w:val="10"/>
                <w:color w:val="auto"/>
              </w:rPr>
            </w:pPr>
          </w:p>
        </w:tc>
        <w:tc>
          <w:tcPr>
            <w:tcW w:w="100" w:type="dxa"/>
            <w:vAlign w:val="bottom"/>
            <w:shd w:val="clear" w:color="auto" w:fill="F4F3F3"/>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5500" w:type="dxa"/>
            <w:vAlign w:val="bottom"/>
            <w:vMerge w:val="continue"/>
            <w:shd w:val="clear" w:color="auto" w:fill="F4F3F3"/>
          </w:tcPr>
          <w:p>
            <w:pPr>
              <w:spacing w:after="0"/>
              <w:rPr>
                <w:sz w:val="6"/>
                <w:szCs w:val="6"/>
                <w:color w:val="auto"/>
              </w:rPr>
            </w:pPr>
          </w:p>
        </w:tc>
        <w:tc>
          <w:tcPr>
            <w:tcW w:w="500" w:type="dxa"/>
            <w:vAlign w:val="bottom"/>
            <w:shd w:val="clear" w:color="auto" w:fill="F4F3F3"/>
          </w:tcPr>
          <w:p>
            <w:pPr>
              <w:spacing w:after="0"/>
              <w:rPr>
                <w:sz w:val="6"/>
                <w:szCs w:val="6"/>
                <w:color w:val="auto"/>
              </w:rPr>
            </w:pPr>
          </w:p>
        </w:tc>
        <w:tc>
          <w:tcPr>
            <w:tcW w:w="740" w:type="dxa"/>
            <w:vAlign w:val="bottom"/>
            <w:shd w:val="clear" w:color="auto" w:fill="F4F3F3"/>
          </w:tcPr>
          <w:p>
            <w:pPr>
              <w:spacing w:after="0"/>
              <w:rPr>
                <w:sz w:val="6"/>
                <w:szCs w:val="6"/>
                <w:color w:val="auto"/>
              </w:rPr>
            </w:pPr>
          </w:p>
        </w:tc>
        <w:tc>
          <w:tcPr>
            <w:tcW w:w="1000" w:type="dxa"/>
            <w:vAlign w:val="bottom"/>
            <w:shd w:val="clear" w:color="auto" w:fill="F4F3F3"/>
          </w:tcPr>
          <w:p>
            <w:pPr>
              <w:spacing w:after="0"/>
              <w:rPr>
                <w:sz w:val="6"/>
                <w:szCs w:val="6"/>
                <w:color w:val="auto"/>
              </w:rPr>
            </w:pPr>
          </w:p>
        </w:tc>
        <w:tc>
          <w:tcPr>
            <w:tcW w:w="160" w:type="dxa"/>
            <w:vAlign w:val="bottom"/>
            <w:shd w:val="clear" w:color="auto" w:fill="F4F3F3"/>
          </w:tcPr>
          <w:p>
            <w:pPr>
              <w:spacing w:after="0"/>
              <w:rPr>
                <w:sz w:val="6"/>
                <w:szCs w:val="6"/>
                <w:color w:val="auto"/>
              </w:rPr>
            </w:pPr>
          </w:p>
        </w:tc>
        <w:tc>
          <w:tcPr>
            <w:tcW w:w="240" w:type="dxa"/>
            <w:vAlign w:val="bottom"/>
            <w:tcBorders>
              <w:right w:val="single" w:sz="8" w:color="F4F3F3"/>
            </w:tcBorders>
            <w:shd w:val="clear" w:color="auto" w:fill="F4F3F3"/>
          </w:tcPr>
          <w:p>
            <w:pPr>
              <w:spacing w:after="0"/>
              <w:rPr>
                <w:sz w:val="6"/>
                <w:szCs w:val="6"/>
                <w:color w:val="auto"/>
              </w:rPr>
            </w:pPr>
          </w:p>
        </w:tc>
        <w:tc>
          <w:tcPr>
            <w:tcW w:w="260" w:type="dxa"/>
            <w:vAlign w:val="bottom"/>
            <w:vMerge w:val="continue"/>
            <w:shd w:val="clear" w:color="auto" w:fill="F4F3F3"/>
          </w:tcPr>
          <w:p>
            <w:pPr>
              <w:spacing w:after="0"/>
              <w:rPr>
                <w:sz w:val="6"/>
                <w:szCs w:val="6"/>
                <w:color w:val="auto"/>
              </w:rPr>
            </w:pPr>
          </w:p>
        </w:tc>
        <w:tc>
          <w:tcPr>
            <w:tcW w:w="280" w:type="dxa"/>
            <w:vAlign w:val="bottom"/>
            <w:tcBorders>
              <w:left w:val="single" w:sz="8" w:color="F4F3F3"/>
              <w:right w:val="single" w:sz="8" w:color="F4F3F3"/>
            </w:tcBorders>
            <w:shd w:val="clear" w:color="auto" w:fill="F4F3F3"/>
          </w:tcPr>
          <w:p>
            <w:pPr>
              <w:spacing w:after="0"/>
              <w:rPr>
                <w:sz w:val="6"/>
                <w:szCs w:val="6"/>
                <w:color w:val="auto"/>
              </w:rPr>
            </w:pPr>
          </w:p>
        </w:tc>
        <w:tc>
          <w:tcPr>
            <w:tcW w:w="260" w:type="dxa"/>
            <w:vAlign w:val="bottom"/>
            <w:shd w:val="clear" w:color="auto" w:fill="F4F3F3"/>
          </w:tcPr>
          <w:p>
            <w:pPr>
              <w:spacing w:after="0"/>
              <w:rPr>
                <w:sz w:val="6"/>
                <w:szCs w:val="6"/>
                <w:color w:val="auto"/>
              </w:rPr>
            </w:pPr>
          </w:p>
        </w:tc>
        <w:tc>
          <w:tcPr>
            <w:tcW w:w="260" w:type="dxa"/>
            <w:vAlign w:val="bottom"/>
            <w:tcBorders>
              <w:right w:val="single" w:sz="8" w:color="F4F3F3"/>
            </w:tcBorders>
            <w:shd w:val="clear" w:color="auto" w:fill="F4F3F3"/>
          </w:tcPr>
          <w:p>
            <w:pPr>
              <w:spacing w:after="0"/>
              <w:rPr>
                <w:sz w:val="6"/>
                <w:szCs w:val="6"/>
                <w:color w:val="auto"/>
              </w:rPr>
            </w:pPr>
          </w:p>
        </w:tc>
        <w:tc>
          <w:tcPr>
            <w:tcW w:w="340" w:type="dxa"/>
            <w:vAlign w:val="bottom"/>
            <w:tcBorders>
              <w:right w:val="single" w:sz="8" w:color="F4F3F3"/>
            </w:tcBorders>
            <w:shd w:val="clear" w:color="auto" w:fill="F4F3F3"/>
          </w:tcPr>
          <w:p>
            <w:pPr>
              <w:spacing w:after="0"/>
              <w:rPr>
                <w:sz w:val="6"/>
                <w:szCs w:val="6"/>
                <w:color w:val="auto"/>
              </w:rPr>
            </w:pPr>
          </w:p>
        </w:tc>
        <w:tc>
          <w:tcPr>
            <w:tcW w:w="260" w:type="dxa"/>
            <w:vAlign w:val="bottom"/>
            <w:tcBorders>
              <w:right w:val="single" w:sz="8" w:color="F4F3F3"/>
            </w:tcBorders>
            <w:shd w:val="clear" w:color="auto" w:fill="F4F3F3"/>
          </w:tcPr>
          <w:p>
            <w:pPr>
              <w:spacing w:after="0"/>
              <w:rPr>
                <w:sz w:val="6"/>
                <w:szCs w:val="6"/>
                <w:color w:val="auto"/>
              </w:rPr>
            </w:pPr>
          </w:p>
        </w:tc>
        <w:tc>
          <w:tcPr>
            <w:tcW w:w="140" w:type="dxa"/>
            <w:vAlign w:val="bottom"/>
            <w:shd w:val="clear" w:color="auto" w:fill="F4F3F3"/>
          </w:tcPr>
          <w:p>
            <w:pPr>
              <w:spacing w:after="0"/>
              <w:rPr>
                <w:sz w:val="6"/>
                <w:szCs w:val="6"/>
                <w:color w:val="auto"/>
              </w:rPr>
            </w:pPr>
          </w:p>
        </w:tc>
        <w:tc>
          <w:tcPr>
            <w:tcW w:w="160" w:type="dxa"/>
            <w:vAlign w:val="bottom"/>
            <w:shd w:val="clear" w:color="auto" w:fill="F4F3F3"/>
          </w:tcPr>
          <w:p>
            <w:pPr>
              <w:spacing w:after="0"/>
              <w:rPr>
                <w:sz w:val="6"/>
                <w:szCs w:val="6"/>
                <w:color w:val="auto"/>
              </w:rPr>
            </w:pPr>
          </w:p>
        </w:tc>
        <w:tc>
          <w:tcPr>
            <w:tcW w:w="280" w:type="dxa"/>
            <w:vAlign w:val="bottom"/>
            <w:tcBorders>
              <w:left w:val="single" w:sz="8" w:color="F4F3F3"/>
              <w:right w:val="single" w:sz="8" w:color="F4F3F3"/>
            </w:tcBorders>
            <w:shd w:val="clear" w:color="auto" w:fill="F4F3F3"/>
          </w:tcPr>
          <w:p>
            <w:pPr>
              <w:spacing w:after="0"/>
              <w:rPr>
                <w:sz w:val="6"/>
                <w:szCs w:val="6"/>
                <w:color w:val="auto"/>
              </w:rPr>
            </w:pPr>
          </w:p>
        </w:tc>
        <w:tc>
          <w:tcPr>
            <w:tcW w:w="260" w:type="dxa"/>
            <w:vAlign w:val="bottom"/>
            <w:shd w:val="clear" w:color="auto" w:fill="F4F3F3"/>
          </w:tcPr>
          <w:p>
            <w:pPr>
              <w:spacing w:after="0"/>
              <w:rPr>
                <w:sz w:val="6"/>
                <w:szCs w:val="6"/>
                <w:color w:val="auto"/>
              </w:rPr>
            </w:pPr>
          </w:p>
        </w:tc>
        <w:tc>
          <w:tcPr>
            <w:tcW w:w="240" w:type="dxa"/>
            <w:vAlign w:val="bottom"/>
            <w:shd w:val="clear" w:color="auto" w:fill="F4F3F3"/>
          </w:tcPr>
          <w:p>
            <w:pPr>
              <w:spacing w:after="0"/>
              <w:rPr>
                <w:sz w:val="6"/>
                <w:szCs w:val="6"/>
                <w:color w:val="auto"/>
              </w:rPr>
            </w:pPr>
          </w:p>
        </w:tc>
        <w:tc>
          <w:tcPr>
            <w:tcW w:w="20" w:type="dxa"/>
            <w:vAlign w:val="bottom"/>
            <w:shd w:val="clear" w:color="auto" w:fill="F4F3F3"/>
          </w:tcPr>
          <w:p>
            <w:pPr>
              <w:spacing w:after="0"/>
              <w:rPr>
                <w:sz w:val="6"/>
                <w:szCs w:val="6"/>
                <w:color w:val="auto"/>
              </w:rPr>
            </w:pPr>
          </w:p>
        </w:tc>
        <w:tc>
          <w:tcPr>
            <w:tcW w:w="100" w:type="dxa"/>
            <w:vAlign w:val="bottom"/>
            <w:shd w:val="clear" w:color="auto" w:fill="F4F3F3"/>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5500" w:type="dxa"/>
            <w:vAlign w:val="bottom"/>
            <w:vMerge w:val="restart"/>
            <w:shd w:val="clear" w:color="auto" w:fill="F4F3F3"/>
          </w:tcPr>
          <w:p>
            <w:pPr>
              <w:ind w:left="180"/>
              <w:spacing w:after="0"/>
              <w:rPr>
                <w:sz w:val="20"/>
                <w:szCs w:val="20"/>
                <w:color w:val="auto"/>
              </w:rPr>
            </w:pPr>
            <w:r>
              <w:rPr>
                <w:rFonts w:ascii="Arial" w:cs="Arial" w:eastAsia="Arial" w:hAnsi="Arial"/>
                <w:sz w:val="14"/>
                <w:szCs w:val="14"/>
                <w:b w:val="1"/>
                <w:bCs w:val="1"/>
                <w:color w:val="998C87"/>
              </w:rPr>
              <w:t>Bruce W. Duncan</w:t>
            </w:r>
          </w:p>
        </w:tc>
        <w:tc>
          <w:tcPr>
            <w:tcW w:w="500" w:type="dxa"/>
            <w:vAlign w:val="bottom"/>
            <w:shd w:val="clear" w:color="auto" w:fill="F4F3F3"/>
          </w:tcPr>
          <w:p>
            <w:pPr>
              <w:spacing w:after="0"/>
              <w:rPr>
                <w:sz w:val="12"/>
                <w:szCs w:val="12"/>
                <w:color w:val="auto"/>
              </w:rPr>
            </w:pPr>
          </w:p>
        </w:tc>
        <w:tc>
          <w:tcPr>
            <w:tcW w:w="740" w:type="dxa"/>
            <w:vAlign w:val="bottom"/>
            <w:shd w:val="clear" w:color="auto" w:fill="F4F3F3"/>
          </w:tcPr>
          <w:p>
            <w:pPr>
              <w:spacing w:after="0"/>
              <w:rPr>
                <w:sz w:val="12"/>
                <w:szCs w:val="12"/>
                <w:color w:val="auto"/>
              </w:rPr>
            </w:pPr>
          </w:p>
        </w:tc>
        <w:tc>
          <w:tcPr>
            <w:tcW w:w="1000" w:type="dxa"/>
            <w:vAlign w:val="bottom"/>
            <w:shd w:val="clear" w:color="auto" w:fill="F4F3F3"/>
          </w:tcPr>
          <w:p>
            <w:pPr>
              <w:spacing w:after="0"/>
              <w:rPr>
                <w:sz w:val="12"/>
                <w:szCs w:val="12"/>
                <w:color w:val="auto"/>
              </w:rPr>
            </w:pPr>
          </w:p>
        </w:tc>
        <w:tc>
          <w:tcPr>
            <w:tcW w:w="160" w:type="dxa"/>
            <w:vAlign w:val="bottom"/>
            <w:shd w:val="clear" w:color="auto" w:fill="F4F3F3"/>
          </w:tcPr>
          <w:p>
            <w:pPr>
              <w:spacing w:after="0"/>
              <w:rPr>
                <w:sz w:val="12"/>
                <w:szCs w:val="12"/>
                <w:color w:val="auto"/>
              </w:rPr>
            </w:pPr>
          </w:p>
        </w:tc>
        <w:tc>
          <w:tcPr>
            <w:tcW w:w="240" w:type="dxa"/>
            <w:vAlign w:val="bottom"/>
            <w:tcBorders>
              <w:right w:val="single" w:sz="8" w:color="F4F3F3"/>
            </w:tcBorders>
            <w:shd w:val="clear" w:color="auto" w:fill="F4F3F3"/>
          </w:tcPr>
          <w:p>
            <w:pPr>
              <w:spacing w:after="0"/>
              <w:rPr>
                <w:sz w:val="12"/>
                <w:szCs w:val="12"/>
                <w:color w:val="auto"/>
              </w:rPr>
            </w:pPr>
          </w:p>
        </w:tc>
        <w:tc>
          <w:tcPr>
            <w:tcW w:w="260" w:type="dxa"/>
            <w:vAlign w:val="bottom"/>
            <w:shd w:val="clear" w:color="auto" w:fill="F4F3F3"/>
          </w:tcPr>
          <w:p>
            <w:pPr>
              <w:spacing w:after="0"/>
              <w:rPr>
                <w:sz w:val="12"/>
                <w:szCs w:val="12"/>
                <w:color w:val="auto"/>
              </w:rPr>
            </w:pPr>
          </w:p>
        </w:tc>
        <w:tc>
          <w:tcPr>
            <w:tcW w:w="280" w:type="dxa"/>
            <w:vAlign w:val="bottom"/>
            <w:tcBorders>
              <w:left w:val="single" w:sz="8" w:color="F4F3F3"/>
              <w:right w:val="single" w:sz="8" w:color="F4F3F3"/>
            </w:tcBorders>
            <w:shd w:val="clear" w:color="auto" w:fill="F4F3F3"/>
          </w:tcPr>
          <w:p>
            <w:pPr>
              <w:spacing w:after="0"/>
              <w:rPr>
                <w:sz w:val="12"/>
                <w:szCs w:val="12"/>
                <w:color w:val="auto"/>
              </w:rPr>
            </w:pPr>
          </w:p>
        </w:tc>
        <w:tc>
          <w:tcPr>
            <w:tcW w:w="260" w:type="dxa"/>
            <w:vAlign w:val="bottom"/>
            <w:shd w:val="clear" w:color="auto" w:fill="F4F3F3"/>
          </w:tcPr>
          <w:p>
            <w:pPr>
              <w:spacing w:after="0"/>
              <w:rPr>
                <w:sz w:val="12"/>
                <w:szCs w:val="12"/>
                <w:color w:val="auto"/>
              </w:rPr>
            </w:pPr>
          </w:p>
        </w:tc>
        <w:tc>
          <w:tcPr>
            <w:tcW w:w="260" w:type="dxa"/>
            <w:vAlign w:val="bottom"/>
            <w:tcBorders>
              <w:right w:val="single" w:sz="8" w:color="F4F3F3"/>
            </w:tcBorders>
            <w:shd w:val="clear" w:color="auto" w:fill="F4F3F3"/>
          </w:tcPr>
          <w:p>
            <w:pPr>
              <w:spacing w:after="0"/>
              <w:rPr>
                <w:sz w:val="12"/>
                <w:szCs w:val="12"/>
                <w:color w:val="auto"/>
              </w:rPr>
            </w:pPr>
          </w:p>
        </w:tc>
        <w:tc>
          <w:tcPr>
            <w:tcW w:w="340" w:type="dxa"/>
            <w:vAlign w:val="bottom"/>
            <w:tcBorders>
              <w:right w:val="single" w:sz="8" w:color="F4F3F3"/>
            </w:tcBorders>
            <w:shd w:val="clear" w:color="auto" w:fill="F4F3F3"/>
          </w:tcPr>
          <w:p>
            <w:pPr>
              <w:spacing w:after="0"/>
              <w:rPr>
                <w:sz w:val="12"/>
                <w:szCs w:val="12"/>
                <w:color w:val="auto"/>
              </w:rPr>
            </w:pPr>
          </w:p>
        </w:tc>
        <w:tc>
          <w:tcPr>
            <w:tcW w:w="260" w:type="dxa"/>
            <w:vAlign w:val="bottom"/>
            <w:tcBorders>
              <w:right w:val="single" w:sz="8" w:color="F4F3F3"/>
            </w:tcBorders>
            <w:shd w:val="clear" w:color="auto" w:fill="F4F3F3"/>
          </w:tcPr>
          <w:p>
            <w:pPr>
              <w:spacing w:after="0"/>
              <w:rPr>
                <w:sz w:val="12"/>
                <w:szCs w:val="12"/>
                <w:color w:val="auto"/>
              </w:rPr>
            </w:pPr>
          </w:p>
        </w:tc>
        <w:tc>
          <w:tcPr>
            <w:tcW w:w="140" w:type="dxa"/>
            <w:vAlign w:val="bottom"/>
            <w:shd w:val="clear" w:color="auto" w:fill="F4F3F3"/>
          </w:tcPr>
          <w:p>
            <w:pPr>
              <w:spacing w:after="0"/>
              <w:rPr>
                <w:sz w:val="12"/>
                <w:szCs w:val="12"/>
                <w:color w:val="auto"/>
              </w:rPr>
            </w:pPr>
          </w:p>
        </w:tc>
        <w:tc>
          <w:tcPr>
            <w:tcW w:w="160" w:type="dxa"/>
            <w:vAlign w:val="bottom"/>
            <w:shd w:val="clear" w:color="auto" w:fill="F4F3F3"/>
          </w:tcPr>
          <w:p>
            <w:pPr>
              <w:spacing w:after="0"/>
              <w:rPr>
                <w:sz w:val="12"/>
                <w:szCs w:val="12"/>
                <w:color w:val="auto"/>
              </w:rPr>
            </w:pPr>
          </w:p>
        </w:tc>
        <w:tc>
          <w:tcPr>
            <w:tcW w:w="280" w:type="dxa"/>
            <w:vAlign w:val="bottom"/>
            <w:tcBorders>
              <w:left w:val="single" w:sz="8" w:color="F4F3F3"/>
              <w:right w:val="single" w:sz="8" w:color="F4F3F3"/>
            </w:tcBorders>
            <w:shd w:val="clear" w:color="auto" w:fill="F4F3F3"/>
          </w:tcPr>
          <w:p>
            <w:pPr>
              <w:spacing w:after="0"/>
              <w:rPr>
                <w:sz w:val="12"/>
                <w:szCs w:val="12"/>
                <w:color w:val="auto"/>
              </w:rPr>
            </w:pPr>
          </w:p>
        </w:tc>
        <w:tc>
          <w:tcPr>
            <w:tcW w:w="260" w:type="dxa"/>
            <w:vAlign w:val="bottom"/>
            <w:shd w:val="clear" w:color="auto" w:fill="F4F3F3"/>
          </w:tcPr>
          <w:p>
            <w:pPr>
              <w:spacing w:after="0"/>
              <w:rPr>
                <w:sz w:val="12"/>
                <w:szCs w:val="12"/>
                <w:color w:val="auto"/>
              </w:rPr>
            </w:pPr>
          </w:p>
        </w:tc>
        <w:tc>
          <w:tcPr>
            <w:tcW w:w="240" w:type="dxa"/>
            <w:vAlign w:val="bottom"/>
            <w:shd w:val="clear" w:color="auto" w:fill="F4F3F3"/>
          </w:tcPr>
          <w:p>
            <w:pPr>
              <w:spacing w:after="0"/>
              <w:rPr>
                <w:sz w:val="12"/>
                <w:szCs w:val="12"/>
                <w:color w:val="auto"/>
              </w:rPr>
            </w:pPr>
          </w:p>
        </w:tc>
        <w:tc>
          <w:tcPr>
            <w:tcW w:w="20" w:type="dxa"/>
            <w:vAlign w:val="bottom"/>
            <w:shd w:val="clear" w:color="auto" w:fill="F4F3F3"/>
          </w:tcPr>
          <w:p>
            <w:pPr>
              <w:spacing w:after="0"/>
              <w:rPr>
                <w:sz w:val="12"/>
                <w:szCs w:val="12"/>
                <w:color w:val="auto"/>
              </w:rPr>
            </w:pPr>
          </w:p>
        </w:tc>
        <w:tc>
          <w:tcPr>
            <w:tcW w:w="100" w:type="dxa"/>
            <w:vAlign w:val="bottom"/>
            <w:shd w:val="clear" w:color="auto" w:fill="F4F3F3"/>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5500" w:type="dxa"/>
            <w:vAlign w:val="bottom"/>
            <w:vMerge w:val="continue"/>
            <w:shd w:val="clear" w:color="auto" w:fill="F4F3F3"/>
          </w:tcPr>
          <w:p>
            <w:pPr>
              <w:spacing w:after="0"/>
              <w:rPr>
                <w:sz w:val="7"/>
                <w:szCs w:val="7"/>
                <w:color w:val="auto"/>
              </w:rPr>
            </w:pPr>
          </w:p>
        </w:tc>
        <w:tc>
          <w:tcPr>
            <w:tcW w:w="500" w:type="dxa"/>
            <w:vAlign w:val="bottom"/>
            <w:vMerge w:val="restart"/>
            <w:shd w:val="clear" w:color="auto" w:fill="F4F3F3"/>
          </w:tcPr>
          <w:p>
            <w:pPr>
              <w:jc w:val="center"/>
              <w:ind w:left="28"/>
              <w:spacing w:after="0"/>
              <w:rPr>
                <w:sz w:val="20"/>
                <w:szCs w:val="20"/>
                <w:color w:val="auto"/>
              </w:rPr>
            </w:pPr>
            <w:r>
              <w:rPr>
                <w:rFonts w:ascii="Arial" w:cs="Arial" w:eastAsia="Arial" w:hAnsi="Arial"/>
                <w:sz w:val="14"/>
                <w:szCs w:val="14"/>
                <w:color w:val="auto"/>
              </w:rPr>
              <w:t>66</w:t>
            </w:r>
          </w:p>
        </w:tc>
        <w:tc>
          <w:tcPr>
            <w:tcW w:w="740" w:type="dxa"/>
            <w:vAlign w:val="bottom"/>
            <w:vMerge w:val="restart"/>
            <w:shd w:val="clear" w:color="auto" w:fill="F4F3F3"/>
          </w:tcPr>
          <w:p>
            <w:pPr>
              <w:jc w:val="center"/>
              <w:spacing w:after="0"/>
              <w:rPr>
                <w:sz w:val="20"/>
                <w:szCs w:val="20"/>
                <w:color w:val="auto"/>
              </w:rPr>
            </w:pPr>
            <w:r>
              <w:rPr>
                <w:rFonts w:ascii="Arial" w:cs="Arial" w:eastAsia="Arial" w:hAnsi="Arial"/>
                <w:sz w:val="14"/>
                <w:szCs w:val="14"/>
                <w:color w:val="auto"/>
              </w:rPr>
              <w:t>2016</w:t>
            </w:r>
          </w:p>
        </w:tc>
        <w:tc>
          <w:tcPr>
            <w:tcW w:w="1000" w:type="dxa"/>
            <w:vAlign w:val="bottom"/>
            <w:vMerge w:val="restart"/>
            <w:shd w:val="clear" w:color="auto" w:fill="F4F3F3"/>
          </w:tcPr>
          <w:p>
            <w:pPr>
              <w:jc w:val="center"/>
              <w:spacing w:after="0"/>
              <w:rPr>
                <w:sz w:val="20"/>
                <w:szCs w:val="20"/>
                <w:color w:val="auto"/>
              </w:rPr>
            </w:pPr>
            <w:r>
              <w:rPr>
                <w:rFonts w:ascii="Arial" w:cs="Arial" w:eastAsia="Arial" w:hAnsi="Arial"/>
                <w:sz w:val="14"/>
                <w:szCs w:val="14"/>
                <w:color w:val="auto"/>
                <w:w w:val="90"/>
              </w:rPr>
              <w:t>Yes</w:t>
            </w:r>
          </w:p>
        </w:tc>
        <w:tc>
          <w:tcPr>
            <w:tcW w:w="160" w:type="dxa"/>
            <w:vAlign w:val="bottom"/>
            <w:shd w:val="clear" w:color="auto" w:fill="F4F3F3"/>
          </w:tcPr>
          <w:p>
            <w:pPr>
              <w:spacing w:after="0"/>
              <w:rPr>
                <w:sz w:val="7"/>
                <w:szCs w:val="7"/>
                <w:color w:val="auto"/>
              </w:rPr>
            </w:pPr>
          </w:p>
        </w:tc>
        <w:tc>
          <w:tcPr>
            <w:tcW w:w="240" w:type="dxa"/>
            <w:vAlign w:val="bottom"/>
            <w:tcBorders>
              <w:right w:val="single" w:sz="8" w:color="F4F3F3"/>
            </w:tcBorders>
            <w:shd w:val="clear" w:color="auto" w:fill="F4F3F3"/>
          </w:tcPr>
          <w:p>
            <w:pPr>
              <w:spacing w:after="0"/>
              <w:rPr>
                <w:sz w:val="7"/>
                <w:szCs w:val="7"/>
                <w:color w:val="auto"/>
              </w:rPr>
            </w:pPr>
          </w:p>
        </w:tc>
        <w:tc>
          <w:tcPr>
            <w:tcW w:w="260" w:type="dxa"/>
            <w:vAlign w:val="bottom"/>
            <w:shd w:val="clear" w:color="auto" w:fill="F4F3F3"/>
          </w:tcPr>
          <w:p>
            <w:pPr>
              <w:spacing w:after="0"/>
              <w:rPr>
                <w:sz w:val="7"/>
                <w:szCs w:val="7"/>
                <w:color w:val="auto"/>
              </w:rPr>
            </w:pPr>
          </w:p>
        </w:tc>
        <w:tc>
          <w:tcPr>
            <w:tcW w:w="280" w:type="dxa"/>
            <w:vAlign w:val="bottom"/>
            <w:tcBorders>
              <w:left w:val="single" w:sz="8" w:color="F4F3F3"/>
              <w:right w:val="single" w:sz="8" w:color="F4F3F3"/>
            </w:tcBorders>
            <w:shd w:val="clear" w:color="auto" w:fill="F4F3F3"/>
          </w:tcPr>
          <w:p>
            <w:pPr>
              <w:spacing w:after="0"/>
              <w:rPr>
                <w:sz w:val="7"/>
                <w:szCs w:val="7"/>
                <w:color w:val="auto"/>
              </w:rPr>
            </w:pPr>
          </w:p>
        </w:tc>
        <w:tc>
          <w:tcPr>
            <w:tcW w:w="260" w:type="dxa"/>
            <w:vAlign w:val="bottom"/>
            <w:shd w:val="clear" w:color="auto" w:fill="F4F3F3"/>
          </w:tcPr>
          <w:p>
            <w:pPr>
              <w:spacing w:after="0"/>
              <w:rPr>
                <w:sz w:val="7"/>
                <w:szCs w:val="7"/>
                <w:color w:val="auto"/>
              </w:rPr>
            </w:pPr>
          </w:p>
        </w:tc>
        <w:tc>
          <w:tcPr>
            <w:tcW w:w="260" w:type="dxa"/>
            <w:vAlign w:val="bottom"/>
            <w:tcBorders>
              <w:right w:val="single" w:sz="8" w:color="7F7F7F"/>
            </w:tcBorders>
            <w:vMerge w:val="restart"/>
            <w:shd w:val="clear" w:color="auto" w:fill="7F7F7F"/>
          </w:tcPr>
          <w:p>
            <w:pPr>
              <w:jc w:val="right"/>
              <w:spacing w:after="0" w:line="182" w:lineRule="exact"/>
              <w:rPr>
                <w:sz w:val="20"/>
                <w:szCs w:val="20"/>
                <w:color w:val="auto"/>
              </w:rPr>
            </w:pPr>
            <w:r>
              <w:rPr>
                <w:rFonts w:ascii="Arial" w:cs="Arial" w:eastAsia="Arial" w:hAnsi="Arial"/>
                <w:sz w:val="18"/>
                <w:szCs w:val="18"/>
                <w:b w:val="1"/>
                <w:bCs w:val="1"/>
                <w:color w:val="FFFFFF"/>
              </w:rPr>
              <w:t>M</w:t>
            </w:r>
          </w:p>
        </w:tc>
        <w:tc>
          <w:tcPr>
            <w:tcW w:w="340" w:type="dxa"/>
            <w:vAlign w:val="bottom"/>
            <w:tcBorders>
              <w:right w:val="single" w:sz="8" w:color="F4F3F3"/>
            </w:tcBorders>
            <w:shd w:val="clear" w:color="auto" w:fill="F4F3F3"/>
          </w:tcPr>
          <w:p>
            <w:pPr>
              <w:spacing w:after="0"/>
              <w:rPr>
                <w:sz w:val="7"/>
                <w:szCs w:val="7"/>
                <w:color w:val="auto"/>
              </w:rPr>
            </w:pPr>
          </w:p>
        </w:tc>
        <w:tc>
          <w:tcPr>
            <w:tcW w:w="260" w:type="dxa"/>
            <w:vAlign w:val="bottom"/>
            <w:tcBorders>
              <w:right w:val="single" w:sz="8" w:color="F4F3F3"/>
            </w:tcBorders>
            <w:shd w:val="clear" w:color="auto" w:fill="F4F3F3"/>
          </w:tcPr>
          <w:p>
            <w:pPr>
              <w:spacing w:after="0"/>
              <w:rPr>
                <w:sz w:val="7"/>
                <w:szCs w:val="7"/>
                <w:color w:val="auto"/>
              </w:rPr>
            </w:pPr>
          </w:p>
        </w:tc>
        <w:tc>
          <w:tcPr>
            <w:tcW w:w="140" w:type="dxa"/>
            <w:vAlign w:val="bottom"/>
            <w:shd w:val="clear" w:color="auto" w:fill="F4F3F3"/>
          </w:tcPr>
          <w:p>
            <w:pPr>
              <w:spacing w:after="0"/>
              <w:rPr>
                <w:sz w:val="7"/>
                <w:szCs w:val="7"/>
                <w:color w:val="auto"/>
              </w:rPr>
            </w:pPr>
          </w:p>
        </w:tc>
        <w:tc>
          <w:tcPr>
            <w:tcW w:w="160" w:type="dxa"/>
            <w:vAlign w:val="bottom"/>
            <w:shd w:val="clear" w:color="auto" w:fill="F4F3F3"/>
          </w:tcPr>
          <w:p>
            <w:pPr>
              <w:spacing w:after="0"/>
              <w:rPr>
                <w:sz w:val="7"/>
                <w:szCs w:val="7"/>
                <w:color w:val="auto"/>
              </w:rPr>
            </w:pPr>
          </w:p>
        </w:tc>
        <w:tc>
          <w:tcPr>
            <w:tcW w:w="280" w:type="dxa"/>
            <w:vAlign w:val="bottom"/>
            <w:tcBorders>
              <w:left w:val="single" w:sz="8" w:color="F4F3F3"/>
              <w:right w:val="single" w:sz="8" w:color="F4F3F3"/>
            </w:tcBorders>
            <w:shd w:val="clear" w:color="auto" w:fill="F4F3F3"/>
          </w:tcPr>
          <w:p>
            <w:pPr>
              <w:spacing w:after="0"/>
              <w:rPr>
                <w:sz w:val="7"/>
                <w:szCs w:val="7"/>
                <w:color w:val="auto"/>
              </w:rPr>
            </w:pPr>
          </w:p>
        </w:tc>
        <w:tc>
          <w:tcPr>
            <w:tcW w:w="260" w:type="dxa"/>
            <w:vAlign w:val="bottom"/>
            <w:shd w:val="clear" w:color="auto" w:fill="F4F3F3"/>
          </w:tcPr>
          <w:p>
            <w:pPr>
              <w:spacing w:after="0"/>
              <w:rPr>
                <w:sz w:val="7"/>
                <w:szCs w:val="7"/>
                <w:color w:val="auto"/>
              </w:rPr>
            </w:pPr>
          </w:p>
        </w:tc>
        <w:tc>
          <w:tcPr>
            <w:tcW w:w="240" w:type="dxa"/>
            <w:vAlign w:val="bottom"/>
            <w:shd w:val="clear" w:color="auto" w:fill="F4F3F3"/>
          </w:tcPr>
          <w:p>
            <w:pPr>
              <w:spacing w:after="0"/>
              <w:rPr>
                <w:sz w:val="7"/>
                <w:szCs w:val="7"/>
                <w:color w:val="auto"/>
              </w:rPr>
            </w:pPr>
          </w:p>
        </w:tc>
        <w:tc>
          <w:tcPr>
            <w:tcW w:w="20" w:type="dxa"/>
            <w:vAlign w:val="bottom"/>
            <w:shd w:val="clear" w:color="auto" w:fill="F4F3F3"/>
          </w:tcPr>
          <w:p>
            <w:pPr>
              <w:spacing w:after="0"/>
              <w:rPr>
                <w:sz w:val="7"/>
                <w:szCs w:val="7"/>
                <w:color w:val="auto"/>
              </w:rPr>
            </w:pPr>
          </w:p>
        </w:tc>
        <w:tc>
          <w:tcPr>
            <w:tcW w:w="100" w:type="dxa"/>
            <w:vAlign w:val="bottom"/>
            <w:shd w:val="clear" w:color="auto" w:fill="F4F3F3"/>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5500" w:type="dxa"/>
            <w:vAlign w:val="bottom"/>
            <w:vMerge w:val="restart"/>
            <w:shd w:val="clear" w:color="auto" w:fill="F4F3F3"/>
          </w:tcPr>
          <w:p>
            <w:pPr>
              <w:ind w:left="180"/>
              <w:spacing w:after="0"/>
              <w:rPr>
                <w:sz w:val="20"/>
                <w:szCs w:val="20"/>
                <w:color w:val="auto"/>
              </w:rPr>
            </w:pPr>
            <w:r>
              <w:rPr>
                <w:rFonts w:ascii="Arial" w:cs="Arial" w:eastAsia="Arial" w:hAnsi="Arial"/>
                <w:sz w:val="14"/>
                <w:szCs w:val="14"/>
                <w:i w:val="1"/>
                <w:iCs w:val="1"/>
                <w:color w:val="auto"/>
              </w:rPr>
              <w:t>Chairman of the Board, First Industrial Realty Trust, Inc.</w:t>
            </w:r>
          </w:p>
        </w:tc>
        <w:tc>
          <w:tcPr>
            <w:tcW w:w="500" w:type="dxa"/>
            <w:vAlign w:val="bottom"/>
            <w:vMerge w:val="continue"/>
            <w:shd w:val="clear" w:color="auto" w:fill="F4F3F3"/>
          </w:tcPr>
          <w:p>
            <w:pPr>
              <w:spacing w:after="0"/>
              <w:rPr>
                <w:sz w:val="10"/>
                <w:szCs w:val="10"/>
                <w:color w:val="auto"/>
              </w:rPr>
            </w:pPr>
          </w:p>
        </w:tc>
        <w:tc>
          <w:tcPr>
            <w:tcW w:w="740" w:type="dxa"/>
            <w:vAlign w:val="bottom"/>
            <w:vMerge w:val="continue"/>
            <w:shd w:val="clear" w:color="auto" w:fill="F4F3F3"/>
          </w:tcPr>
          <w:p>
            <w:pPr>
              <w:spacing w:after="0"/>
              <w:rPr>
                <w:sz w:val="10"/>
                <w:szCs w:val="10"/>
                <w:color w:val="auto"/>
              </w:rPr>
            </w:pPr>
          </w:p>
        </w:tc>
        <w:tc>
          <w:tcPr>
            <w:tcW w:w="1000" w:type="dxa"/>
            <w:vAlign w:val="bottom"/>
            <w:vMerge w:val="continue"/>
            <w:shd w:val="clear" w:color="auto" w:fill="F4F3F3"/>
          </w:tcPr>
          <w:p>
            <w:pPr>
              <w:spacing w:after="0"/>
              <w:rPr>
                <w:sz w:val="10"/>
                <w:szCs w:val="10"/>
                <w:color w:val="auto"/>
              </w:rPr>
            </w:pPr>
          </w:p>
        </w:tc>
        <w:tc>
          <w:tcPr>
            <w:tcW w:w="160" w:type="dxa"/>
            <w:vAlign w:val="bottom"/>
            <w:shd w:val="clear" w:color="auto" w:fill="F4F3F3"/>
          </w:tcPr>
          <w:p>
            <w:pPr>
              <w:spacing w:after="0"/>
              <w:rPr>
                <w:sz w:val="10"/>
                <w:szCs w:val="10"/>
                <w:color w:val="auto"/>
              </w:rPr>
            </w:pPr>
          </w:p>
        </w:tc>
        <w:tc>
          <w:tcPr>
            <w:tcW w:w="240" w:type="dxa"/>
            <w:vAlign w:val="bottom"/>
            <w:tcBorders>
              <w:right w:val="single" w:sz="8" w:color="F4F3F3"/>
            </w:tcBorders>
            <w:shd w:val="clear" w:color="auto" w:fill="F4F3F3"/>
          </w:tcPr>
          <w:p>
            <w:pPr>
              <w:spacing w:after="0"/>
              <w:rPr>
                <w:sz w:val="10"/>
                <w:szCs w:val="10"/>
                <w:color w:val="auto"/>
              </w:rPr>
            </w:pPr>
          </w:p>
        </w:tc>
        <w:tc>
          <w:tcPr>
            <w:tcW w:w="260" w:type="dxa"/>
            <w:vAlign w:val="bottom"/>
            <w:shd w:val="clear" w:color="auto" w:fill="F4F3F3"/>
          </w:tcPr>
          <w:p>
            <w:pPr>
              <w:spacing w:after="0"/>
              <w:rPr>
                <w:sz w:val="10"/>
                <w:szCs w:val="10"/>
                <w:color w:val="auto"/>
              </w:rPr>
            </w:pPr>
          </w:p>
        </w:tc>
        <w:tc>
          <w:tcPr>
            <w:tcW w:w="280" w:type="dxa"/>
            <w:vAlign w:val="bottom"/>
            <w:tcBorders>
              <w:left w:val="single" w:sz="8" w:color="F4F3F3"/>
              <w:right w:val="single" w:sz="8" w:color="F4F3F3"/>
            </w:tcBorders>
            <w:shd w:val="clear" w:color="auto" w:fill="F4F3F3"/>
          </w:tcPr>
          <w:p>
            <w:pPr>
              <w:spacing w:after="0"/>
              <w:rPr>
                <w:sz w:val="10"/>
                <w:szCs w:val="10"/>
                <w:color w:val="auto"/>
              </w:rPr>
            </w:pPr>
          </w:p>
        </w:tc>
        <w:tc>
          <w:tcPr>
            <w:tcW w:w="260" w:type="dxa"/>
            <w:vAlign w:val="bottom"/>
            <w:shd w:val="clear" w:color="auto" w:fill="F4F3F3"/>
          </w:tcPr>
          <w:p>
            <w:pPr>
              <w:spacing w:after="0"/>
              <w:rPr>
                <w:sz w:val="10"/>
                <w:szCs w:val="10"/>
                <w:color w:val="auto"/>
              </w:rPr>
            </w:pPr>
          </w:p>
        </w:tc>
        <w:tc>
          <w:tcPr>
            <w:tcW w:w="260" w:type="dxa"/>
            <w:vAlign w:val="bottom"/>
            <w:tcBorders>
              <w:right w:val="single" w:sz="8" w:color="7F7F7F"/>
            </w:tcBorders>
            <w:vMerge w:val="continue"/>
            <w:shd w:val="clear" w:color="auto" w:fill="7F7F7F"/>
          </w:tcPr>
          <w:p>
            <w:pPr>
              <w:spacing w:after="0"/>
              <w:rPr>
                <w:sz w:val="10"/>
                <w:szCs w:val="10"/>
                <w:color w:val="auto"/>
              </w:rPr>
            </w:pPr>
          </w:p>
        </w:tc>
        <w:tc>
          <w:tcPr>
            <w:tcW w:w="340" w:type="dxa"/>
            <w:vAlign w:val="bottom"/>
            <w:tcBorders>
              <w:right w:val="single" w:sz="8" w:color="F4F3F3"/>
            </w:tcBorders>
            <w:shd w:val="clear" w:color="auto" w:fill="F4F3F3"/>
          </w:tcPr>
          <w:p>
            <w:pPr>
              <w:spacing w:after="0"/>
              <w:rPr>
                <w:sz w:val="10"/>
                <w:szCs w:val="10"/>
                <w:color w:val="auto"/>
              </w:rPr>
            </w:pPr>
          </w:p>
        </w:tc>
        <w:tc>
          <w:tcPr>
            <w:tcW w:w="260" w:type="dxa"/>
            <w:vAlign w:val="bottom"/>
            <w:tcBorders>
              <w:right w:val="single" w:sz="8" w:color="F4F3F3"/>
            </w:tcBorders>
            <w:shd w:val="clear" w:color="auto" w:fill="F4F3F3"/>
          </w:tcPr>
          <w:p>
            <w:pPr>
              <w:spacing w:after="0"/>
              <w:rPr>
                <w:sz w:val="10"/>
                <w:szCs w:val="10"/>
                <w:color w:val="auto"/>
              </w:rPr>
            </w:pPr>
          </w:p>
        </w:tc>
        <w:tc>
          <w:tcPr>
            <w:tcW w:w="140" w:type="dxa"/>
            <w:vAlign w:val="bottom"/>
            <w:shd w:val="clear" w:color="auto" w:fill="F4F3F3"/>
          </w:tcPr>
          <w:p>
            <w:pPr>
              <w:spacing w:after="0"/>
              <w:rPr>
                <w:sz w:val="10"/>
                <w:szCs w:val="10"/>
                <w:color w:val="auto"/>
              </w:rPr>
            </w:pPr>
          </w:p>
        </w:tc>
        <w:tc>
          <w:tcPr>
            <w:tcW w:w="160" w:type="dxa"/>
            <w:vAlign w:val="bottom"/>
            <w:shd w:val="clear" w:color="auto" w:fill="F4F3F3"/>
          </w:tcPr>
          <w:p>
            <w:pPr>
              <w:spacing w:after="0"/>
              <w:rPr>
                <w:sz w:val="10"/>
                <w:szCs w:val="10"/>
                <w:color w:val="auto"/>
              </w:rPr>
            </w:pPr>
          </w:p>
        </w:tc>
        <w:tc>
          <w:tcPr>
            <w:tcW w:w="280" w:type="dxa"/>
            <w:vAlign w:val="bottom"/>
            <w:tcBorders>
              <w:left w:val="single" w:sz="8" w:color="F4F3F3"/>
              <w:right w:val="single" w:sz="8" w:color="F4F3F3"/>
            </w:tcBorders>
            <w:shd w:val="clear" w:color="auto" w:fill="F4F3F3"/>
          </w:tcPr>
          <w:p>
            <w:pPr>
              <w:spacing w:after="0"/>
              <w:rPr>
                <w:sz w:val="10"/>
                <w:szCs w:val="10"/>
                <w:color w:val="auto"/>
              </w:rPr>
            </w:pPr>
          </w:p>
        </w:tc>
        <w:tc>
          <w:tcPr>
            <w:tcW w:w="260" w:type="dxa"/>
            <w:vAlign w:val="bottom"/>
            <w:shd w:val="clear" w:color="auto" w:fill="F4F3F3"/>
          </w:tcPr>
          <w:p>
            <w:pPr>
              <w:spacing w:after="0"/>
              <w:rPr>
                <w:sz w:val="10"/>
                <w:szCs w:val="10"/>
                <w:color w:val="auto"/>
              </w:rPr>
            </w:pPr>
          </w:p>
        </w:tc>
        <w:tc>
          <w:tcPr>
            <w:tcW w:w="240" w:type="dxa"/>
            <w:vAlign w:val="bottom"/>
            <w:shd w:val="clear" w:color="auto" w:fill="F4F3F3"/>
          </w:tcPr>
          <w:p>
            <w:pPr>
              <w:spacing w:after="0"/>
              <w:rPr>
                <w:sz w:val="10"/>
                <w:szCs w:val="10"/>
                <w:color w:val="auto"/>
              </w:rPr>
            </w:pPr>
          </w:p>
        </w:tc>
        <w:tc>
          <w:tcPr>
            <w:tcW w:w="20" w:type="dxa"/>
            <w:vAlign w:val="bottom"/>
            <w:shd w:val="clear" w:color="auto" w:fill="F4F3F3"/>
          </w:tcPr>
          <w:p>
            <w:pPr>
              <w:spacing w:after="0"/>
              <w:rPr>
                <w:sz w:val="10"/>
                <w:szCs w:val="10"/>
                <w:color w:val="auto"/>
              </w:rPr>
            </w:pPr>
          </w:p>
        </w:tc>
        <w:tc>
          <w:tcPr>
            <w:tcW w:w="100" w:type="dxa"/>
            <w:vAlign w:val="bottom"/>
            <w:shd w:val="clear" w:color="auto" w:fill="F4F3F3"/>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5500" w:type="dxa"/>
            <w:vAlign w:val="bottom"/>
            <w:vMerge w:val="continue"/>
            <w:shd w:val="clear" w:color="auto" w:fill="F4F3F3"/>
          </w:tcPr>
          <w:p>
            <w:pPr>
              <w:spacing w:after="0"/>
              <w:rPr>
                <w:sz w:val="6"/>
                <w:szCs w:val="6"/>
                <w:color w:val="auto"/>
              </w:rPr>
            </w:pPr>
          </w:p>
        </w:tc>
        <w:tc>
          <w:tcPr>
            <w:tcW w:w="500" w:type="dxa"/>
            <w:vAlign w:val="bottom"/>
            <w:shd w:val="clear" w:color="auto" w:fill="F4F3F3"/>
          </w:tcPr>
          <w:p>
            <w:pPr>
              <w:spacing w:after="0"/>
              <w:rPr>
                <w:sz w:val="6"/>
                <w:szCs w:val="6"/>
                <w:color w:val="auto"/>
              </w:rPr>
            </w:pPr>
          </w:p>
        </w:tc>
        <w:tc>
          <w:tcPr>
            <w:tcW w:w="740" w:type="dxa"/>
            <w:vAlign w:val="bottom"/>
            <w:shd w:val="clear" w:color="auto" w:fill="F4F3F3"/>
          </w:tcPr>
          <w:p>
            <w:pPr>
              <w:spacing w:after="0"/>
              <w:rPr>
                <w:sz w:val="6"/>
                <w:szCs w:val="6"/>
                <w:color w:val="auto"/>
              </w:rPr>
            </w:pPr>
          </w:p>
        </w:tc>
        <w:tc>
          <w:tcPr>
            <w:tcW w:w="1000" w:type="dxa"/>
            <w:vAlign w:val="bottom"/>
            <w:shd w:val="clear" w:color="auto" w:fill="F4F3F3"/>
          </w:tcPr>
          <w:p>
            <w:pPr>
              <w:spacing w:after="0"/>
              <w:rPr>
                <w:sz w:val="6"/>
                <w:szCs w:val="6"/>
                <w:color w:val="auto"/>
              </w:rPr>
            </w:pPr>
          </w:p>
        </w:tc>
        <w:tc>
          <w:tcPr>
            <w:tcW w:w="160" w:type="dxa"/>
            <w:vAlign w:val="bottom"/>
            <w:shd w:val="clear" w:color="auto" w:fill="F4F3F3"/>
          </w:tcPr>
          <w:p>
            <w:pPr>
              <w:spacing w:after="0"/>
              <w:rPr>
                <w:sz w:val="6"/>
                <w:szCs w:val="6"/>
                <w:color w:val="auto"/>
              </w:rPr>
            </w:pPr>
          </w:p>
        </w:tc>
        <w:tc>
          <w:tcPr>
            <w:tcW w:w="240" w:type="dxa"/>
            <w:vAlign w:val="bottom"/>
            <w:tcBorders>
              <w:right w:val="single" w:sz="8" w:color="F4F3F3"/>
            </w:tcBorders>
            <w:shd w:val="clear" w:color="auto" w:fill="F4F3F3"/>
          </w:tcPr>
          <w:p>
            <w:pPr>
              <w:spacing w:after="0"/>
              <w:rPr>
                <w:sz w:val="6"/>
                <w:szCs w:val="6"/>
                <w:color w:val="auto"/>
              </w:rPr>
            </w:pPr>
          </w:p>
        </w:tc>
        <w:tc>
          <w:tcPr>
            <w:tcW w:w="260" w:type="dxa"/>
            <w:vAlign w:val="bottom"/>
            <w:shd w:val="clear" w:color="auto" w:fill="F4F3F3"/>
          </w:tcPr>
          <w:p>
            <w:pPr>
              <w:spacing w:after="0"/>
              <w:rPr>
                <w:sz w:val="6"/>
                <w:szCs w:val="6"/>
                <w:color w:val="auto"/>
              </w:rPr>
            </w:pPr>
          </w:p>
        </w:tc>
        <w:tc>
          <w:tcPr>
            <w:tcW w:w="280" w:type="dxa"/>
            <w:vAlign w:val="bottom"/>
            <w:tcBorders>
              <w:left w:val="single" w:sz="8" w:color="F4F3F3"/>
              <w:right w:val="single" w:sz="8" w:color="F4F3F3"/>
            </w:tcBorders>
            <w:shd w:val="clear" w:color="auto" w:fill="F4F3F3"/>
          </w:tcPr>
          <w:p>
            <w:pPr>
              <w:spacing w:after="0"/>
              <w:rPr>
                <w:sz w:val="6"/>
                <w:szCs w:val="6"/>
                <w:color w:val="auto"/>
              </w:rPr>
            </w:pPr>
          </w:p>
        </w:tc>
        <w:tc>
          <w:tcPr>
            <w:tcW w:w="260" w:type="dxa"/>
            <w:vAlign w:val="bottom"/>
            <w:shd w:val="clear" w:color="auto" w:fill="F4F3F3"/>
          </w:tcPr>
          <w:p>
            <w:pPr>
              <w:spacing w:after="0"/>
              <w:rPr>
                <w:sz w:val="6"/>
                <w:szCs w:val="6"/>
                <w:color w:val="auto"/>
              </w:rPr>
            </w:pPr>
          </w:p>
        </w:tc>
        <w:tc>
          <w:tcPr>
            <w:tcW w:w="260" w:type="dxa"/>
            <w:vAlign w:val="bottom"/>
            <w:tcBorders>
              <w:right w:val="single" w:sz="8" w:color="F4F3F3"/>
            </w:tcBorders>
            <w:shd w:val="clear" w:color="auto" w:fill="F4F3F3"/>
          </w:tcPr>
          <w:p>
            <w:pPr>
              <w:spacing w:after="0"/>
              <w:rPr>
                <w:sz w:val="6"/>
                <w:szCs w:val="6"/>
                <w:color w:val="auto"/>
              </w:rPr>
            </w:pPr>
          </w:p>
        </w:tc>
        <w:tc>
          <w:tcPr>
            <w:tcW w:w="340" w:type="dxa"/>
            <w:vAlign w:val="bottom"/>
            <w:tcBorders>
              <w:right w:val="single" w:sz="8" w:color="F4F3F3"/>
            </w:tcBorders>
            <w:shd w:val="clear" w:color="auto" w:fill="F4F3F3"/>
          </w:tcPr>
          <w:p>
            <w:pPr>
              <w:spacing w:after="0"/>
              <w:rPr>
                <w:sz w:val="6"/>
                <w:szCs w:val="6"/>
                <w:color w:val="auto"/>
              </w:rPr>
            </w:pPr>
          </w:p>
        </w:tc>
        <w:tc>
          <w:tcPr>
            <w:tcW w:w="260" w:type="dxa"/>
            <w:vAlign w:val="bottom"/>
            <w:tcBorders>
              <w:right w:val="single" w:sz="8" w:color="F4F3F3"/>
            </w:tcBorders>
            <w:shd w:val="clear" w:color="auto" w:fill="F4F3F3"/>
          </w:tcPr>
          <w:p>
            <w:pPr>
              <w:spacing w:after="0"/>
              <w:rPr>
                <w:sz w:val="6"/>
                <w:szCs w:val="6"/>
                <w:color w:val="auto"/>
              </w:rPr>
            </w:pPr>
          </w:p>
        </w:tc>
        <w:tc>
          <w:tcPr>
            <w:tcW w:w="140" w:type="dxa"/>
            <w:vAlign w:val="bottom"/>
            <w:shd w:val="clear" w:color="auto" w:fill="F4F3F3"/>
          </w:tcPr>
          <w:p>
            <w:pPr>
              <w:spacing w:after="0"/>
              <w:rPr>
                <w:sz w:val="6"/>
                <w:szCs w:val="6"/>
                <w:color w:val="auto"/>
              </w:rPr>
            </w:pPr>
          </w:p>
        </w:tc>
        <w:tc>
          <w:tcPr>
            <w:tcW w:w="160" w:type="dxa"/>
            <w:vAlign w:val="bottom"/>
            <w:shd w:val="clear" w:color="auto" w:fill="F4F3F3"/>
          </w:tcPr>
          <w:p>
            <w:pPr>
              <w:spacing w:after="0"/>
              <w:rPr>
                <w:sz w:val="6"/>
                <w:szCs w:val="6"/>
                <w:color w:val="auto"/>
              </w:rPr>
            </w:pPr>
          </w:p>
        </w:tc>
        <w:tc>
          <w:tcPr>
            <w:tcW w:w="280" w:type="dxa"/>
            <w:vAlign w:val="bottom"/>
            <w:tcBorders>
              <w:left w:val="single" w:sz="8" w:color="F4F3F3"/>
              <w:right w:val="single" w:sz="8" w:color="F4F3F3"/>
            </w:tcBorders>
            <w:shd w:val="clear" w:color="auto" w:fill="F4F3F3"/>
          </w:tcPr>
          <w:p>
            <w:pPr>
              <w:spacing w:after="0"/>
              <w:rPr>
                <w:sz w:val="6"/>
                <w:szCs w:val="6"/>
                <w:color w:val="auto"/>
              </w:rPr>
            </w:pPr>
          </w:p>
        </w:tc>
        <w:tc>
          <w:tcPr>
            <w:tcW w:w="260" w:type="dxa"/>
            <w:vAlign w:val="bottom"/>
            <w:shd w:val="clear" w:color="auto" w:fill="F4F3F3"/>
          </w:tcPr>
          <w:p>
            <w:pPr>
              <w:spacing w:after="0"/>
              <w:rPr>
                <w:sz w:val="6"/>
                <w:szCs w:val="6"/>
                <w:color w:val="auto"/>
              </w:rPr>
            </w:pPr>
          </w:p>
        </w:tc>
        <w:tc>
          <w:tcPr>
            <w:tcW w:w="240" w:type="dxa"/>
            <w:vAlign w:val="bottom"/>
            <w:shd w:val="clear" w:color="auto" w:fill="F4F3F3"/>
          </w:tcPr>
          <w:p>
            <w:pPr>
              <w:spacing w:after="0"/>
              <w:rPr>
                <w:sz w:val="6"/>
                <w:szCs w:val="6"/>
                <w:color w:val="auto"/>
              </w:rPr>
            </w:pPr>
          </w:p>
        </w:tc>
        <w:tc>
          <w:tcPr>
            <w:tcW w:w="20" w:type="dxa"/>
            <w:vAlign w:val="bottom"/>
            <w:shd w:val="clear" w:color="auto" w:fill="F4F3F3"/>
          </w:tcPr>
          <w:p>
            <w:pPr>
              <w:spacing w:after="0"/>
              <w:rPr>
                <w:sz w:val="6"/>
                <w:szCs w:val="6"/>
                <w:color w:val="auto"/>
              </w:rPr>
            </w:pPr>
          </w:p>
        </w:tc>
        <w:tc>
          <w:tcPr>
            <w:tcW w:w="100" w:type="dxa"/>
            <w:vAlign w:val="bottom"/>
            <w:shd w:val="clear" w:color="auto" w:fill="F4F3F3"/>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5500" w:type="dxa"/>
            <w:vAlign w:val="bottom"/>
            <w:vMerge w:val="restart"/>
            <w:shd w:val="clear" w:color="auto" w:fill="F4F3F3"/>
          </w:tcPr>
          <w:p>
            <w:pPr>
              <w:ind w:left="180"/>
              <w:spacing w:after="0"/>
              <w:rPr>
                <w:sz w:val="20"/>
                <w:szCs w:val="20"/>
                <w:color w:val="auto"/>
              </w:rPr>
            </w:pPr>
            <w:r>
              <w:rPr>
                <w:rFonts w:ascii="Arial" w:cs="Arial" w:eastAsia="Arial" w:hAnsi="Arial"/>
                <w:sz w:val="14"/>
                <w:szCs w:val="14"/>
                <w:b w:val="1"/>
                <w:bCs w:val="1"/>
                <w:color w:val="998C87"/>
              </w:rPr>
              <w:t>Deborah Marriott Harrison</w:t>
            </w:r>
          </w:p>
        </w:tc>
        <w:tc>
          <w:tcPr>
            <w:tcW w:w="500" w:type="dxa"/>
            <w:vAlign w:val="bottom"/>
            <w:shd w:val="clear" w:color="auto" w:fill="F4F3F3"/>
          </w:tcPr>
          <w:p>
            <w:pPr>
              <w:spacing w:after="0"/>
              <w:rPr>
                <w:sz w:val="12"/>
                <w:szCs w:val="12"/>
                <w:color w:val="auto"/>
              </w:rPr>
            </w:pPr>
          </w:p>
        </w:tc>
        <w:tc>
          <w:tcPr>
            <w:tcW w:w="740" w:type="dxa"/>
            <w:vAlign w:val="bottom"/>
            <w:shd w:val="clear" w:color="auto" w:fill="F4F3F3"/>
          </w:tcPr>
          <w:p>
            <w:pPr>
              <w:spacing w:after="0"/>
              <w:rPr>
                <w:sz w:val="12"/>
                <w:szCs w:val="12"/>
                <w:color w:val="auto"/>
              </w:rPr>
            </w:pPr>
          </w:p>
        </w:tc>
        <w:tc>
          <w:tcPr>
            <w:tcW w:w="1000" w:type="dxa"/>
            <w:vAlign w:val="bottom"/>
            <w:shd w:val="clear" w:color="auto" w:fill="F4F3F3"/>
          </w:tcPr>
          <w:p>
            <w:pPr>
              <w:spacing w:after="0"/>
              <w:rPr>
                <w:sz w:val="12"/>
                <w:szCs w:val="12"/>
                <w:color w:val="auto"/>
              </w:rPr>
            </w:pPr>
          </w:p>
        </w:tc>
        <w:tc>
          <w:tcPr>
            <w:tcW w:w="160" w:type="dxa"/>
            <w:vAlign w:val="bottom"/>
            <w:shd w:val="clear" w:color="auto" w:fill="F4F3F3"/>
          </w:tcPr>
          <w:p>
            <w:pPr>
              <w:spacing w:after="0"/>
              <w:rPr>
                <w:sz w:val="12"/>
                <w:szCs w:val="12"/>
                <w:color w:val="auto"/>
              </w:rPr>
            </w:pPr>
          </w:p>
        </w:tc>
        <w:tc>
          <w:tcPr>
            <w:tcW w:w="240" w:type="dxa"/>
            <w:vAlign w:val="bottom"/>
            <w:tcBorders>
              <w:right w:val="single" w:sz="8" w:color="F4F3F3"/>
            </w:tcBorders>
            <w:shd w:val="clear" w:color="auto" w:fill="F4F3F3"/>
          </w:tcPr>
          <w:p>
            <w:pPr>
              <w:spacing w:after="0"/>
              <w:rPr>
                <w:sz w:val="12"/>
                <w:szCs w:val="12"/>
                <w:color w:val="auto"/>
              </w:rPr>
            </w:pPr>
          </w:p>
        </w:tc>
        <w:tc>
          <w:tcPr>
            <w:tcW w:w="260" w:type="dxa"/>
            <w:vAlign w:val="bottom"/>
            <w:shd w:val="clear" w:color="auto" w:fill="F4F3F3"/>
          </w:tcPr>
          <w:p>
            <w:pPr>
              <w:spacing w:after="0"/>
              <w:rPr>
                <w:sz w:val="12"/>
                <w:szCs w:val="12"/>
                <w:color w:val="auto"/>
              </w:rPr>
            </w:pPr>
          </w:p>
        </w:tc>
        <w:tc>
          <w:tcPr>
            <w:tcW w:w="280" w:type="dxa"/>
            <w:vAlign w:val="bottom"/>
            <w:tcBorders>
              <w:left w:val="single" w:sz="8" w:color="F4F3F3"/>
              <w:right w:val="single" w:sz="8" w:color="F4F3F3"/>
            </w:tcBorders>
            <w:shd w:val="clear" w:color="auto" w:fill="F4F3F3"/>
          </w:tcPr>
          <w:p>
            <w:pPr>
              <w:spacing w:after="0"/>
              <w:rPr>
                <w:sz w:val="12"/>
                <w:szCs w:val="12"/>
                <w:color w:val="auto"/>
              </w:rPr>
            </w:pPr>
          </w:p>
        </w:tc>
        <w:tc>
          <w:tcPr>
            <w:tcW w:w="260" w:type="dxa"/>
            <w:vAlign w:val="bottom"/>
            <w:shd w:val="clear" w:color="auto" w:fill="F4F3F3"/>
          </w:tcPr>
          <w:p>
            <w:pPr>
              <w:spacing w:after="0"/>
              <w:rPr>
                <w:sz w:val="12"/>
                <w:szCs w:val="12"/>
                <w:color w:val="auto"/>
              </w:rPr>
            </w:pPr>
          </w:p>
        </w:tc>
        <w:tc>
          <w:tcPr>
            <w:tcW w:w="260" w:type="dxa"/>
            <w:vAlign w:val="bottom"/>
            <w:tcBorders>
              <w:right w:val="single" w:sz="8" w:color="F4F3F3"/>
            </w:tcBorders>
            <w:shd w:val="clear" w:color="auto" w:fill="F4F3F3"/>
          </w:tcPr>
          <w:p>
            <w:pPr>
              <w:spacing w:after="0"/>
              <w:rPr>
                <w:sz w:val="12"/>
                <w:szCs w:val="12"/>
                <w:color w:val="auto"/>
              </w:rPr>
            </w:pPr>
          </w:p>
        </w:tc>
        <w:tc>
          <w:tcPr>
            <w:tcW w:w="340" w:type="dxa"/>
            <w:vAlign w:val="bottom"/>
            <w:tcBorders>
              <w:right w:val="single" w:sz="8" w:color="F4F3F3"/>
            </w:tcBorders>
            <w:shd w:val="clear" w:color="auto" w:fill="F4F3F3"/>
          </w:tcPr>
          <w:p>
            <w:pPr>
              <w:spacing w:after="0"/>
              <w:rPr>
                <w:sz w:val="12"/>
                <w:szCs w:val="12"/>
                <w:color w:val="auto"/>
              </w:rPr>
            </w:pPr>
          </w:p>
        </w:tc>
        <w:tc>
          <w:tcPr>
            <w:tcW w:w="260" w:type="dxa"/>
            <w:vAlign w:val="bottom"/>
            <w:tcBorders>
              <w:right w:val="single" w:sz="8" w:color="F4F3F3"/>
            </w:tcBorders>
            <w:shd w:val="clear" w:color="auto" w:fill="F4F3F3"/>
          </w:tcPr>
          <w:p>
            <w:pPr>
              <w:spacing w:after="0"/>
              <w:rPr>
                <w:sz w:val="12"/>
                <w:szCs w:val="12"/>
                <w:color w:val="auto"/>
              </w:rPr>
            </w:pPr>
          </w:p>
        </w:tc>
        <w:tc>
          <w:tcPr>
            <w:tcW w:w="140" w:type="dxa"/>
            <w:vAlign w:val="bottom"/>
            <w:shd w:val="clear" w:color="auto" w:fill="F4F3F3"/>
          </w:tcPr>
          <w:p>
            <w:pPr>
              <w:spacing w:after="0"/>
              <w:rPr>
                <w:sz w:val="12"/>
                <w:szCs w:val="12"/>
                <w:color w:val="auto"/>
              </w:rPr>
            </w:pPr>
          </w:p>
        </w:tc>
        <w:tc>
          <w:tcPr>
            <w:tcW w:w="160" w:type="dxa"/>
            <w:vAlign w:val="bottom"/>
            <w:shd w:val="clear" w:color="auto" w:fill="F4F3F3"/>
          </w:tcPr>
          <w:p>
            <w:pPr>
              <w:spacing w:after="0"/>
              <w:rPr>
                <w:sz w:val="12"/>
                <w:szCs w:val="12"/>
                <w:color w:val="auto"/>
              </w:rPr>
            </w:pPr>
          </w:p>
        </w:tc>
        <w:tc>
          <w:tcPr>
            <w:tcW w:w="280" w:type="dxa"/>
            <w:vAlign w:val="bottom"/>
            <w:tcBorders>
              <w:left w:val="single" w:sz="8" w:color="F4F3F3"/>
              <w:right w:val="single" w:sz="8" w:color="F4F3F3"/>
            </w:tcBorders>
            <w:shd w:val="clear" w:color="auto" w:fill="F4F3F3"/>
          </w:tcPr>
          <w:p>
            <w:pPr>
              <w:spacing w:after="0"/>
              <w:rPr>
                <w:sz w:val="12"/>
                <w:szCs w:val="12"/>
                <w:color w:val="auto"/>
              </w:rPr>
            </w:pPr>
          </w:p>
        </w:tc>
        <w:tc>
          <w:tcPr>
            <w:tcW w:w="260" w:type="dxa"/>
            <w:vAlign w:val="bottom"/>
            <w:shd w:val="clear" w:color="auto" w:fill="F4F3F3"/>
          </w:tcPr>
          <w:p>
            <w:pPr>
              <w:spacing w:after="0"/>
              <w:rPr>
                <w:sz w:val="12"/>
                <w:szCs w:val="12"/>
                <w:color w:val="auto"/>
              </w:rPr>
            </w:pPr>
          </w:p>
        </w:tc>
        <w:tc>
          <w:tcPr>
            <w:tcW w:w="240" w:type="dxa"/>
            <w:vAlign w:val="bottom"/>
            <w:shd w:val="clear" w:color="auto" w:fill="F4F3F3"/>
          </w:tcPr>
          <w:p>
            <w:pPr>
              <w:spacing w:after="0"/>
              <w:rPr>
                <w:sz w:val="12"/>
                <w:szCs w:val="12"/>
                <w:color w:val="auto"/>
              </w:rPr>
            </w:pPr>
          </w:p>
        </w:tc>
        <w:tc>
          <w:tcPr>
            <w:tcW w:w="20" w:type="dxa"/>
            <w:vAlign w:val="bottom"/>
            <w:shd w:val="clear" w:color="auto" w:fill="F4F3F3"/>
          </w:tcPr>
          <w:p>
            <w:pPr>
              <w:spacing w:after="0"/>
              <w:rPr>
                <w:sz w:val="12"/>
                <w:szCs w:val="12"/>
                <w:color w:val="auto"/>
              </w:rPr>
            </w:pPr>
          </w:p>
        </w:tc>
        <w:tc>
          <w:tcPr>
            <w:tcW w:w="100" w:type="dxa"/>
            <w:vAlign w:val="bottom"/>
            <w:shd w:val="clear" w:color="auto" w:fill="F4F3F3"/>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5500" w:type="dxa"/>
            <w:vAlign w:val="bottom"/>
            <w:vMerge w:val="continue"/>
            <w:shd w:val="clear" w:color="auto" w:fill="F4F3F3"/>
          </w:tcPr>
          <w:p>
            <w:pPr>
              <w:spacing w:after="0"/>
              <w:rPr>
                <w:sz w:val="7"/>
                <w:szCs w:val="7"/>
                <w:color w:val="auto"/>
              </w:rPr>
            </w:pPr>
          </w:p>
        </w:tc>
        <w:tc>
          <w:tcPr>
            <w:tcW w:w="500" w:type="dxa"/>
            <w:vAlign w:val="bottom"/>
            <w:vMerge w:val="restart"/>
            <w:shd w:val="clear" w:color="auto" w:fill="F4F3F3"/>
          </w:tcPr>
          <w:p>
            <w:pPr>
              <w:jc w:val="center"/>
              <w:ind w:left="28"/>
              <w:spacing w:after="0"/>
              <w:rPr>
                <w:sz w:val="20"/>
                <w:szCs w:val="20"/>
                <w:color w:val="auto"/>
              </w:rPr>
            </w:pPr>
            <w:r>
              <w:rPr>
                <w:rFonts w:ascii="Arial" w:cs="Arial" w:eastAsia="Arial" w:hAnsi="Arial"/>
                <w:sz w:val="14"/>
                <w:szCs w:val="14"/>
                <w:color w:val="auto"/>
              </w:rPr>
              <w:t>61</w:t>
            </w:r>
          </w:p>
        </w:tc>
        <w:tc>
          <w:tcPr>
            <w:tcW w:w="740" w:type="dxa"/>
            <w:vAlign w:val="bottom"/>
            <w:vMerge w:val="restart"/>
            <w:shd w:val="clear" w:color="auto" w:fill="F4F3F3"/>
          </w:tcPr>
          <w:p>
            <w:pPr>
              <w:jc w:val="center"/>
              <w:spacing w:after="0"/>
              <w:rPr>
                <w:sz w:val="20"/>
                <w:szCs w:val="20"/>
                <w:color w:val="auto"/>
              </w:rPr>
            </w:pPr>
            <w:r>
              <w:rPr>
                <w:rFonts w:ascii="Arial" w:cs="Arial" w:eastAsia="Arial" w:hAnsi="Arial"/>
                <w:sz w:val="14"/>
                <w:szCs w:val="14"/>
                <w:color w:val="auto"/>
              </w:rPr>
              <w:t>2014</w:t>
            </w:r>
          </w:p>
        </w:tc>
        <w:tc>
          <w:tcPr>
            <w:tcW w:w="1000" w:type="dxa"/>
            <w:vAlign w:val="bottom"/>
            <w:vMerge w:val="restart"/>
            <w:shd w:val="clear" w:color="auto" w:fill="F4F3F3"/>
          </w:tcPr>
          <w:p>
            <w:pPr>
              <w:jc w:val="center"/>
              <w:spacing w:after="0"/>
              <w:rPr>
                <w:sz w:val="20"/>
                <w:szCs w:val="20"/>
                <w:color w:val="auto"/>
              </w:rPr>
            </w:pPr>
            <w:r>
              <w:rPr>
                <w:rFonts w:ascii="Arial" w:cs="Arial" w:eastAsia="Arial" w:hAnsi="Arial"/>
                <w:sz w:val="14"/>
                <w:szCs w:val="14"/>
                <w:color w:val="auto"/>
              </w:rPr>
              <w:t>No</w:t>
            </w:r>
          </w:p>
        </w:tc>
        <w:tc>
          <w:tcPr>
            <w:tcW w:w="160" w:type="dxa"/>
            <w:vAlign w:val="bottom"/>
            <w:shd w:val="clear" w:color="auto" w:fill="F4F3F3"/>
          </w:tcPr>
          <w:p>
            <w:pPr>
              <w:spacing w:after="0"/>
              <w:rPr>
                <w:sz w:val="7"/>
                <w:szCs w:val="7"/>
                <w:color w:val="auto"/>
              </w:rPr>
            </w:pPr>
          </w:p>
        </w:tc>
        <w:tc>
          <w:tcPr>
            <w:tcW w:w="240" w:type="dxa"/>
            <w:vAlign w:val="bottom"/>
            <w:tcBorders>
              <w:right w:val="single" w:sz="8" w:color="F4F3F3"/>
            </w:tcBorders>
            <w:shd w:val="clear" w:color="auto" w:fill="F4F3F3"/>
          </w:tcPr>
          <w:p>
            <w:pPr>
              <w:spacing w:after="0"/>
              <w:rPr>
                <w:sz w:val="7"/>
                <w:szCs w:val="7"/>
                <w:color w:val="auto"/>
              </w:rPr>
            </w:pPr>
          </w:p>
        </w:tc>
        <w:tc>
          <w:tcPr>
            <w:tcW w:w="260" w:type="dxa"/>
            <w:vAlign w:val="bottom"/>
            <w:shd w:val="clear" w:color="auto" w:fill="F4F3F3"/>
          </w:tcPr>
          <w:p>
            <w:pPr>
              <w:spacing w:after="0"/>
              <w:rPr>
                <w:sz w:val="7"/>
                <w:szCs w:val="7"/>
                <w:color w:val="auto"/>
              </w:rPr>
            </w:pPr>
          </w:p>
        </w:tc>
        <w:tc>
          <w:tcPr>
            <w:tcW w:w="280" w:type="dxa"/>
            <w:vAlign w:val="bottom"/>
            <w:tcBorders>
              <w:left w:val="single" w:sz="8" w:color="F4F3F3"/>
              <w:right w:val="single" w:sz="8" w:color="F4F3F3"/>
            </w:tcBorders>
            <w:shd w:val="clear" w:color="auto" w:fill="F4F3F3"/>
          </w:tcPr>
          <w:p>
            <w:pPr>
              <w:spacing w:after="0"/>
              <w:rPr>
                <w:sz w:val="7"/>
                <w:szCs w:val="7"/>
                <w:color w:val="auto"/>
              </w:rPr>
            </w:pPr>
          </w:p>
        </w:tc>
        <w:tc>
          <w:tcPr>
            <w:tcW w:w="260" w:type="dxa"/>
            <w:vAlign w:val="bottom"/>
            <w:shd w:val="clear" w:color="auto" w:fill="F4F3F3"/>
          </w:tcPr>
          <w:p>
            <w:pPr>
              <w:spacing w:after="0"/>
              <w:rPr>
                <w:sz w:val="7"/>
                <w:szCs w:val="7"/>
                <w:color w:val="auto"/>
              </w:rPr>
            </w:pPr>
          </w:p>
        </w:tc>
        <w:tc>
          <w:tcPr>
            <w:tcW w:w="260" w:type="dxa"/>
            <w:vAlign w:val="bottom"/>
            <w:tcBorders>
              <w:right w:val="single" w:sz="8" w:color="7F7F7F"/>
            </w:tcBorders>
            <w:vMerge w:val="restart"/>
            <w:shd w:val="clear" w:color="auto" w:fill="7F7F7F"/>
          </w:tcPr>
          <w:p>
            <w:pPr>
              <w:jc w:val="right"/>
              <w:spacing w:after="0" w:line="182" w:lineRule="exact"/>
              <w:rPr>
                <w:sz w:val="20"/>
                <w:szCs w:val="20"/>
                <w:color w:val="auto"/>
              </w:rPr>
            </w:pPr>
            <w:r>
              <w:rPr>
                <w:rFonts w:ascii="Arial" w:cs="Arial" w:eastAsia="Arial" w:hAnsi="Arial"/>
                <w:sz w:val="18"/>
                <w:szCs w:val="18"/>
                <w:b w:val="1"/>
                <w:bCs w:val="1"/>
                <w:color w:val="FFFFFF"/>
              </w:rPr>
              <w:t>M</w:t>
            </w:r>
          </w:p>
        </w:tc>
        <w:tc>
          <w:tcPr>
            <w:tcW w:w="340" w:type="dxa"/>
            <w:vAlign w:val="bottom"/>
            <w:tcBorders>
              <w:right w:val="single" w:sz="8" w:color="F4F3F3"/>
            </w:tcBorders>
            <w:shd w:val="clear" w:color="auto" w:fill="F4F3F3"/>
          </w:tcPr>
          <w:p>
            <w:pPr>
              <w:spacing w:after="0"/>
              <w:rPr>
                <w:sz w:val="7"/>
                <w:szCs w:val="7"/>
                <w:color w:val="auto"/>
              </w:rPr>
            </w:pPr>
          </w:p>
        </w:tc>
        <w:tc>
          <w:tcPr>
            <w:tcW w:w="260" w:type="dxa"/>
            <w:vAlign w:val="bottom"/>
            <w:tcBorders>
              <w:right w:val="single" w:sz="8" w:color="F4F3F3"/>
            </w:tcBorders>
            <w:shd w:val="clear" w:color="auto" w:fill="F4F3F3"/>
          </w:tcPr>
          <w:p>
            <w:pPr>
              <w:spacing w:after="0"/>
              <w:rPr>
                <w:sz w:val="7"/>
                <w:szCs w:val="7"/>
                <w:color w:val="auto"/>
              </w:rPr>
            </w:pPr>
          </w:p>
        </w:tc>
        <w:tc>
          <w:tcPr>
            <w:tcW w:w="140" w:type="dxa"/>
            <w:vAlign w:val="bottom"/>
            <w:shd w:val="clear" w:color="auto" w:fill="F4F3F3"/>
          </w:tcPr>
          <w:p>
            <w:pPr>
              <w:spacing w:after="0"/>
              <w:rPr>
                <w:sz w:val="7"/>
                <w:szCs w:val="7"/>
                <w:color w:val="auto"/>
              </w:rPr>
            </w:pPr>
          </w:p>
        </w:tc>
        <w:tc>
          <w:tcPr>
            <w:tcW w:w="160" w:type="dxa"/>
            <w:vAlign w:val="bottom"/>
            <w:shd w:val="clear" w:color="auto" w:fill="F4F3F3"/>
          </w:tcPr>
          <w:p>
            <w:pPr>
              <w:spacing w:after="0"/>
              <w:rPr>
                <w:sz w:val="7"/>
                <w:szCs w:val="7"/>
                <w:color w:val="auto"/>
              </w:rPr>
            </w:pPr>
          </w:p>
        </w:tc>
        <w:tc>
          <w:tcPr>
            <w:tcW w:w="280" w:type="dxa"/>
            <w:vAlign w:val="bottom"/>
            <w:tcBorders>
              <w:left w:val="single" w:sz="8" w:color="7F7F7F"/>
              <w:right w:val="single" w:sz="8" w:color="7F7F7F"/>
            </w:tcBorders>
            <w:vMerge w:val="restart"/>
            <w:shd w:val="clear" w:color="auto" w:fill="7F7F7F"/>
          </w:tcPr>
          <w:p>
            <w:pPr>
              <w:ind w:left="60"/>
              <w:spacing w:after="0" w:line="182" w:lineRule="exact"/>
              <w:rPr>
                <w:sz w:val="20"/>
                <w:szCs w:val="20"/>
                <w:color w:val="auto"/>
              </w:rPr>
            </w:pPr>
            <w:r>
              <w:rPr>
                <w:rFonts w:ascii="Arial" w:cs="Arial" w:eastAsia="Arial" w:hAnsi="Arial"/>
                <w:sz w:val="18"/>
                <w:szCs w:val="18"/>
                <w:b w:val="1"/>
                <w:bCs w:val="1"/>
                <w:color w:val="FFFFFF"/>
              </w:rPr>
              <w:t>M</w:t>
            </w:r>
          </w:p>
        </w:tc>
        <w:tc>
          <w:tcPr>
            <w:tcW w:w="260" w:type="dxa"/>
            <w:vAlign w:val="bottom"/>
            <w:shd w:val="clear" w:color="auto" w:fill="F4F3F3"/>
          </w:tcPr>
          <w:p>
            <w:pPr>
              <w:spacing w:after="0"/>
              <w:rPr>
                <w:sz w:val="7"/>
                <w:szCs w:val="7"/>
                <w:color w:val="auto"/>
              </w:rPr>
            </w:pPr>
          </w:p>
        </w:tc>
        <w:tc>
          <w:tcPr>
            <w:tcW w:w="240" w:type="dxa"/>
            <w:vAlign w:val="bottom"/>
            <w:shd w:val="clear" w:color="auto" w:fill="F4F3F3"/>
          </w:tcPr>
          <w:p>
            <w:pPr>
              <w:spacing w:after="0"/>
              <w:rPr>
                <w:sz w:val="7"/>
                <w:szCs w:val="7"/>
                <w:color w:val="auto"/>
              </w:rPr>
            </w:pPr>
          </w:p>
        </w:tc>
        <w:tc>
          <w:tcPr>
            <w:tcW w:w="20" w:type="dxa"/>
            <w:vAlign w:val="bottom"/>
            <w:shd w:val="clear" w:color="auto" w:fill="F4F3F3"/>
          </w:tcPr>
          <w:p>
            <w:pPr>
              <w:spacing w:after="0"/>
              <w:rPr>
                <w:sz w:val="7"/>
                <w:szCs w:val="7"/>
                <w:color w:val="auto"/>
              </w:rPr>
            </w:pPr>
          </w:p>
        </w:tc>
        <w:tc>
          <w:tcPr>
            <w:tcW w:w="100" w:type="dxa"/>
            <w:vAlign w:val="bottom"/>
            <w:shd w:val="clear" w:color="auto" w:fill="F4F3F3"/>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5500" w:type="dxa"/>
            <w:vAlign w:val="bottom"/>
            <w:vMerge w:val="restart"/>
            <w:shd w:val="clear" w:color="auto" w:fill="F4F3F3"/>
          </w:tcPr>
          <w:p>
            <w:pPr>
              <w:ind w:left="180"/>
              <w:spacing w:after="0"/>
              <w:rPr>
                <w:sz w:val="20"/>
                <w:szCs w:val="20"/>
                <w:color w:val="auto"/>
              </w:rPr>
            </w:pPr>
            <w:r>
              <w:rPr>
                <w:rFonts w:ascii="Arial" w:cs="Arial" w:eastAsia="Arial" w:hAnsi="Arial"/>
                <w:sz w:val="14"/>
                <w:szCs w:val="14"/>
                <w:i w:val="1"/>
                <w:iCs w:val="1"/>
                <w:color w:val="auto"/>
              </w:rPr>
              <w:t>Global Officer, Marriott Culture and Business Councils</w:t>
            </w:r>
          </w:p>
        </w:tc>
        <w:tc>
          <w:tcPr>
            <w:tcW w:w="500" w:type="dxa"/>
            <w:vAlign w:val="bottom"/>
            <w:vMerge w:val="continue"/>
            <w:shd w:val="clear" w:color="auto" w:fill="F4F3F3"/>
          </w:tcPr>
          <w:p>
            <w:pPr>
              <w:spacing w:after="0"/>
              <w:rPr>
                <w:sz w:val="10"/>
                <w:szCs w:val="10"/>
                <w:color w:val="auto"/>
              </w:rPr>
            </w:pPr>
          </w:p>
        </w:tc>
        <w:tc>
          <w:tcPr>
            <w:tcW w:w="740" w:type="dxa"/>
            <w:vAlign w:val="bottom"/>
            <w:vMerge w:val="continue"/>
            <w:shd w:val="clear" w:color="auto" w:fill="F4F3F3"/>
          </w:tcPr>
          <w:p>
            <w:pPr>
              <w:spacing w:after="0"/>
              <w:rPr>
                <w:sz w:val="10"/>
                <w:szCs w:val="10"/>
                <w:color w:val="auto"/>
              </w:rPr>
            </w:pPr>
          </w:p>
        </w:tc>
        <w:tc>
          <w:tcPr>
            <w:tcW w:w="1000" w:type="dxa"/>
            <w:vAlign w:val="bottom"/>
            <w:vMerge w:val="continue"/>
            <w:shd w:val="clear" w:color="auto" w:fill="F4F3F3"/>
          </w:tcPr>
          <w:p>
            <w:pPr>
              <w:spacing w:after="0"/>
              <w:rPr>
                <w:sz w:val="10"/>
                <w:szCs w:val="10"/>
                <w:color w:val="auto"/>
              </w:rPr>
            </w:pPr>
          </w:p>
        </w:tc>
        <w:tc>
          <w:tcPr>
            <w:tcW w:w="160" w:type="dxa"/>
            <w:vAlign w:val="bottom"/>
            <w:shd w:val="clear" w:color="auto" w:fill="F4F3F3"/>
          </w:tcPr>
          <w:p>
            <w:pPr>
              <w:spacing w:after="0"/>
              <w:rPr>
                <w:sz w:val="10"/>
                <w:szCs w:val="10"/>
                <w:color w:val="auto"/>
              </w:rPr>
            </w:pPr>
          </w:p>
        </w:tc>
        <w:tc>
          <w:tcPr>
            <w:tcW w:w="240" w:type="dxa"/>
            <w:vAlign w:val="bottom"/>
            <w:tcBorders>
              <w:right w:val="single" w:sz="8" w:color="F4F3F3"/>
            </w:tcBorders>
            <w:shd w:val="clear" w:color="auto" w:fill="F4F3F3"/>
          </w:tcPr>
          <w:p>
            <w:pPr>
              <w:spacing w:after="0"/>
              <w:rPr>
                <w:sz w:val="10"/>
                <w:szCs w:val="10"/>
                <w:color w:val="auto"/>
              </w:rPr>
            </w:pPr>
          </w:p>
        </w:tc>
        <w:tc>
          <w:tcPr>
            <w:tcW w:w="260" w:type="dxa"/>
            <w:vAlign w:val="bottom"/>
            <w:shd w:val="clear" w:color="auto" w:fill="F4F3F3"/>
          </w:tcPr>
          <w:p>
            <w:pPr>
              <w:spacing w:after="0"/>
              <w:rPr>
                <w:sz w:val="10"/>
                <w:szCs w:val="10"/>
                <w:color w:val="auto"/>
              </w:rPr>
            </w:pPr>
          </w:p>
        </w:tc>
        <w:tc>
          <w:tcPr>
            <w:tcW w:w="280" w:type="dxa"/>
            <w:vAlign w:val="bottom"/>
            <w:tcBorders>
              <w:left w:val="single" w:sz="8" w:color="F4F3F3"/>
              <w:right w:val="single" w:sz="8" w:color="F4F3F3"/>
            </w:tcBorders>
            <w:shd w:val="clear" w:color="auto" w:fill="F4F3F3"/>
          </w:tcPr>
          <w:p>
            <w:pPr>
              <w:spacing w:after="0"/>
              <w:rPr>
                <w:sz w:val="10"/>
                <w:szCs w:val="10"/>
                <w:color w:val="auto"/>
              </w:rPr>
            </w:pPr>
          </w:p>
        </w:tc>
        <w:tc>
          <w:tcPr>
            <w:tcW w:w="260" w:type="dxa"/>
            <w:vAlign w:val="bottom"/>
            <w:shd w:val="clear" w:color="auto" w:fill="F4F3F3"/>
          </w:tcPr>
          <w:p>
            <w:pPr>
              <w:spacing w:after="0"/>
              <w:rPr>
                <w:sz w:val="10"/>
                <w:szCs w:val="10"/>
                <w:color w:val="auto"/>
              </w:rPr>
            </w:pPr>
          </w:p>
        </w:tc>
        <w:tc>
          <w:tcPr>
            <w:tcW w:w="260" w:type="dxa"/>
            <w:vAlign w:val="bottom"/>
            <w:tcBorders>
              <w:right w:val="single" w:sz="8" w:color="7F7F7F"/>
            </w:tcBorders>
            <w:vMerge w:val="continue"/>
            <w:shd w:val="clear" w:color="auto" w:fill="7F7F7F"/>
          </w:tcPr>
          <w:p>
            <w:pPr>
              <w:spacing w:after="0"/>
              <w:rPr>
                <w:sz w:val="10"/>
                <w:szCs w:val="10"/>
                <w:color w:val="auto"/>
              </w:rPr>
            </w:pPr>
          </w:p>
        </w:tc>
        <w:tc>
          <w:tcPr>
            <w:tcW w:w="340" w:type="dxa"/>
            <w:vAlign w:val="bottom"/>
            <w:tcBorders>
              <w:right w:val="single" w:sz="8" w:color="F4F3F3"/>
            </w:tcBorders>
            <w:shd w:val="clear" w:color="auto" w:fill="F4F3F3"/>
          </w:tcPr>
          <w:p>
            <w:pPr>
              <w:spacing w:after="0"/>
              <w:rPr>
                <w:sz w:val="10"/>
                <w:szCs w:val="10"/>
                <w:color w:val="auto"/>
              </w:rPr>
            </w:pPr>
          </w:p>
        </w:tc>
        <w:tc>
          <w:tcPr>
            <w:tcW w:w="260" w:type="dxa"/>
            <w:vAlign w:val="bottom"/>
            <w:tcBorders>
              <w:right w:val="single" w:sz="8" w:color="F4F3F3"/>
            </w:tcBorders>
            <w:shd w:val="clear" w:color="auto" w:fill="F4F3F3"/>
          </w:tcPr>
          <w:p>
            <w:pPr>
              <w:spacing w:after="0"/>
              <w:rPr>
                <w:sz w:val="10"/>
                <w:szCs w:val="10"/>
                <w:color w:val="auto"/>
              </w:rPr>
            </w:pPr>
          </w:p>
        </w:tc>
        <w:tc>
          <w:tcPr>
            <w:tcW w:w="140" w:type="dxa"/>
            <w:vAlign w:val="bottom"/>
            <w:shd w:val="clear" w:color="auto" w:fill="F4F3F3"/>
          </w:tcPr>
          <w:p>
            <w:pPr>
              <w:spacing w:after="0"/>
              <w:rPr>
                <w:sz w:val="10"/>
                <w:szCs w:val="10"/>
                <w:color w:val="auto"/>
              </w:rPr>
            </w:pPr>
          </w:p>
        </w:tc>
        <w:tc>
          <w:tcPr>
            <w:tcW w:w="160" w:type="dxa"/>
            <w:vAlign w:val="bottom"/>
            <w:vMerge w:val="restart"/>
            <w:shd w:val="clear" w:color="auto" w:fill="F4F3F3"/>
          </w:tcPr>
          <w:p>
            <w:pPr>
              <w:spacing w:after="0"/>
              <w:rPr>
                <w:sz w:val="10"/>
                <w:szCs w:val="10"/>
                <w:color w:val="auto"/>
              </w:rPr>
            </w:pPr>
          </w:p>
        </w:tc>
        <w:tc>
          <w:tcPr>
            <w:tcW w:w="280" w:type="dxa"/>
            <w:vAlign w:val="bottom"/>
            <w:tcBorders>
              <w:left w:val="single" w:sz="8" w:color="7F7F7F"/>
              <w:right w:val="single" w:sz="8" w:color="7F7F7F"/>
            </w:tcBorders>
            <w:vMerge w:val="continue"/>
            <w:shd w:val="clear" w:color="auto" w:fill="7F7F7F"/>
          </w:tcPr>
          <w:p>
            <w:pPr>
              <w:spacing w:after="0"/>
              <w:rPr>
                <w:sz w:val="10"/>
                <w:szCs w:val="10"/>
                <w:color w:val="auto"/>
              </w:rPr>
            </w:pPr>
          </w:p>
        </w:tc>
        <w:tc>
          <w:tcPr>
            <w:tcW w:w="260" w:type="dxa"/>
            <w:vAlign w:val="bottom"/>
            <w:shd w:val="clear" w:color="auto" w:fill="F4F3F3"/>
          </w:tcPr>
          <w:p>
            <w:pPr>
              <w:spacing w:after="0"/>
              <w:rPr>
                <w:sz w:val="10"/>
                <w:szCs w:val="10"/>
                <w:color w:val="auto"/>
              </w:rPr>
            </w:pPr>
          </w:p>
        </w:tc>
        <w:tc>
          <w:tcPr>
            <w:tcW w:w="240" w:type="dxa"/>
            <w:vAlign w:val="bottom"/>
            <w:shd w:val="clear" w:color="auto" w:fill="F4F3F3"/>
          </w:tcPr>
          <w:p>
            <w:pPr>
              <w:spacing w:after="0"/>
              <w:rPr>
                <w:sz w:val="10"/>
                <w:szCs w:val="10"/>
                <w:color w:val="auto"/>
              </w:rPr>
            </w:pPr>
          </w:p>
        </w:tc>
        <w:tc>
          <w:tcPr>
            <w:tcW w:w="20" w:type="dxa"/>
            <w:vAlign w:val="bottom"/>
            <w:shd w:val="clear" w:color="auto" w:fill="F4F3F3"/>
          </w:tcPr>
          <w:p>
            <w:pPr>
              <w:spacing w:after="0"/>
              <w:rPr>
                <w:sz w:val="10"/>
                <w:szCs w:val="10"/>
                <w:color w:val="auto"/>
              </w:rPr>
            </w:pPr>
          </w:p>
        </w:tc>
        <w:tc>
          <w:tcPr>
            <w:tcW w:w="100" w:type="dxa"/>
            <w:vAlign w:val="bottom"/>
            <w:shd w:val="clear" w:color="auto" w:fill="F4F3F3"/>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5500" w:type="dxa"/>
            <w:vAlign w:val="bottom"/>
            <w:vMerge w:val="continue"/>
            <w:shd w:val="clear" w:color="auto" w:fill="F4F3F3"/>
          </w:tcPr>
          <w:p>
            <w:pPr>
              <w:spacing w:after="0"/>
              <w:rPr>
                <w:sz w:val="6"/>
                <w:szCs w:val="6"/>
                <w:color w:val="auto"/>
              </w:rPr>
            </w:pPr>
          </w:p>
        </w:tc>
        <w:tc>
          <w:tcPr>
            <w:tcW w:w="500" w:type="dxa"/>
            <w:vAlign w:val="bottom"/>
            <w:shd w:val="clear" w:color="auto" w:fill="F4F3F3"/>
          </w:tcPr>
          <w:p>
            <w:pPr>
              <w:spacing w:after="0"/>
              <w:rPr>
                <w:sz w:val="6"/>
                <w:szCs w:val="6"/>
                <w:color w:val="auto"/>
              </w:rPr>
            </w:pPr>
          </w:p>
        </w:tc>
        <w:tc>
          <w:tcPr>
            <w:tcW w:w="740" w:type="dxa"/>
            <w:vAlign w:val="bottom"/>
            <w:shd w:val="clear" w:color="auto" w:fill="F4F3F3"/>
          </w:tcPr>
          <w:p>
            <w:pPr>
              <w:spacing w:after="0"/>
              <w:rPr>
                <w:sz w:val="6"/>
                <w:szCs w:val="6"/>
                <w:color w:val="auto"/>
              </w:rPr>
            </w:pPr>
          </w:p>
        </w:tc>
        <w:tc>
          <w:tcPr>
            <w:tcW w:w="1000" w:type="dxa"/>
            <w:vAlign w:val="bottom"/>
            <w:shd w:val="clear" w:color="auto" w:fill="F4F3F3"/>
          </w:tcPr>
          <w:p>
            <w:pPr>
              <w:spacing w:after="0"/>
              <w:rPr>
                <w:sz w:val="6"/>
                <w:szCs w:val="6"/>
                <w:color w:val="auto"/>
              </w:rPr>
            </w:pPr>
          </w:p>
        </w:tc>
        <w:tc>
          <w:tcPr>
            <w:tcW w:w="160" w:type="dxa"/>
            <w:vAlign w:val="bottom"/>
            <w:shd w:val="clear" w:color="auto" w:fill="F4F3F3"/>
          </w:tcPr>
          <w:p>
            <w:pPr>
              <w:spacing w:after="0"/>
              <w:rPr>
                <w:sz w:val="6"/>
                <w:szCs w:val="6"/>
                <w:color w:val="auto"/>
              </w:rPr>
            </w:pPr>
          </w:p>
        </w:tc>
        <w:tc>
          <w:tcPr>
            <w:tcW w:w="240" w:type="dxa"/>
            <w:vAlign w:val="bottom"/>
            <w:tcBorders>
              <w:right w:val="single" w:sz="8" w:color="F4F3F3"/>
            </w:tcBorders>
            <w:shd w:val="clear" w:color="auto" w:fill="F4F3F3"/>
          </w:tcPr>
          <w:p>
            <w:pPr>
              <w:spacing w:after="0"/>
              <w:rPr>
                <w:sz w:val="6"/>
                <w:szCs w:val="6"/>
                <w:color w:val="auto"/>
              </w:rPr>
            </w:pPr>
          </w:p>
        </w:tc>
        <w:tc>
          <w:tcPr>
            <w:tcW w:w="260" w:type="dxa"/>
            <w:vAlign w:val="bottom"/>
            <w:shd w:val="clear" w:color="auto" w:fill="F4F3F3"/>
          </w:tcPr>
          <w:p>
            <w:pPr>
              <w:spacing w:after="0"/>
              <w:rPr>
                <w:sz w:val="6"/>
                <w:szCs w:val="6"/>
                <w:color w:val="auto"/>
              </w:rPr>
            </w:pPr>
          </w:p>
        </w:tc>
        <w:tc>
          <w:tcPr>
            <w:tcW w:w="280" w:type="dxa"/>
            <w:vAlign w:val="bottom"/>
            <w:tcBorders>
              <w:left w:val="single" w:sz="8" w:color="F4F3F3"/>
              <w:right w:val="single" w:sz="8" w:color="F4F3F3"/>
            </w:tcBorders>
            <w:shd w:val="clear" w:color="auto" w:fill="F4F3F3"/>
          </w:tcPr>
          <w:p>
            <w:pPr>
              <w:spacing w:after="0"/>
              <w:rPr>
                <w:sz w:val="6"/>
                <w:szCs w:val="6"/>
                <w:color w:val="auto"/>
              </w:rPr>
            </w:pPr>
          </w:p>
        </w:tc>
        <w:tc>
          <w:tcPr>
            <w:tcW w:w="260" w:type="dxa"/>
            <w:vAlign w:val="bottom"/>
            <w:shd w:val="clear" w:color="auto" w:fill="F4F3F3"/>
          </w:tcPr>
          <w:p>
            <w:pPr>
              <w:spacing w:after="0"/>
              <w:rPr>
                <w:sz w:val="6"/>
                <w:szCs w:val="6"/>
                <w:color w:val="auto"/>
              </w:rPr>
            </w:pPr>
          </w:p>
        </w:tc>
        <w:tc>
          <w:tcPr>
            <w:tcW w:w="260" w:type="dxa"/>
            <w:vAlign w:val="bottom"/>
            <w:tcBorders>
              <w:right w:val="single" w:sz="8" w:color="F4F3F3"/>
            </w:tcBorders>
            <w:shd w:val="clear" w:color="auto" w:fill="F4F3F3"/>
          </w:tcPr>
          <w:p>
            <w:pPr>
              <w:spacing w:after="0"/>
              <w:rPr>
                <w:sz w:val="6"/>
                <w:szCs w:val="6"/>
                <w:color w:val="auto"/>
              </w:rPr>
            </w:pPr>
          </w:p>
        </w:tc>
        <w:tc>
          <w:tcPr>
            <w:tcW w:w="340" w:type="dxa"/>
            <w:vAlign w:val="bottom"/>
            <w:tcBorders>
              <w:right w:val="single" w:sz="8" w:color="F4F3F3"/>
            </w:tcBorders>
            <w:shd w:val="clear" w:color="auto" w:fill="F4F3F3"/>
          </w:tcPr>
          <w:p>
            <w:pPr>
              <w:spacing w:after="0"/>
              <w:rPr>
                <w:sz w:val="6"/>
                <w:szCs w:val="6"/>
                <w:color w:val="auto"/>
              </w:rPr>
            </w:pPr>
          </w:p>
        </w:tc>
        <w:tc>
          <w:tcPr>
            <w:tcW w:w="260" w:type="dxa"/>
            <w:vAlign w:val="bottom"/>
            <w:tcBorders>
              <w:right w:val="single" w:sz="8" w:color="F4F3F3"/>
            </w:tcBorders>
            <w:shd w:val="clear" w:color="auto" w:fill="F4F3F3"/>
          </w:tcPr>
          <w:p>
            <w:pPr>
              <w:spacing w:after="0"/>
              <w:rPr>
                <w:sz w:val="6"/>
                <w:szCs w:val="6"/>
                <w:color w:val="auto"/>
              </w:rPr>
            </w:pPr>
          </w:p>
        </w:tc>
        <w:tc>
          <w:tcPr>
            <w:tcW w:w="140" w:type="dxa"/>
            <w:vAlign w:val="bottom"/>
            <w:shd w:val="clear" w:color="auto" w:fill="F4F3F3"/>
          </w:tcPr>
          <w:p>
            <w:pPr>
              <w:spacing w:after="0"/>
              <w:rPr>
                <w:sz w:val="6"/>
                <w:szCs w:val="6"/>
                <w:color w:val="auto"/>
              </w:rPr>
            </w:pPr>
          </w:p>
        </w:tc>
        <w:tc>
          <w:tcPr>
            <w:tcW w:w="160" w:type="dxa"/>
            <w:vAlign w:val="bottom"/>
            <w:vMerge w:val="continue"/>
            <w:shd w:val="clear" w:color="auto" w:fill="F4F3F3"/>
          </w:tcPr>
          <w:p>
            <w:pPr>
              <w:spacing w:after="0"/>
              <w:rPr>
                <w:sz w:val="6"/>
                <w:szCs w:val="6"/>
                <w:color w:val="auto"/>
              </w:rPr>
            </w:pPr>
          </w:p>
        </w:tc>
        <w:tc>
          <w:tcPr>
            <w:tcW w:w="280" w:type="dxa"/>
            <w:vAlign w:val="bottom"/>
            <w:tcBorders>
              <w:left w:val="single" w:sz="8" w:color="F4F3F3"/>
              <w:right w:val="single" w:sz="8" w:color="F4F3F3"/>
            </w:tcBorders>
            <w:shd w:val="clear" w:color="auto" w:fill="F4F3F3"/>
          </w:tcPr>
          <w:p>
            <w:pPr>
              <w:spacing w:after="0"/>
              <w:rPr>
                <w:sz w:val="6"/>
                <w:szCs w:val="6"/>
                <w:color w:val="auto"/>
              </w:rPr>
            </w:pPr>
          </w:p>
        </w:tc>
        <w:tc>
          <w:tcPr>
            <w:tcW w:w="260" w:type="dxa"/>
            <w:vAlign w:val="bottom"/>
            <w:shd w:val="clear" w:color="auto" w:fill="F4F3F3"/>
          </w:tcPr>
          <w:p>
            <w:pPr>
              <w:spacing w:after="0"/>
              <w:rPr>
                <w:sz w:val="6"/>
                <w:szCs w:val="6"/>
                <w:color w:val="auto"/>
              </w:rPr>
            </w:pPr>
          </w:p>
        </w:tc>
        <w:tc>
          <w:tcPr>
            <w:tcW w:w="240" w:type="dxa"/>
            <w:vAlign w:val="bottom"/>
            <w:shd w:val="clear" w:color="auto" w:fill="F4F3F3"/>
          </w:tcPr>
          <w:p>
            <w:pPr>
              <w:spacing w:after="0"/>
              <w:rPr>
                <w:sz w:val="6"/>
                <w:szCs w:val="6"/>
                <w:color w:val="auto"/>
              </w:rPr>
            </w:pPr>
          </w:p>
        </w:tc>
        <w:tc>
          <w:tcPr>
            <w:tcW w:w="20" w:type="dxa"/>
            <w:vAlign w:val="bottom"/>
            <w:shd w:val="clear" w:color="auto" w:fill="F4F3F3"/>
          </w:tcPr>
          <w:p>
            <w:pPr>
              <w:spacing w:after="0"/>
              <w:rPr>
                <w:sz w:val="6"/>
                <w:szCs w:val="6"/>
                <w:color w:val="auto"/>
              </w:rPr>
            </w:pPr>
          </w:p>
        </w:tc>
        <w:tc>
          <w:tcPr>
            <w:tcW w:w="100" w:type="dxa"/>
            <w:vAlign w:val="bottom"/>
            <w:shd w:val="clear" w:color="auto" w:fill="F4F3F3"/>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5500" w:type="dxa"/>
            <w:vAlign w:val="bottom"/>
            <w:vMerge w:val="restart"/>
            <w:shd w:val="clear" w:color="auto" w:fill="F4F3F3"/>
          </w:tcPr>
          <w:p>
            <w:pPr>
              <w:ind w:left="180"/>
              <w:spacing w:after="0"/>
              <w:rPr>
                <w:sz w:val="20"/>
                <w:szCs w:val="20"/>
                <w:color w:val="auto"/>
              </w:rPr>
            </w:pPr>
            <w:r>
              <w:rPr>
                <w:rFonts w:ascii="Arial" w:cs="Arial" w:eastAsia="Arial" w:hAnsi="Arial"/>
                <w:sz w:val="14"/>
                <w:szCs w:val="14"/>
                <w:b w:val="1"/>
                <w:bCs w:val="1"/>
                <w:color w:val="998C87"/>
              </w:rPr>
              <w:t>Frederick A. Henderson</w:t>
            </w:r>
          </w:p>
        </w:tc>
        <w:tc>
          <w:tcPr>
            <w:tcW w:w="500" w:type="dxa"/>
            <w:vAlign w:val="bottom"/>
            <w:shd w:val="clear" w:color="auto" w:fill="F4F3F3"/>
          </w:tcPr>
          <w:p>
            <w:pPr>
              <w:spacing w:after="0"/>
              <w:rPr>
                <w:sz w:val="12"/>
                <w:szCs w:val="12"/>
                <w:color w:val="auto"/>
              </w:rPr>
            </w:pPr>
          </w:p>
        </w:tc>
        <w:tc>
          <w:tcPr>
            <w:tcW w:w="740" w:type="dxa"/>
            <w:vAlign w:val="bottom"/>
            <w:shd w:val="clear" w:color="auto" w:fill="F4F3F3"/>
          </w:tcPr>
          <w:p>
            <w:pPr>
              <w:spacing w:after="0"/>
              <w:rPr>
                <w:sz w:val="12"/>
                <w:szCs w:val="12"/>
                <w:color w:val="auto"/>
              </w:rPr>
            </w:pPr>
          </w:p>
        </w:tc>
        <w:tc>
          <w:tcPr>
            <w:tcW w:w="1000" w:type="dxa"/>
            <w:vAlign w:val="bottom"/>
            <w:shd w:val="clear" w:color="auto" w:fill="F4F3F3"/>
          </w:tcPr>
          <w:p>
            <w:pPr>
              <w:spacing w:after="0"/>
              <w:rPr>
                <w:sz w:val="12"/>
                <w:szCs w:val="12"/>
                <w:color w:val="auto"/>
              </w:rPr>
            </w:pPr>
          </w:p>
        </w:tc>
        <w:tc>
          <w:tcPr>
            <w:tcW w:w="160" w:type="dxa"/>
            <w:vAlign w:val="bottom"/>
            <w:shd w:val="clear" w:color="auto" w:fill="F4F3F3"/>
          </w:tcPr>
          <w:p>
            <w:pPr>
              <w:spacing w:after="0"/>
              <w:rPr>
                <w:sz w:val="12"/>
                <w:szCs w:val="12"/>
                <w:color w:val="auto"/>
              </w:rPr>
            </w:pPr>
          </w:p>
        </w:tc>
        <w:tc>
          <w:tcPr>
            <w:tcW w:w="240" w:type="dxa"/>
            <w:vAlign w:val="bottom"/>
            <w:tcBorders>
              <w:right w:val="single" w:sz="8" w:color="F4F3F3"/>
            </w:tcBorders>
            <w:shd w:val="clear" w:color="auto" w:fill="F4F3F3"/>
          </w:tcPr>
          <w:p>
            <w:pPr>
              <w:spacing w:after="0"/>
              <w:rPr>
                <w:sz w:val="12"/>
                <w:szCs w:val="12"/>
                <w:color w:val="auto"/>
              </w:rPr>
            </w:pPr>
          </w:p>
        </w:tc>
        <w:tc>
          <w:tcPr>
            <w:tcW w:w="260" w:type="dxa"/>
            <w:vAlign w:val="bottom"/>
            <w:shd w:val="clear" w:color="auto" w:fill="F4F3F3"/>
          </w:tcPr>
          <w:p>
            <w:pPr>
              <w:spacing w:after="0"/>
              <w:rPr>
                <w:sz w:val="12"/>
                <w:szCs w:val="12"/>
                <w:color w:val="auto"/>
              </w:rPr>
            </w:pPr>
          </w:p>
        </w:tc>
        <w:tc>
          <w:tcPr>
            <w:tcW w:w="280" w:type="dxa"/>
            <w:vAlign w:val="bottom"/>
            <w:tcBorders>
              <w:left w:val="single" w:sz="8" w:color="F4F3F3"/>
              <w:right w:val="single" w:sz="8" w:color="F4F3F3"/>
            </w:tcBorders>
            <w:shd w:val="clear" w:color="auto" w:fill="F4F3F3"/>
          </w:tcPr>
          <w:p>
            <w:pPr>
              <w:spacing w:after="0"/>
              <w:rPr>
                <w:sz w:val="12"/>
                <w:szCs w:val="12"/>
                <w:color w:val="auto"/>
              </w:rPr>
            </w:pPr>
          </w:p>
        </w:tc>
        <w:tc>
          <w:tcPr>
            <w:tcW w:w="260" w:type="dxa"/>
            <w:vAlign w:val="bottom"/>
            <w:shd w:val="clear" w:color="auto" w:fill="F4F3F3"/>
          </w:tcPr>
          <w:p>
            <w:pPr>
              <w:spacing w:after="0"/>
              <w:rPr>
                <w:sz w:val="12"/>
                <w:szCs w:val="12"/>
                <w:color w:val="auto"/>
              </w:rPr>
            </w:pPr>
          </w:p>
        </w:tc>
        <w:tc>
          <w:tcPr>
            <w:tcW w:w="260" w:type="dxa"/>
            <w:vAlign w:val="bottom"/>
            <w:tcBorders>
              <w:right w:val="single" w:sz="8" w:color="F4F3F3"/>
            </w:tcBorders>
            <w:shd w:val="clear" w:color="auto" w:fill="F4F3F3"/>
          </w:tcPr>
          <w:p>
            <w:pPr>
              <w:spacing w:after="0"/>
              <w:rPr>
                <w:sz w:val="12"/>
                <w:szCs w:val="12"/>
                <w:color w:val="auto"/>
              </w:rPr>
            </w:pPr>
          </w:p>
        </w:tc>
        <w:tc>
          <w:tcPr>
            <w:tcW w:w="340" w:type="dxa"/>
            <w:vAlign w:val="bottom"/>
            <w:tcBorders>
              <w:right w:val="single" w:sz="8" w:color="F4F3F3"/>
            </w:tcBorders>
            <w:shd w:val="clear" w:color="auto" w:fill="F4F3F3"/>
          </w:tcPr>
          <w:p>
            <w:pPr>
              <w:spacing w:after="0"/>
              <w:rPr>
                <w:sz w:val="12"/>
                <w:szCs w:val="12"/>
                <w:color w:val="auto"/>
              </w:rPr>
            </w:pPr>
          </w:p>
        </w:tc>
        <w:tc>
          <w:tcPr>
            <w:tcW w:w="260" w:type="dxa"/>
            <w:vAlign w:val="bottom"/>
            <w:tcBorders>
              <w:right w:val="single" w:sz="8" w:color="F4F3F3"/>
            </w:tcBorders>
            <w:shd w:val="clear" w:color="auto" w:fill="F4F3F3"/>
          </w:tcPr>
          <w:p>
            <w:pPr>
              <w:spacing w:after="0"/>
              <w:rPr>
                <w:sz w:val="12"/>
                <w:szCs w:val="12"/>
                <w:color w:val="auto"/>
              </w:rPr>
            </w:pPr>
          </w:p>
        </w:tc>
        <w:tc>
          <w:tcPr>
            <w:tcW w:w="140" w:type="dxa"/>
            <w:vAlign w:val="bottom"/>
            <w:shd w:val="clear" w:color="auto" w:fill="F4F3F3"/>
          </w:tcPr>
          <w:p>
            <w:pPr>
              <w:spacing w:after="0"/>
              <w:rPr>
                <w:sz w:val="12"/>
                <w:szCs w:val="12"/>
                <w:color w:val="auto"/>
              </w:rPr>
            </w:pPr>
          </w:p>
        </w:tc>
        <w:tc>
          <w:tcPr>
            <w:tcW w:w="160" w:type="dxa"/>
            <w:vAlign w:val="bottom"/>
            <w:shd w:val="clear" w:color="auto" w:fill="F4F3F3"/>
          </w:tcPr>
          <w:p>
            <w:pPr>
              <w:spacing w:after="0"/>
              <w:rPr>
                <w:sz w:val="12"/>
                <w:szCs w:val="12"/>
                <w:color w:val="auto"/>
              </w:rPr>
            </w:pPr>
          </w:p>
        </w:tc>
        <w:tc>
          <w:tcPr>
            <w:tcW w:w="280" w:type="dxa"/>
            <w:vAlign w:val="bottom"/>
            <w:tcBorders>
              <w:left w:val="single" w:sz="8" w:color="F4F3F3"/>
              <w:right w:val="single" w:sz="8" w:color="F4F3F3"/>
            </w:tcBorders>
            <w:shd w:val="clear" w:color="auto" w:fill="F4F3F3"/>
          </w:tcPr>
          <w:p>
            <w:pPr>
              <w:spacing w:after="0"/>
              <w:rPr>
                <w:sz w:val="12"/>
                <w:szCs w:val="12"/>
                <w:color w:val="auto"/>
              </w:rPr>
            </w:pPr>
          </w:p>
        </w:tc>
        <w:tc>
          <w:tcPr>
            <w:tcW w:w="260" w:type="dxa"/>
            <w:vAlign w:val="bottom"/>
            <w:shd w:val="clear" w:color="auto" w:fill="F4F3F3"/>
          </w:tcPr>
          <w:p>
            <w:pPr>
              <w:spacing w:after="0"/>
              <w:rPr>
                <w:sz w:val="12"/>
                <w:szCs w:val="12"/>
                <w:color w:val="auto"/>
              </w:rPr>
            </w:pPr>
          </w:p>
        </w:tc>
        <w:tc>
          <w:tcPr>
            <w:tcW w:w="240" w:type="dxa"/>
            <w:vAlign w:val="bottom"/>
            <w:shd w:val="clear" w:color="auto" w:fill="F4F3F3"/>
          </w:tcPr>
          <w:p>
            <w:pPr>
              <w:spacing w:after="0"/>
              <w:rPr>
                <w:sz w:val="12"/>
                <w:szCs w:val="12"/>
                <w:color w:val="auto"/>
              </w:rPr>
            </w:pPr>
          </w:p>
        </w:tc>
        <w:tc>
          <w:tcPr>
            <w:tcW w:w="20" w:type="dxa"/>
            <w:vAlign w:val="bottom"/>
            <w:shd w:val="clear" w:color="auto" w:fill="F4F3F3"/>
          </w:tcPr>
          <w:p>
            <w:pPr>
              <w:spacing w:after="0"/>
              <w:rPr>
                <w:sz w:val="12"/>
                <w:szCs w:val="12"/>
                <w:color w:val="auto"/>
              </w:rPr>
            </w:pPr>
          </w:p>
        </w:tc>
        <w:tc>
          <w:tcPr>
            <w:tcW w:w="100" w:type="dxa"/>
            <w:vAlign w:val="bottom"/>
            <w:shd w:val="clear" w:color="auto" w:fill="F4F3F3"/>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5500" w:type="dxa"/>
            <w:vAlign w:val="bottom"/>
            <w:vMerge w:val="continue"/>
            <w:shd w:val="clear" w:color="auto" w:fill="F4F3F3"/>
          </w:tcPr>
          <w:p>
            <w:pPr>
              <w:spacing w:after="0"/>
              <w:rPr>
                <w:sz w:val="7"/>
                <w:szCs w:val="7"/>
                <w:color w:val="auto"/>
              </w:rPr>
            </w:pPr>
          </w:p>
        </w:tc>
        <w:tc>
          <w:tcPr>
            <w:tcW w:w="500" w:type="dxa"/>
            <w:vAlign w:val="bottom"/>
            <w:shd w:val="clear" w:color="auto" w:fill="F4F3F3"/>
          </w:tcPr>
          <w:p>
            <w:pPr>
              <w:spacing w:after="0"/>
              <w:rPr>
                <w:sz w:val="7"/>
                <w:szCs w:val="7"/>
                <w:color w:val="auto"/>
              </w:rPr>
            </w:pPr>
          </w:p>
        </w:tc>
        <w:tc>
          <w:tcPr>
            <w:tcW w:w="740" w:type="dxa"/>
            <w:vAlign w:val="bottom"/>
            <w:shd w:val="clear" w:color="auto" w:fill="F4F3F3"/>
          </w:tcPr>
          <w:p>
            <w:pPr>
              <w:spacing w:after="0"/>
              <w:rPr>
                <w:sz w:val="7"/>
                <w:szCs w:val="7"/>
                <w:color w:val="auto"/>
              </w:rPr>
            </w:pPr>
          </w:p>
        </w:tc>
        <w:tc>
          <w:tcPr>
            <w:tcW w:w="1000" w:type="dxa"/>
            <w:vAlign w:val="bottom"/>
            <w:shd w:val="clear" w:color="auto" w:fill="F4F3F3"/>
          </w:tcPr>
          <w:p>
            <w:pPr>
              <w:spacing w:after="0"/>
              <w:rPr>
                <w:sz w:val="7"/>
                <w:szCs w:val="7"/>
                <w:color w:val="auto"/>
              </w:rPr>
            </w:pPr>
          </w:p>
        </w:tc>
        <w:tc>
          <w:tcPr>
            <w:tcW w:w="160" w:type="dxa"/>
            <w:vAlign w:val="bottom"/>
            <w:shd w:val="clear" w:color="auto" w:fill="F4F3F3"/>
          </w:tcPr>
          <w:p>
            <w:pPr>
              <w:spacing w:after="0"/>
              <w:rPr>
                <w:sz w:val="7"/>
                <w:szCs w:val="7"/>
                <w:color w:val="auto"/>
              </w:rPr>
            </w:pPr>
          </w:p>
        </w:tc>
        <w:tc>
          <w:tcPr>
            <w:tcW w:w="240" w:type="dxa"/>
            <w:vAlign w:val="bottom"/>
            <w:tcBorders>
              <w:right w:val="single" w:sz="8" w:color="00358E"/>
            </w:tcBorders>
            <w:vMerge w:val="restart"/>
            <w:shd w:val="clear" w:color="auto" w:fill="00358E"/>
          </w:tcPr>
          <w:p>
            <w:pPr>
              <w:ind w:left="60"/>
              <w:spacing w:after="0" w:line="202" w:lineRule="exact"/>
              <w:rPr>
                <w:sz w:val="20"/>
                <w:szCs w:val="20"/>
                <w:color w:val="auto"/>
              </w:rPr>
            </w:pPr>
            <w:r>
              <w:rPr>
                <w:rFonts w:ascii="Arial" w:cs="Arial" w:eastAsia="Arial" w:hAnsi="Arial"/>
                <w:sz w:val="18"/>
                <w:szCs w:val="18"/>
                <w:b w:val="1"/>
                <w:bCs w:val="1"/>
                <w:color w:val="FFFFFF"/>
              </w:rPr>
              <w:t>C</w:t>
            </w:r>
          </w:p>
        </w:tc>
        <w:tc>
          <w:tcPr>
            <w:tcW w:w="260" w:type="dxa"/>
            <w:vAlign w:val="bottom"/>
            <w:shd w:val="clear" w:color="auto" w:fill="F4F3F3"/>
          </w:tcPr>
          <w:p>
            <w:pPr>
              <w:spacing w:after="0"/>
              <w:rPr>
                <w:sz w:val="7"/>
                <w:szCs w:val="7"/>
                <w:color w:val="auto"/>
              </w:rPr>
            </w:pPr>
          </w:p>
        </w:tc>
        <w:tc>
          <w:tcPr>
            <w:tcW w:w="280" w:type="dxa"/>
            <w:vAlign w:val="bottom"/>
            <w:tcBorders>
              <w:left w:val="single" w:sz="8" w:color="F4F3F3"/>
              <w:right w:val="single" w:sz="8" w:color="F4F3F3"/>
            </w:tcBorders>
            <w:shd w:val="clear" w:color="auto" w:fill="F4F3F3"/>
          </w:tcPr>
          <w:p>
            <w:pPr>
              <w:spacing w:after="0"/>
              <w:rPr>
                <w:sz w:val="7"/>
                <w:szCs w:val="7"/>
                <w:color w:val="auto"/>
              </w:rPr>
            </w:pPr>
          </w:p>
        </w:tc>
        <w:tc>
          <w:tcPr>
            <w:tcW w:w="260" w:type="dxa"/>
            <w:vAlign w:val="bottom"/>
            <w:shd w:val="clear" w:color="auto" w:fill="F4F3F3"/>
          </w:tcPr>
          <w:p>
            <w:pPr>
              <w:spacing w:after="0"/>
              <w:rPr>
                <w:sz w:val="7"/>
                <w:szCs w:val="7"/>
                <w:color w:val="auto"/>
              </w:rPr>
            </w:pPr>
          </w:p>
        </w:tc>
        <w:tc>
          <w:tcPr>
            <w:tcW w:w="260" w:type="dxa"/>
            <w:vAlign w:val="bottom"/>
            <w:tcBorders>
              <w:right w:val="single" w:sz="8" w:color="F4F3F3"/>
            </w:tcBorders>
            <w:shd w:val="clear" w:color="auto" w:fill="F4F3F3"/>
          </w:tcPr>
          <w:p>
            <w:pPr>
              <w:spacing w:after="0"/>
              <w:rPr>
                <w:sz w:val="7"/>
                <w:szCs w:val="7"/>
                <w:color w:val="auto"/>
              </w:rPr>
            </w:pPr>
          </w:p>
        </w:tc>
        <w:tc>
          <w:tcPr>
            <w:tcW w:w="340" w:type="dxa"/>
            <w:vAlign w:val="bottom"/>
            <w:tcBorders>
              <w:right w:val="single" w:sz="8" w:color="F4F3F3"/>
            </w:tcBorders>
            <w:shd w:val="clear" w:color="auto" w:fill="F4F3F3"/>
          </w:tcPr>
          <w:p>
            <w:pPr>
              <w:spacing w:after="0"/>
              <w:rPr>
                <w:sz w:val="7"/>
                <w:szCs w:val="7"/>
                <w:color w:val="auto"/>
              </w:rPr>
            </w:pPr>
          </w:p>
        </w:tc>
        <w:tc>
          <w:tcPr>
            <w:tcW w:w="260" w:type="dxa"/>
            <w:vAlign w:val="bottom"/>
            <w:tcBorders>
              <w:right w:val="single" w:sz="8" w:color="F4F3F3"/>
            </w:tcBorders>
            <w:shd w:val="clear" w:color="auto" w:fill="F4F3F3"/>
          </w:tcPr>
          <w:p>
            <w:pPr>
              <w:spacing w:after="0"/>
              <w:rPr>
                <w:sz w:val="7"/>
                <w:szCs w:val="7"/>
                <w:color w:val="auto"/>
              </w:rPr>
            </w:pPr>
          </w:p>
        </w:tc>
        <w:tc>
          <w:tcPr>
            <w:tcW w:w="140" w:type="dxa"/>
            <w:vAlign w:val="bottom"/>
            <w:shd w:val="clear" w:color="auto" w:fill="F4F3F3"/>
          </w:tcPr>
          <w:p>
            <w:pPr>
              <w:spacing w:after="0"/>
              <w:rPr>
                <w:sz w:val="7"/>
                <w:szCs w:val="7"/>
                <w:color w:val="auto"/>
              </w:rPr>
            </w:pPr>
          </w:p>
        </w:tc>
        <w:tc>
          <w:tcPr>
            <w:tcW w:w="160" w:type="dxa"/>
            <w:vAlign w:val="bottom"/>
            <w:shd w:val="clear" w:color="auto" w:fill="F4F3F3"/>
          </w:tcPr>
          <w:p>
            <w:pPr>
              <w:spacing w:after="0"/>
              <w:rPr>
                <w:sz w:val="7"/>
                <w:szCs w:val="7"/>
                <w:color w:val="auto"/>
              </w:rPr>
            </w:pPr>
          </w:p>
        </w:tc>
        <w:tc>
          <w:tcPr>
            <w:tcW w:w="280" w:type="dxa"/>
            <w:vAlign w:val="bottom"/>
            <w:tcBorders>
              <w:left w:val="single" w:sz="8" w:color="F4F3F3"/>
              <w:right w:val="single" w:sz="8" w:color="F4F3F3"/>
            </w:tcBorders>
            <w:shd w:val="clear" w:color="auto" w:fill="F4F3F3"/>
          </w:tcPr>
          <w:p>
            <w:pPr>
              <w:spacing w:after="0"/>
              <w:rPr>
                <w:sz w:val="7"/>
                <w:szCs w:val="7"/>
                <w:color w:val="auto"/>
              </w:rPr>
            </w:pPr>
          </w:p>
        </w:tc>
        <w:tc>
          <w:tcPr>
            <w:tcW w:w="260" w:type="dxa"/>
            <w:vAlign w:val="bottom"/>
            <w:shd w:val="clear" w:color="auto" w:fill="F4F3F3"/>
          </w:tcPr>
          <w:p>
            <w:pPr>
              <w:spacing w:after="0"/>
              <w:rPr>
                <w:sz w:val="7"/>
                <w:szCs w:val="7"/>
                <w:color w:val="auto"/>
              </w:rPr>
            </w:pPr>
          </w:p>
        </w:tc>
        <w:tc>
          <w:tcPr>
            <w:tcW w:w="240" w:type="dxa"/>
            <w:vAlign w:val="bottom"/>
            <w:shd w:val="clear" w:color="auto" w:fill="F4F3F3"/>
          </w:tcPr>
          <w:p>
            <w:pPr>
              <w:spacing w:after="0"/>
              <w:rPr>
                <w:sz w:val="7"/>
                <w:szCs w:val="7"/>
                <w:color w:val="auto"/>
              </w:rPr>
            </w:pPr>
          </w:p>
        </w:tc>
        <w:tc>
          <w:tcPr>
            <w:tcW w:w="20" w:type="dxa"/>
            <w:vAlign w:val="bottom"/>
            <w:shd w:val="clear" w:color="auto" w:fill="F4F3F3"/>
          </w:tcPr>
          <w:p>
            <w:pPr>
              <w:spacing w:after="0"/>
              <w:rPr>
                <w:sz w:val="7"/>
                <w:szCs w:val="7"/>
                <w:color w:val="auto"/>
              </w:rPr>
            </w:pPr>
          </w:p>
        </w:tc>
        <w:tc>
          <w:tcPr>
            <w:tcW w:w="100" w:type="dxa"/>
            <w:vAlign w:val="bottom"/>
            <w:shd w:val="clear" w:color="auto" w:fill="F4F3F3"/>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5500" w:type="dxa"/>
            <w:vAlign w:val="bottom"/>
            <w:vMerge w:val="restart"/>
            <w:shd w:val="clear" w:color="auto" w:fill="F4F3F3"/>
          </w:tcPr>
          <w:p>
            <w:pPr>
              <w:ind w:left="180"/>
              <w:spacing w:after="0"/>
              <w:rPr>
                <w:sz w:val="20"/>
                <w:szCs w:val="20"/>
                <w:color w:val="auto"/>
              </w:rPr>
            </w:pPr>
            <w:r>
              <w:rPr>
                <w:rFonts w:ascii="Arial" w:cs="Arial" w:eastAsia="Arial" w:hAnsi="Arial"/>
                <w:sz w:val="14"/>
                <w:szCs w:val="14"/>
                <w:i w:val="1"/>
                <w:iCs w:val="1"/>
                <w:color w:val="auto"/>
              </w:rPr>
              <w:t>Former Chairman and CEO, SunCoke Energy, Inc.</w:t>
            </w:r>
          </w:p>
        </w:tc>
        <w:tc>
          <w:tcPr>
            <w:tcW w:w="500" w:type="dxa"/>
            <w:vAlign w:val="bottom"/>
            <w:vMerge w:val="restart"/>
            <w:shd w:val="clear" w:color="auto" w:fill="F4F3F3"/>
          </w:tcPr>
          <w:p>
            <w:pPr>
              <w:jc w:val="center"/>
              <w:ind w:left="28"/>
              <w:spacing w:after="0"/>
              <w:rPr>
                <w:sz w:val="20"/>
                <w:szCs w:val="20"/>
                <w:color w:val="auto"/>
              </w:rPr>
            </w:pPr>
            <w:r>
              <w:rPr>
                <w:rFonts w:ascii="Arial" w:cs="Arial" w:eastAsia="Arial" w:hAnsi="Arial"/>
                <w:sz w:val="14"/>
                <w:szCs w:val="14"/>
                <w:color w:val="auto"/>
              </w:rPr>
              <w:t>59</w:t>
            </w:r>
          </w:p>
        </w:tc>
        <w:tc>
          <w:tcPr>
            <w:tcW w:w="740" w:type="dxa"/>
            <w:vAlign w:val="bottom"/>
            <w:vMerge w:val="restart"/>
            <w:shd w:val="clear" w:color="auto" w:fill="F4F3F3"/>
          </w:tcPr>
          <w:p>
            <w:pPr>
              <w:jc w:val="center"/>
              <w:spacing w:after="0"/>
              <w:rPr>
                <w:sz w:val="20"/>
                <w:szCs w:val="20"/>
                <w:color w:val="auto"/>
              </w:rPr>
            </w:pPr>
            <w:r>
              <w:rPr>
                <w:rFonts w:ascii="Arial" w:cs="Arial" w:eastAsia="Arial" w:hAnsi="Arial"/>
                <w:sz w:val="14"/>
                <w:szCs w:val="14"/>
                <w:color w:val="auto"/>
              </w:rPr>
              <w:t>2013</w:t>
            </w:r>
          </w:p>
        </w:tc>
        <w:tc>
          <w:tcPr>
            <w:tcW w:w="1000" w:type="dxa"/>
            <w:vAlign w:val="bottom"/>
            <w:vMerge w:val="restart"/>
            <w:shd w:val="clear" w:color="auto" w:fill="F4F3F3"/>
          </w:tcPr>
          <w:p>
            <w:pPr>
              <w:jc w:val="center"/>
              <w:spacing w:after="0"/>
              <w:rPr>
                <w:sz w:val="20"/>
                <w:szCs w:val="20"/>
                <w:color w:val="auto"/>
              </w:rPr>
            </w:pPr>
            <w:r>
              <w:rPr>
                <w:rFonts w:ascii="Arial" w:cs="Arial" w:eastAsia="Arial" w:hAnsi="Arial"/>
                <w:sz w:val="14"/>
                <w:szCs w:val="14"/>
                <w:color w:val="auto"/>
                <w:w w:val="90"/>
              </w:rPr>
              <w:t>Yes</w:t>
            </w:r>
          </w:p>
        </w:tc>
        <w:tc>
          <w:tcPr>
            <w:tcW w:w="160" w:type="dxa"/>
            <w:vAlign w:val="bottom"/>
            <w:shd w:val="clear" w:color="auto" w:fill="F4F3F3"/>
          </w:tcPr>
          <w:p>
            <w:pPr>
              <w:spacing w:after="0"/>
              <w:rPr>
                <w:sz w:val="10"/>
                <w:szCs w:val="10"/>
                <w:color w:val="auto"/>
              </w:rPr>
            </w:pPr>
          </w:p>
        </w:tc>
        <w:tc>
          <w:tcPr>
            <w:tcW w:w="240" w:type="dxa"/>
            <w:vAlign w:val="bottom"/>
            <w:tcBorders>
              <w:right w:val="single" w:sz="8" w:color="00358E"/>
            </w:tcBorders>
            <w:vMerge w:val="continue"/>
            <w:shd w:val="clear" w:color="auto" w:fill="00358E"/>
          </w:tcPr>
          <w:p>
            <w:pPr>
              <w:spacing w:after="0"/>
              <w:rPr>
                <w:sz w:val="10"/>
                <w:szCs w:val="10"/>
                <w:color w:val="auto"/>
              </w:rPr>
            </w:pPr>
          </w:p>
        </w:tc>
        <w:tc>
          <w:tcPr>
            <w:tcW w:w="260" w:type="dxa"/>
            <w:vAlign w:val="bottom"/>
            <w:shd w:val="clear" w:color="auto" w:fill="F4F3F3"/>
          </w:tcPr>
          <w:p>
            <w:pPr>
              <w:spacing w:after="0"/>
              <w:rPr>
                <w:sz w:val="10"/>
                <w:szCs w:val="10"/>
                <w:color w:val="auto"/>
              </w:rPr>
            </w:pPr>
          </w:p>
        </w:tc>
        <w:tc>
          <w:tcPr>
            <w:tcW w:w="280" w:type="dxa"/>
            <w:vAlign w:val="bottom"/>
            <w:tcBorders>
              <w:left w:val="single" w:sz="8" w:color="F4F3F3"/>
              <w:right w:val="single" w:sz="8" w:color="F4F3F3"/>
            </w:tcBorders>
            <w:shd w:val="clear" w:color="auto" w:fill="F4F3F3"/>
          </w:tcPr>
          <w:p>
            <w:pPr>
              <w:spacing w:after="0"/>
              <w:rPr>
                <w:sz w:val="10"/>
                <w:szCs w:val="10"/>
                <w:color w:val="auto"/>
              </w:rPr>
            </w:pPr>
          </w:p>
        </w:tc>
        <w:tc>
          <w:tcPr>
            <w:tcW w:w="260" w:type="dxa"/>
            <w:vAlign w:val="bottom"/>
            <w:shd w:val="clear" w:color="auto" w:fill="F4F3F3"/>
          </w:tcPr>
          <w:p>
            <w:pPr>
              <w:spacing w:after="0"/>
              <w:rPr>
                <w:sz w:val="10"/>
                <w:szCs w:val="10"/>
                <w:color w:val="auto"/>
              </w:rPr>
            </w:pPr>
          </w:p>
        </w:tc>
        <w:tc>
          <w:tcPr>
            <w:tcW w:w="260" w:type="dxa"/>
            <w:vAlign w:val="bottom"/>
            <w:tcBorders>
              <w:right w:val="single" w:sz="8" w:color="F4F3F3"/>
            </w:tcBorders>
            <w:shd w:val="clear" w:color="auto" w:fill="F4F3F3"/>
          </w:tcPr>
          <w:p>
            <w:pPr>
              <w:spacing w:after="0"/>
              <w:rPr>
                <w:sz w:val="10"/>
                <w:szCs w:val="10"/>
                <w:color w:val="auto"/>
              </w:rPr>
            </w:pPr>
          </w:p>
        </w:tc>
        <w:tc>
          <w:tcPr>
            <w:tcW w:w="340" w:type="dxa"/>
            <w:vAlign w:val="bottom"/>
            <w:tcBorders>
              <w:right w:val="single" w:sz="8" w:color="F4F3F3"/>
            </w:tcBorders>
            <w:shd w:val="clear" w:color="auto" w:fill="F4F3F3"/>
          </w:tcPr>
          <w:p>
            <w:pPr>
              <w:spacing w:after="0"/>
              <w:rPr>
                <w:sz w:val="10"/>
                <w:szCs w:val="10"/>
                <w:color w:val="auto"/>
              </w:rPr>
            </w:pPr>
          </w:p>
        </w:tc>
        <w:tc>
          <w:tcPr>
            <w:tcW w:w="260" w:type="dxa"/>
            <w:vAlign w:val="bottom"/>
            <w:tcBorders>
              <w:right w:val="single" w:sz="8" w:color="F4F3F3"/>
            </w:tcBorders>
            <w:shd w:val="clear" w:color="auto" w:fill="F4F3F3"/>
          </w:tcPr>
          <w:p>
            <w:pPr>
              <w:spacing w:after="0"/>
              <w:rPr>
                <w:sz w:val="10"/>
                <w:szCs w:val="10"/>
                <w:color w:val="auto"/>
              </w:rPr>
            </w:pPr>
          </w:p>
        </w:tc>
        <w:tc>
          <w:tcPr>
            <w:tcW w:w="140" w:type="dxa"/>
            <w:vAlign w:val="bottom"/>
            <w:shd w:val="clear" w:color="auto" w:fill="F4F3F3"/>
          </w:tcPr>
          <w:p>
            <w:pPr>
              <w:spacing w:after="0"/>
              <w:rPr>
                <w:sz w:val="10"/>
                <w:szCs w:val="10"/>
                <w:color w:val="auto"/>
              </w:rPr>
            </w:pPr>
          </w:p>
        </w:tc>
        <w:tc>
          <w:tcPr>
            <w:tcW w:w="160" w:type="dxa"/>
            <w:vAlign w:val="bottom"/>
            <w:shd w:val="clear" w:color="auto" w:fill="F4F3F3"/>
          </w:tcPr>
          <w:p>
            <w:pPr>
              <w:spacing w:after="0"/>
              <w:rPr>
                <w:sz w:val="10"/>
                <w:szCs w:val="10"/>
                <w:color w:val="auto"/>
              </w:rPr>
            </w:pPr>
          </w:p>
        </w:tc>
        <w:tc>
          <w:tcPr>
            <w:tcW w:w="280" w:type="dxa"/>
            <w:vAlign w:val="bottom"/>
            <w:tcBorders>
              <w:left w:val="single" w:sz="8" w:color="F4F3F3"/>
              <w:right w:val="single" w:sz="8" w:color="F4F3F3"/>
            </w:tcBorders>
            <w:shd w:val="clear" w:color="auto" w:fill="F4F3F3"/>
          </w:tcPr>
          <w:p>
            <w:pPr>
              <w:spacing w:after="0"/>
              <w:rPr>
                <w:sz w:val="10"/>
                <w:szCs w:val="10"/>
                <w:color w:val="auto"/>
              </w:rPr>
            </w:pPr>
          </w:p>
        </w:tc>
        <w:tc>
          <w:tcPr>
            <w:tcW w:w="260" w:type="dxa"/>
            <w:vAlign w:val="bottom"/>
            <w:shd w:val="clear" w:color="auto" w:fill="F4F3F3"/>
          </w:tcPr>
          <w:p>
            <w:pPr>
              <w:spacing w:after="0"/>
              <w:rPr>
                <w:sz w:val="10"/>
                <w:szCs w:val="10"/>
                <w:color w:val="auto"/>
              </w:rPr>
            </w:pPr>
          </w:p>
        </w:tc>
        <w:tc>
          <w:tcPr>
            <w:tcW w:w="240" w:type="dxa"/>
            <w:vAlign w:val="bottom"/>
            <w:shd w:val="clear" w:color="auto" w:fill="F4F3F3"/>
          </w:tcPr>
          <w:p>
            <w:pPr>
              <w:spacing w:after="0"/>
              <w:rPr>
                <w:sz w:val="10"/>
                <w:szCs w:val="10"/>
                <w:color w:val="auto"/>
              </w:rPr>
            </w:pPr>
          </w:p>
        </w:tc>
        <w:tc>
          <w:tcPr>
            <w:tcW w:w="20" w:type="dxa"/>
            <w:vAlign w:val="bottom"/>
            <w:shd w:val="clear" w:color="auto" w:fill="F4F3F3"/>
          </w:tcPr>
          <w:p>
            <w:pPr>
              <w:spacing w:after="0"/>
              <w:rPr>
                <w:sz w:val="10"/>
                <w:szCs w:val="10"/>
                <w:color w:val="auto"/>
              </w:rPr>
            </w:pPr>
          </w:p>
        </w:tc>
        <w:tc>
          <w:tcPr>
            <w:tcW w:w="100" w:type="dxa"/>
            <w:vAlign w:val="bottom"/>
            <w:shd w:val="clear" w:color="auto" w:fill="F4F3F3"/>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5500" w:type="dxa"/>
            <w:vAlign w:val="bottom"/>
            <w:vMerge w:val="continue"/>
            <w:shd w:val="clear" w:color="auto" w:fill="F4F3F3"/>
          </w:tcPr>
          <w:p>
            <w:pPr>
              <w:spacing w:after="0"/>
              <w:rPr>
                <w:sz w:val="5"/>
                <w:szCs w:val="5"/>
                <w:color w:val="auto"/>
              </w:rPr>
            </w:pPr>
          </w:p>
        </w:tc>
        <w:tc>
          <w:tcPr>
            <w:tcW w:w="500" w:type="dxa"/>
            <w:vAlign w:val="bottom"/>
            <w:vMerge w:val="continue"/>
            <w:shd w:val="clear" w:color="auto" w:fill="F4F3F3"/>
          </w:tcPr>
          <w:p>
            <w:pPr>
              <w:spacing w:after="0"/>
              <w:rPr>
                <w:sz w:val="5"/>
                <w:szCs w:val="5"/>
                <w:color w:val="auto"/>
              </w:rPr>
            </w:pPr>
          </w:p>
        </w:tc>
        <w:tc>
          <w:tcPr>
            <w:tcW w:w="740" w:type="dxa"/>
            <w:vAlign w:val="bottom"/>
            <w:vMerge w:val="continue"/>
            <w:shd w:val="clear" w:color="auto" w:fill="F4F3F3"/>
          </w:tcPr>
          <w:p>
            <w:pPr>
              <w:spacing w:after="0"/>
              <w:rPr>
                <w:sz w:val="5"/>
                <w:szCs w:val="5"/>
                <w:color w:val="auto"/>
              </w:rPr>
            </w:pPr>
          </w:p>
        </w:tc>
        <w:tc>
          <w:tcPr>
            <w:tcW w:w="1000" w:type="dxa"/>
            <w:vAlign w:val="bottom"/>
            <w:vMerge w:val="continue"/>
            <w:shd w:val="clear" w:color="auto" w:fill="F4F3F3"/>
          </w:tcPr>
          <w:p>
            <w:pPr>
              <w:spacing w:after="0"/>
              <w:rPr>
                <w:sz w:val="5"/>
                <w:szCs w:val="5"/>
                <w:color w:val="auto"/>
              </w:rPr>
            </w:pPr>
          </w:p>
        </w:tc>
        <w:tc>
          <w:tcPr>
            <w:tcW w:w="160" w:type="dxa"/>
            <w:vAlign w:val="bottom"/>
            <w:shd w:val="clear" w:color="auto" w:fill="F4F3F3"/>
          </w:tcPr>
          <w:p>
            <w:pPr>
              <w:spacing w:after="0"/>
              <w:rPr>
                <w:sz w:val="5"/>
                <w:szCs w:val="5"/>
                <w:color w:val="auto"/>
              </w:rPr>
            </w:pPr>
          </w:p>
        </w:tc>
        <w:tc>
          <w:tcPr>
            <w:tcW w:w="240" w:type="dxa"/>
            <w:vAlign w:val="bottom"/>
            <w:tcBorders>
              <w:right w:val="single" w:sz="8" w:color="F4F3F3"/>
            </w:tcBorders>
            <w:shd w:val="clear" w:color="auto" w:fill="F4F3F3"/>
          </w:tcPr>
          <w:p>
            <w:pPr>
              <w:spacing w:after="0"/>
              <w:rPr>
                <w:sz w:val="5"/>
                <w:szCs w:val="5"/>
                <w:color w:val="auto"/>
              </w:rPr>
            </w:pPr>
          </w:p>
        </w:tc>
        <w:tc>
          <w:tcPr>
            <w:tcW w:w="260" w:type="dxa"/>
            <w:vAlign w:val="bottom"/>
            <w:shd w:val="clear" w:color="auto" w:fill="F4F3F3"/>
          </w:tcPr>
          <w:p>
            <w:pPr>
              <w:spacing w:after="0"/>
              <w:rPr>
                <w:sz w:val="5"/>
                <w:szCs w:val="5"/>
                <w:color w:val="auto"/>
              </w:rPr>
            </w:pPr>
          </w:p>
        </w:tc>
        <w:tc>
          <w:tcPr>
            <w:tcW w:w="280" w:type="dxa"/>
            <w:vAlign w:val="bottom"/>
            <w:tcBorders>
              <w:left w:val="single" w:sz="8" w:color="F4F3F3"/>
              <w:right w:val="single" w:sz="8" w:color="F4F3F3"/>
            </w:tcBorders>
            <w:shd w:val="clear" w:color="auto" w:fill="F4F3F3"/>
          </w:tcPr>
          <w:p>
            <w:pPr>
              <w:spacing w:after="0"/>
              <w:rPr>
                <w:sz w:val="5"/>
                <w:szCs w:val="5"/>
                <w:color w:val="auto"/>
              </w:rPr>
            </w:pPr>
          </w:p>
        </w:tc>
        <w:tc>
          <w:tcPr>
            <w:tcW w:w="260" w:type="dxa"/>
            <w:vAlign w:val="bottom"/>
            <w:shd w:val="clear" w:color="auto" w:fill="F4F3F3"/>
          </w:tcPr>
          <w:p>
            <w:pPr>
              <w:spacing w:after="0"/>
              <w:rPr>
                <w:sz w:val="5"/>
                <w:szCs w:val="5"/>
                <w:color w:val="auto"/>
              </w:rPr>
            </w:pPr>
          </w:p>
        </w:tc>
        <w:tc>
          <w:tcPr>
            <w:tcW w:w="260" w:type="dxa"/>
            <w:vAlign w:val="bottom"/>
            <w:tcBorders>
              <w:right w:val="single" w:sz="8" w:color="F4F3F3"/>
            </w:tcBorders>
            <w:shd w:val="clear" w:color="auto" w:fill="F4F3F3"/>
          </w:tcPr>
          <w:p>
            <w:pPr>
              <w:spacing w:after="0"/>
              <w:rPr>
                <w:sz w:val="5"/>
                <w:szCs w:val="5"/>
                <w:color w:val="auto"/>
              </w:rPr>
            </w:pPr>
          </w:p>
        </w:tc>
        <w:tc>
          <w:tcPr>
            <w:tcW w:w="340" w:type="dxa"/>
            <w:vAlign w:val="bottom"/>
            <w:tcBorders>
              <w:right w:val="single" w:sz="8" w:color="F4F3F3"/>
            </w:tcBorders>
            <w:shd w:val="clear" w:color="auto" w:fill="F4F3F3"/>
          </w:tcPr>
          <w:p>
            <w:pPr>
              <w:spacing w:after="0"/>
              <w:rPr>
                <w:sz w:val="5"/>
                <w:szCs w:val="5"/>
                <w:color w:val="auto"/>
              </w:rPr>
            </w:pPr>
          </w:p>
        </w:tc>
        <w:tc>
          <w:tcPr>
            <w:tcW w:w="260" w:type="dxa"/>
            <w:vAlign w:val="bottom"/>
            <w:tcBorders>
              <w:right w:val="single" w:sz="8" w:color="F4F3F3"/>
            </w:tcBorders>
            <w:shd w:val="clear" w:color="auto" w:fill="F4F3F3"/>
          </w:tcPr>
          <w:p>
            <w:pPr>
              <w:spacing w:after="0"/>
              <w:rPr>
                <w:sz w:val="5"/>
                <w:szCs w:val="5"/>
                <w:color w:val="auto"/>
              </w:rPr>
            </w:pPr>
          </w:p>
        </w:tc>
        <w:tc>
          <w:tcPr>
            <w:tcW w:w="140" w:type="dxa"/>
            <w:vAlign w:val="bottom"/>
            <w:shd w:val="clear" w:color="auto" w:fill="F4F3F3"/>
          </w:tcPr>
          <w:p>
            <w:pPr>
              <w:spacing w:after="0"/>
              <w:rPr>
                <w:sz w:val="5"/>
                <w:szCs w:val="5"/>
                <w:color w:val="auto"/>
              </w:rPr>
            </w:pPr>
          </w:p>
        </w:tc>
        <w:tc>
          <w:tcPr>
            <w:tcW w:w="160" w:type="dxa"/>
            <w:vAlign w:val="bottom"/>
            <w:shd w:val="clear" w:color="auto" w:fill="F4F3F3"/>
          </w:tcPr>
          <w:p>
            <w:pPr>
              <w:spacing w:after="0"/>
              <w:rPr>
                <w:sz w:val="5"/>
                <w:szCs w:val="5"/>
                <w:color w:val="auto"/>
              </w:rPr>
            </w:pPr>
          </w:p>
        </w:tc>
        <w:tc>
          <w:tcPr>
            <w:tcW w:w="280" w:type="dxa"/>
            <w:vAlign w:val="bottom"/>
            <w:tcBorders>
              <w:left w:val="single" w:sz="8" w:color="F4F3F3"/>
              <w:right w:val="single" w:sz="8" w:color="F4F3F3"/>
            </w:tcBorders>
            <w:shd w:val="clear" w:color="auto" w:fill="F4F3F3"/>
          </w:tcPr>
          <w:p>
            <w:pPr>
              <w:spacing w:after="0"/>
              <w:rPr>
                <w:sz w:val="5"/>
                <w:szCs w:val="5"/>
                <w:color w:val="auto"/>
              </w:rPr>
            </w:pPr>
          </w:p>
        </w:tc>
        <w:tc>
          <w:tcPr>
            <w:tcW w:w="260" w:type="dxa"/>
            <w:vAlign w:val="bottom"/>
            <w:shd w:val="clear" w:color="auto" w:fill="F4F3F3"/>
          </w:tcPr>
          <w:p>
            <w:pPr>
              <w:spacing w:after="0"/>
              <w:rPr>
                <w:sz w:val="5"/>
                <w:szCs w:val="5"/>
                <w:color w:val="auto"/>
              </w:rPr>
            </w:pPr>
          </w:p>
        </w:tc>
        <w:tc>
          <w:tcPr>
            <w:tcW w:w="240" w:type="dxa"/>
            <w:vAlign w:val="bottom"/>
            <w:shd w:val="clear" w:color="auto" w:fill="F4F3F3"/>
          </w:tcPr>
          <w:p>
            <w:pPr>
              <w:spacing w:after="0"/>
              <w:rPr>
                <w:sz w:val="5"/>
                <w:szCs w:val="5"/>
                <w:color w:val="auto"/>
              </w:rPr>
            </w:pPr>
          </w:p>
        </w:tc>
        <w:tc>
          <w:tcPr>
            <w:tcW w:w="20" w:type="dxa"/>
            <w:vAlign w:val="bottom"/>
            <w:shd w:val="clear" w:color="auto" w:fill="F4F3F3"/>
          </w:tcPr>
          <w:p>
            <w:pPr>
              <w:spacing w:after="0"/>
              <w:rPr>
                <w:sz w:val="5"/>
                <w:szCs w:val="5"/>
                <w:color w:val="auto"/>
              </w:rPr>
            </w:pPr>
          </w:p>
        </w:tc>
        <w:tc>
          <w:tcPr>
            <w:tcW w:w="100" w:type="dxa"/>
            <w:vAlign w:val="bottom"/>
            <w:shd w:val="clear" w:color="auto" w:fill="F4F3F3"/>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5500" w:type="dxa"/>
            <w:vAlign w:val="bottom"/>
            <w:shd w:val="clear" w:color="auto" w:fill="F4F3F3"/>
          </w:tcPr>
          <w:p>
            <w:pPr>
              <w:spacing w:after="0"/>
              <w:rPr>
                <w:sz w:val="17"/>
                <w:szCs w:val="17"/>
                <w:color w:val="auto"/>
              </w:rPr>
            </w:pPr>
          </w:p>
        </w:tc>
        <w:tc>
          <w:tcPr>
            <w:tcW w:w="500" w:type="dxa"/>
            <w:vAlign w:val="bottom"/>
            <w:shd w:val="clear" w:color="auto" w:fill="F4F3F3"/>
          </w:tcPr>
          <w:p>
            <w:pPr>
              <w:spacing w:after="0"/>
              <w:rPr>
                <w:sz w:val="17"/>
                <w:szCs w:val="17"/>
                <w:color w:val="auto"/>
              </w:rPr>
            </w:pPr>
          </w:p>
        </w:tc>
        <w:tc>
          <w:tcPr>
            <w:tcW w:w="740" w:type="dxa"/>
            <w:vAlign w:val="bottom"/>
            <w:shd w:val="clear" w:color="auto" w:fill="F4F3F3"/>
          </w:tcPr>
          <w:p>
            <w:pPr>
              <w:spacing w:after="0"/>
              <w:rPr>
                <w:sz w:val="17"/>
                <w:szCs w:val="17"/>
                <w:color w:val="auto"/>
              </w:rPr>
            </w:pPr>
          </w:p>
        </w:tc>
        <w:tc>
          <w:tcPr>
            <w:tcW w:w="1000" w:type="dxa"/>
            <w:vAlign w:val="bottom"/>
            <w:shd w:val="clear" w:color="auto" w:fill="F4F3F3"/>
          </w:tcPr>
          <w:p>
            <w:pPr>
              <w:spacing w:after="0"/>
              <w:rPr>
                <w:sz w:val="17"/>
                <w:szCs w:val="17"/>
                <w:color w:val="auto"/>
              </w:rPr>
            </w:pPr>
          </w:p>
        </w:tc>
        <w:tc>
          <w:tcPr>
            <w:tcW w:w="160" w:type="dxa"/>
            <w:vAlign w:val="bottom"/>
            <w:shd w:val="clear" w:color="auto" w:fill="F4F3F3"/>
          </w:tcPr>
          <w:p>
            <w:pPr>
              <w:spacing w:after="0"/>
              <w:rPr>
                <w:sz w:val="17"/>
                <w:szCs w:val="17"/>
                <w:color w:val="auto"/>
              </w:rPr>
            </w:pPr>
          </w:p>
        </w:tc>
        <w:tc>
          <w:tcPr>
            <w:tcW w:w="240" w:type="dxa"/>
            <w:vAlign w:val="bottom"/>
            <w:tcBorders>
              <w:right w:val="single" w:sz="8" w:color="F4F3F3"/>
            </w:tcBorders>
            <w:shd w:val="clear" w:color="auto" w:fill="998C87"/>
          </w:tcPr>
          <w:p>
            <w:pPr>
              <w:ind w:left="60"/>
              <w:spacing w:after="0" w:line="202" w:lineRule="exact"/>
              <w:rPr>
                <w:sz w:val="20"/>
                <w:szCs w:val="20"/>
                <w:color w:val="auto"/>
              </w:rPr>
            </w:pPr>
            <w:r>
              <w:rPr>
                <w:rFonts w:ascii="Arial" w:cs="Arial" w:eastAsia="Arial" w:hAnsi="Arial"/>
                <w:sz w:val="18"/>
                <w:szCs w:val="18"/>
                <w:b w:val="1"/>
                <w:bCs w:val="1"/>
                <w:color w:val="FFFFFF"/>
              </w:rPr>
              <w:t>F</w:t>
            </w:r>
          </w:p>
        </w:tc>
        <w:tc>
          <w:tcPr>
            <w:tcW w:w="260" w:type="dxa"/>
            <w:vAlign w:val="bottom"/>
            <w:shd w:val="clear" w:color="auto" w:fill="F4F3F3"/>
          </w:tcPr>
          <w:p>
            <w:pPr>
              <w:spacing w:after="0"/>
              <w:rPr>
                <w:sz w:val="17"/>
                <w:szCs w:val="17"/>
                <w:color w:val="auto"/>
              </w:rPr>
            </w:pPr>
          </w:p>
        </w:tc>
        <w:tc>
          <w:tcPr>
            <w:tcW w:w="280" w:type="dxa"/>
            <w:vAlign w:val="bottom"/>
            <w:tcBorders>
              <w:left w:val="single" w:sz="8" w:color="F4F3F3"/>
              <w:right w:val="single" w:sz="8" w:color="F4F3F3"/>
            </w:tcBorders>
            <w:shd w:val="clear" w:color="auto" w:fill="F4F3F3"/>
          </w:tcPr>
          <w:p>
            <w:pPr>
              <w:spacing w:after="0"/>
              <w:rPr>
                <w:sz w:val="17"/>
                <w:szCs w:val="17"/>
                <w:color w:val="auto"/>
              </w:rPr>
            </w:pPr>
          </w:p>
        </w:tc>
        <w:tc>
          <w:tcPr>
            <w:tcW w:w="260" w:type="dxa"/>
            <w:vAlign w:val="bottom"/>
            <w:shd w:val="clear" w:color="auto" w:fill="F4F3F3"/>
          </w:tcPr>
          <w:p>
            <w:pPr>
              <w:spacing w:after="0"/>
              <w:rPr>
                <w:sz w:val="17"/>
                <w:szCs w:val="17"/>
                <w:color w:val="auto"/>
              </w:rPr>
            </w:pPr>
          </w:p>
        </w:tc>
        <w:tc>
          <w:tcPr>
            <w:tcW w:w="260" w:type="dxa"/>
            <w:vAlign w:val="bottom"/>
            <w:tcBorders>
              <w:right w:val="single" w:sz="8" w:color="F4F3F3"/>
            </w:tcBorders>
            <w:shd w:val="clear" w:color="auto" w:fill="F4F3F3"/>
          </w:tcPr>
          <w:p>
            <w:pPr>
              <w:spacing w:after="0"/>
              <w:rPr>
                <w:sz w:val="17"/>
                <w:szCs w:val="17"/>
                <w:color w:val="auto"/>
              </w:rPr>
            </w:pPr>
          </w:p>
        </w:tc>
        <w:tc>
          <w:tcPr>
            <w:tcW w:w="340" w:type="dxa"/>
            <w:vAlign w:val="bottom"/>
            <w:tcBorders>
              <w:right w:val="single" w:sz="8" w:color="F4F3F3"/>
            </w:tcBorders>
            <w:shd w:val="clear" w:color="auto" w:fill="F4F3F3"/>
          </w:tcPr>
          <w:p>
            <w:pPr>
              <w:spacing w:after="0"/>
              <w:rPr>
                <w:sz w:val="17"/>
                <w:szCs w:val="17"/>
                <w:color w:val="auto"/>
              </w:rPr>
            </w:pPr>
          </w:p>
        </w:tc>
        <w:tc>
          <w:tcPr>
            <w:tcW w:w="260" w:type="dxa"/>
            <w:vAlign w:val="bottom"/>
            <w:tcBorders>
              <w:right w:val="single" w:sz="8" w:color="F4F3F3"/>
            </w:tcBorders>
            <w:shd w:val="clear" w:color="auto" w:fill="F4F3F3"/>
          </w:tcPr>
          <w:p>
            <w:pPr>
              <w:spacing w:after="0"/>
              <w:rPr>
                <w:sz w:val="17"/>
                <w:szCs w:val="17"/>
                <w:color w:val="auto"/>
              </w:rPr>
            </w:pPr>
          </w:p>
        </w:tc>
        <w:tc>
          <w:tcPr>
            <w:tcW w:w="140" w:type="dxa"/>
            <w:vAlign w:val="bottom"/>
            <w:shd w:val="clear" w:color="auto" w:fill="F4F3F3"/>
          </w:tcPr>
          <w:p>
            <w:pPr>
              <w:spacing w:after="0"/>
              <w:rPr>
                <w:sz w:val="17"/>
                <w:szCs w:val="17"/>
                <w:color w:val="auto"/>
              </w:rPr>
            </w:pPr>
          </w:p>
        </w:tc>
        <w:tc>
          <w:tcPr>
            <w:tcW w:w="160" w:type="dxa"/>
            <w:vAlign w:val="bottom"/>
            <w:shd w:val="clear" w:color="auto" w:fill="F4F3F3"/>
          </w:tcPr>
          <w:p>
            <w:pPr>
              <w:spacing w:after="0"/>
              <w:rPr>
                <w:sz w:val="17"/>
                <w:szCs w:val="17"/>
                <w:color w:val="auto"/>
              </w:rPr>
            </w:pPr>
          </w:p>
        </w:tc>
        <w:tc>
          <w:tcPr>
            <w:tcW w:w="280" w:type="dxa"/>
            <w:vAlign w:val="bottom"/>
            <w:tcBorders>
              <w:left w:val="single" w:sz="8" w:color="F4F3F3"/>
              <w:right w:val="single" w:sz="8" w:color="F4F3F3"/>
            </w:tcBorders>
            <w:shd w:val="clear" w:color="auto" w:fill="F4F3F3"/>
          </w:tcPr>
          <w:p>
            <w:pPr>
              <w:spacing w:after="0"/>
              <w:rPr>
                <w:sz w:val="17"/>
                <w:szCs w:val="17"/>
                <w:color w:val="auto"/>
              </w:rPr>
            </w:pPr>
          </w:p>
        </w:tc>
        <w:tc>
          <w:tcPr>
            <w:tcW w:w="260" w:type="dxa"/>
            <w:vAlign w:val="bottom"/>
            <w:shd w:val="clear" w:color="auto" w:fill="F4F3F3"/>
          </w:tcPr>
          <w:p>
            <w:pPr>
              <w:spacing w:after="0"/>
              <w:rPr>
                <w:sz w:val="17"/>
                <w:szCs w:val="17"/>
                <w:color w:val="auto"/>
              </w:rPr>
            </w:pPr>
          </w:p>
        </w:tc>
        <w:tc>
          <w:tcPr>
            <w:tcW w:w="240" w:type="dxa"/>
            <w:vAlign w:val="bottom"/>
            <w:shd w:val="clear" w:color="auto" w:fill="F4F3F3"/>
          </w:tcPr>
          <w:p>
            <w:pPr>
              <w:spacing w:after="0"/>
              <w:rPr>
                <w:sz w:val="17"/>
                <w:szCs w:val="17"/>
                <w:color w:val="auto"/>
              </w:rPr>
            </w:pPr>
          </w:p>
        </w:tc>
        <w:tc>
          <w:tcPr>
            <w:tcW w:w="20" w:type="dxa"/>
            <w:vAlign w:val="bottom"/>
            <w:shd w:val="clear" w:color="auto" w:fill="F4F3F3"/>
          </w:tcPr>
          <w:p>
            <w:pPr>
              <w:spacing w:after="0"/>
              <w:rPr>
                <w:sz w:val="17"/>
                <w:szCs w:val="17"/>
                <w:color w:val="auto"/>
              </w:rPr>
            </w:pPr>
          </w:p>
        </w:tc>
        <w:tc>
          <w:tcPr>
            <w:tcW w:w="100" w:type="dxa"/>
            <w:vAlign w:val="bottom"/>
            <w:shd w:val="clear" w:color="auto" w:fill="F4F3F3"/>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500" w:type="dxa"/>
            <w:vAlign w:val="bottom"/>
            <w:vMerge w:val="restart"/>
            <w:shd w:val="clear" w:color="auto" w:fill="F4F3F3"/>
          </w:tcPr>
          <w:p>
            <w:pPr>
              <w:ind w:left="180"/>
              <w:spacing w:after="0"/>
              <w:rPr>
                <w:sz w:val="20"/>
                <w:szCs w:val="20"/>
                <w:color w:val="auto"/>
              </w:rPr>
            </w:pPr>
            <w:r>
              <w:rPr>
                <w:rFonts w:ascii="Arial" w:cs="Arial" w:eastAsia="Arial" w:hAnsi="Arial"/>
                <w:sz w:val="14"/>
                <w:szCs w:val="14"/>
                <w:b w:val="1"/>
                <w:bCs w:val="1"/>
                <w:color w:val="998C87"/>
              </w:rPr>
              <w:t>Eric Hippeau</w:t>
            </w:r>
          </w:p>
        </w:tc>
        <w:tc>
          <w:tcPr>
            <w:tcW w:w="500" w:type="dxa"/>
            <w:vAlign w:val="bottom"/>
            <w:shd w:val="clear" w:color="auto" w:fill="F4F3F3"/>
          </w:tcPr>
          <w:p>
            <w:pPr>
              <w:spacing w:after="0"/>
              <w:rPr>
                <w:sz w:val="14"/>
                <w:szCs w:val="14"/>
                <w:color w:val="auto"/>
              </w:rPr>
            </w:pPr>
          </w:p>
        </w:tc>
        <w:tc>
          <w:tcPr>
            <w:tcW w:w="740" w:type="dxa"/>
            <w:vAlign w:val="bottom"/>
            <w:shd w:val="clear" w:color="auto" w:fill="F4F3F3"/>
          </w:tcPr>
          <w:p>
            <w:pPr>
              <w:spacing w:after="0"/>
              <w:rPr>
                <w:sz w:val="14"/>
                <w:szCs w:val="14"/>
                <w:color w:val="auto"/>
              </w:rPr>
            </w:pPr>
          </w:p>
        </w:tc>
        <w:tc>
          <w:tcPr>
            <w:tcW w:w="1000" w:type="dxa"/>
            <w:vAlign w:val="bottom"/>
            <w:shd w:val="clear" w:color="auto" w:fill="F4F3F3"/>
          </w:tcPr>
          <w:p>
            <w:pPr>
              <w:spacing w:after="0"/>
              <w:rPr>
                <w:sz w:val="14"/>
                <w:szCs w:val="14"/>
                <w:color w:val="auto"/>
              </w:rPr>
            </w:pPr>
          </w:p>
        </w:tc>
        <w:tc>
          <w:tcPr>
            <w:tcW w:w="160" w:type="dxa"/>
            <w:vAlign w:val="bottom"/>
            <w:shd w:val="clear" w:color="auto" w:fill="F4F3F3"/>
          </w:tcPr>
          <w:p>
            <w:pPr>
              <w:spacing w:after="0"/>
              <w:rPr>
                <w:sz w:val="14"/>
                <w:szCs w:val="14"/>
                <w:color w:val="auto"/>
              </w:rPr>
            </w:pPr>
          </w:p>
        </w:tc>
        <w:tc>
          <w:tcPr>
            <w:tcW w:w="240" w:type="dxa"/>
            <w:vAlign w:val="bottom"/>
            <w:tcBorders>
              <w:right w:val="single" w:sz="8" w:color="F4F3F3"/>
            </w:tcBorders>
            <w:shd w:val="clear" w:color="auto" w:fill="F4F3F3"/>
          </w:tcPr>
          <w:p>
            <w:pPr>
              <w:spacing w:after="0"/>
              <w:rPr>
                <w:sz w:val="14"/>
                <w:szCs w:val="14"/>
                <w:color w:val="auto"/>
              </w:rPr>
            </w:pPr>
          </w:p>
        </w:tc>
        <w:tc>
          <w:tcPr>
            <w:tcW w:w="260" w:type="dxa"/>
            <w:vAlign w:val="bottom"/>
            <w:shd w:val="clear" w:color="auto" w:fill="F4F3F3"/>
          </w:tcPr>
          <w:p>
            <w:pPr>
              <w:spacing w:after="0"/>
              <w:rPr>
                <w:sz w:val="14"/>
                <w:szCs w:val="14"/>
                <w:color w:val="auto"/>
              </w:rPr>
            </w:pPr>
          </w:p>
        </w:tc>
        <w:tc>
          <w:tcPr>
            <w:tcW w:w="280" w:type="dxa"/>
            <w:vAlign w:val="bottom"/>
            <w:tcBorders>
              <w:left w:val="single" w:sz="8" w:color="F4F3F3"/>
              <w:right w:val="single" w:sz="8" w:color="F4F3F3"/>
            </w:tcBorders>
            <w:shd w:val="clear" w:color="auto" w:fill="F4F3F3"/>
          </w:tcPr>
          <w:p>
            <w:pPr>
              <w:spacing w:after="0"/>
              <w:rPr>
                <w:sz w:val="14"/>
                <w:szCs w:val="14"/>
                <w:color w:val="auto"/>
              </w:rPr>
            </w:pPr>
          </w:p>
        </w:tc>
        <w:tc>
          <w:tcPr>
            <w:tcW w:w="260" w:type="dxa"/>
            <w:vAlign w:val="bottom"/>
            <w:shd w:val="clear" w:color="auto" w:fill="F4F3F3"/>
          </w:tcPr>
          <w:p>
            <w:pPr>
              <w:spacing w:after="0"/>
              <w:rPr>
                <w:sz w:val="14"/>
                <w:szCs w:val="14"/>
                <w:color w:val="auto"/>
              </w:rPr>
            </w:pPr>
          </w:p>
        </w:tc>
        <w:tc>
          <w:tcPr>
            <w:tcW w:w="260" w:type="dxa"/>
            <w:vAlign w:val="bottom"/>
            <w:tcBorders>
              <w:right w:val="single" w:sz="8" w:color="F4F3F3"/>
            </w:tcBorders>
            <w:shd w:val="clear" w:color="auto" w:fill="F4F3F3"/>
          </w:tcPr>
          <w:p>
            <w:pPr>
              <w:spacing w:after="0"/>
              <w:rPr>
                <w:sz w:val="14"/>
                <w:szCs w:val="14"/>
                <w:color w:val="auto"/>
              </w:rPr>
            </w:pPr>
          </w:p>
        </w:tc>
        <w:tc>
          <w:tcPr>
            <w:tcW w:w="340" w:type="dxa"/>
            <w:vAlign w:val="bottom"/>
            <w:tcBorders>
              <w:right w:val="single" w:sz="8" w:color="F4F3F3"/>
            </w:tcBorders>
            <w:shd w:val="clear" w:color="auto" w:fill="F4F3F3"/>
          </w:tcPr>
          <w:p>
            <w:pPr>
              <w:spacing w:after="0"/>
              <w:rPr>
                <w:sz w:val="14"/>
                <w:szCs w:val="14"/>
                <w:color w:val="auto"/>
              </w:rPr>
            </w:pPr>
          </w:p>
        </w:tc>
        <w:tc>
          <w:tcPr>
            <w:tcW w:w="260" w:type="dxa"/>
            <w:vAlign w:val="bottom"/>
            <w:tcBorders>
              <w:right w:val="single" w:sz="8" w:color="F4F3F3"/>
            </w:tcBorders>
            <w:shd w:val="clear" w:color="auto" w:fill="F4F3F3"/>
          </w:tcPr>
          <w:p>
            <w:pPr>
              <w:spacing w:after="0"/>
              <w:rPr>
                <w:sz w:val="14"/>
                <w:szCs w:val="14"/>
                <w:color w:val="auto"/>
              </w:rPr>
            </w:pPr>
          </w:p>
        </w:tc>
        <w:tc>
          <w:tcPr>
            <w:tcW w:w="140" w:type="dxa"/>
            <w:vAlign w:val="bottom"/>
            <w:shd w:val="clear" w:color="auto" w:fill="F4F3F3"/>
          </w:tcPr>
          <w:p>
            <w:pPr>
              <w:spacing w:after="0"/>
              <w:rPr>
                <w:sz w:val="14"/>
                <w:szCs w:val="14"/>
                <w:color w:val="auto"/>
              </w:rPr>
            </w:pPr>
          </w:p>
        </w:tc>
        <w:tc>
          <w:tcPr>
            <w:tcW w:w="160" w:type="dxa"/>
            <w:vAlign w:val="bottom"/>
            <w:shd w:val="clear" w:color="auto" w:fill="F4F3F3"/>
          </w:tcPr>
          <w:p>
            <w:pPr>
              <w:spacing w:after="0"/>
              <w:rPr>
                <w:sz w:val="14"/>
                <w:szCs w:val="14"/>
                <w:color w:val="auto"/>
              </w:rPr>
            </w:pPr>
          </w:p>
        </w:tc>
        <w:tc>
          <w:tcPr>
            <w:tcW w:w="280" w:type="dxa"/>
            <w:vAlign w:val="bottom"/>
            <w:tcBorders>
              <w:left w:val="single" w:sz="8" w:color="F4F3F3"/>
              <w:right w:val="single" w:sz="8" w:color="F4F3F3"/>
            </w:tcBorders>
            <w:shd w:val="clear" w:color="auto" w:fill="F4F3F3"/>
          </w:tcPr>
          <w:p>
            <w:pPr>
              <w:spacing w:after="0"/>
              <w:rPr>
                <w:sz w:val="14"/>
                <w:szCs w:val="14"/>
                <w:color w:val="auto"/>
              </w:rPr>
            </w:pPr>
          </w:p>
        </w:tc>
        <w:tc>
          <w:tcPr>
            <w:tcW w:w="260" w:type="dxa"/>
            <w:vAlign w:val="bottom"/>
            <w:shd w:val="clear" w:color="auto" w:fill="F4F3F3"/>
          </w:tcPr>
          <w:p>
            <w:pPr>
              <w:spacing w:after="0"/>
              <w:rPr>
                <w:sz w:val="14"/>
                <w:szCs w:val="14"/>
                <w:color w:val="auto"/>
              </w:rPr>
            </w:pPr>
          </w:p>
        </w:tc>
        <w:tc>
          <w:tcPr>
            <w:tcW w:w="240" w:type="dxa"/>
            <w:vAlign w:val="bottom"/>
            <w:shd w:val="clear" w:color="auto" w:fill="F4F3F3"/>
          </w:tcPr>
          <w:p>
            <w:pPr>
              <w:spacing w:after="0"/>
              <w:rPr>
                <w:sz w:val="14"/>
                <w:szCs w:val="14"/>
                <w:color w:val="auto"/>
              </w:rPr>
            </w:pPr>
          </w:p>
        </w:tc>
        <w:tc>
          <w:tcPr>
            <w:tcW w:w="20" w:type="dxa"/>
            <w:vAlign w:val="bottom"/>
            <w:shd w:val="clear" w:color="auto" w:fill="F4F3F3"/>
          </w:tcPr>
          <w:p>
            <w:pPr>
              <w:spacing w:after="0"/>
              <w:rPr>
                <w:sz w:val="14"/>
                <w:szCs w:val="14"/>
                <w:color w:val="auto"/>
              </w:rPr>
            </w:pPr>
          </w:p>
        </w:tc>
        <w:tc>
          <w:tcPr>
            <w:tcW w:w="100" w:type="dxa"/>
            <w:vAlign w:val="bottom"/>
            <w:shd w:val="clear" w:color="auto" w:fill="F4F3F3"/>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5500" w:type="dxa"/>
            <w:vAlign w:val="bottom"/>
            <w:vMerge w:val="continue"/>
            <w:shd w:val="clear" w:color="auto" w:fill="F4F3F3"/>
          </w:tcPr>
          <w:p>
            <w:pPr>
              <w:spacing w:after="0"/>
              <w:rPr>
                <w:sz w:val="7"/>
                <w:szCs w:val="7"/>
                <w:color w:val="auto"/>
              </w:rPr>
            </w:pPr>
          </w:p>
        </w:tc>
        <w:tc>
          <w:tcPr>
            <w:tcW w:w="500" w:type="dxa"/>
            <w:vAlign w:val="bottom"/>
            <w:vMerge w:val="restart"/>
            <w:shd w:val="clear" w:color="auto" w:fill="F4F3F3"/>
          </w:tcPr>
          <w:p>
            <w:pPr>
              <w:jc w:val="center"/>
              <w:ind w:left="28"/>
              <w:spacing w:after="0"/>
              <w:rPr>
                <w:sz w:val="20"/>
                <w:szCs w:val="20"/>
                <w:color w:val="auto"/>
              </w:rPr>
            </w:pPr>
            <w:r>
              <w:rPr>
                <w:rFonts w:ascii="Arial" w:cs="Arial" w:eastAsia="Arial" w:hAnsi="Arial"/>
                <w:sz w:val="14"/>
                <w:szCs w:val="14"/>
                <w:color w:val="auto"/>
              </w:rPr>
              <w:t>66</w:t>
            </w:r>
          </w:p>
        </w:tc>
        <w:tc>
          <w:tcPr>
            <w:tcW w:w="740" w:type="dxa"/>
            <w:vAlign w:val="bottom"/>
            <w:vMerge w:val="restart"/>
            <w:shd w:val="clear" w:color="auto" w:fill="F4F3F3"/>
          </w:tcPr>
          <w:p>
            <w:pPr>
              <w:jc w:val="center"/>
              <w:spacing w:after="0"/>
              <w:rPr>
                <w:sz w:val="20"/>
                <w:szCs w:val="20"/>
                <w:color w:val="auto"/>
              </w:rPr>
            </w:pPr>
            <w:r>
              <w:rPr>
                <w:rFonts w:ascii="Arial" w:cs="Arial" w:eastAsia="Arial" w:hAnsi="Arial"/>
                <w:sz w:val="14"/>
                <w:szCs w:val="14"/>
                <w:color w:val="auto"/>
              </w:rPr>
              <w:t>2016</w:t>
            </w:r>
          </w:p>
        </w:tc>
        <w:tc>
          <w:tcPr>
            <w:tcW w:w="1000" w:type="dxa"/>
            <w:vAlign w:val="bottom"/>
            <w:vMerge w:val="restart"/>
            <w:shd w:val="clear" w:color="auto" w:fill="F4F3F3"/>
          </w:tcPr>
          <w:p>
            <w:pPr>
              <w:jc w:val="center"/>
              <w:spacing w:after="0"/>
              <w:rPr>
                <w:sz w:val="20"/>
                <w:szCs w:val="20"/>
                <w:color w:val="auto"/>
              </w:rPr>
            </w:pPr>
            <w:r>
              <w:rPr>
                <w:rFonts w:ascii="Arial" w:cs="Arial" w:eastAsia="Arial" w:hAnsi="Arial"/>
                <w:sz w:val="14"/>
                <w:szCs w:val="14"/>
                <w:color w:val="auto"/>
                <w:w w:val="90"/>
              </w:rPr>
              <w:t>Yes</w:t>
            </w:r>
          </w:p>
        </w:tc>
        <w:tc>
          <w:tcPr>
            <w:tcW w:w="160" w:type="dxa"/>
            <w:vAlign w:val="bottom"/>
            <w:shd w:val="clear" w:color="auto" w:fill="F4F3F3"/>
          </w:tcPr>
          <w:p>
            <w:pPr>
              <w:spacing w:after="0"/>
              <w:rPr>
                <w:sz w:val="7"/>
                <w:szCs w:val="7"/>
                <w:color w:val="auto"/>
              </w:rPr>
            </w:pPr>
          </w:p>
        </w:tc>
        <w:tc>
          <w:tcPr>
            <w:tcW w:w="240" w:type="dxa"/>
            <w:vAlign w:val="bottom"/>
            <w:tcBorders>
              <w:right w:val="single" w:sz="8" w:color="F4F3F3"/>
            </w:tcBorders>
            <w:shd w:val="clear" w:color="auto" w:fill="F4F3F3"/>
          </w:tcPr>
          <w:p>
            <w:pPr>
              <w:spacing w:after="0"/>
              <w:rPr>
                <w:sz w:val="7"/>
                <w:szCs w:val="7"/>
                <w:color w:val="auto"/>
              </w:rPr>
            </w:pPr>
          </w:p>
        </w:tc>
        <w:tc>
          <w:tcPr>
            <w:tcW w:w="260" w:type="dxa"/>
            <w:vAlign w:val="bottom"/>
            <w:shd w:val="clear" w:color="auto" w:fill="F4F3F3"/>
          </w:tcPr>
          <w:p>
            <w:pPr>
              <w:spacing w:after="0"/>
              <w:rPr>
                <w:sz w:val="7"/>
                <w:szCs w:val="7"/>
                <w:color w:val="auto"/>
              </w:rPr>
            </w:pPr>
          </w:p>
        </w:tc>
        <w:tc>
          <w:tcPr>
            <w:tcW w:w="280" w:type="dxa"/>
            <w:vAlign w:val="bottom"/>
            <w:tcBorders>
              <w:left w:val="single" w:sz="8" w:color="7F7F7F"/>
              <w:right w:val="single" w:sz="8" w:color="7F7F7F"/>
            </w:tcBorders>
            <w:vMerge w:val="restart"/>
            <w:shd w:val="clear" w:color="auto" w:fill="7F7F7F"/>
          </w:tcPr>
          <w:p>
            <w:pPr>
              <w:ind w:left="60"/>
              <w:spacing w:after="0" w:line="182" w:lineRule="exact"/>
              <w:rPr>
                <w:sz w:val="20"/>
                <w:szCs w:val="20"/>
                <w:color w:val="auto"/>
              </w:rPr>
            </w:pPr>
            <w:r>
              <w:rPr>
                <w:rFonts w:ascii="Arial" w:cs="Arial" w:eastAsia="Arial" w:hAnsi="Arial"/>
                <w:sz w:val="18"/>
                <w:szCs w:val="18"/>
                <w:b w:val="1"/>
                <w:bCs w:val="1"/>
                <w:color w:val="FFFFFF"/>
              </w:rPr>
              <w:t>M</w:t>
            </w:r>
          </w:p>
        </w:tc>
        <w:tc>
          <w:tcPr>
            <w:tcW w:w="260" w:type="dxa"/>
            <w:vAlign w:val="bottom"/>
            <w:shd w:val="clear" w:color="auto" w:fill="F4F3F3"/>
          </w:tcPr>
          <w:p>
            <w:pPr>
              <w:spacing w:after="0"/>
              <w:rPr>
                <w:sz w:val="7"/>
                <w:szCs w:val="7"/>
                <w:color w:val="auto"/>
              </w:rPr>
            </w:pPr>
          </w:p>
        </w:tc>
        <w:tc>
          <w:tcPr>
            <w:tcW w:w="260" w:type="dxa"/>
            <w:vAlign w:val="bottom"/>
            <w:tcBorders>
              <w:right w:val="single" w:sz="8" w:color="F4F3F3"/>
            </w:tcBorders>
            <w:shd w:val="clear" w:color="auto" w:fill="F4F3F3"/>
          </w:tcPr>
          <w:p>
            <w:pPr>
              <w:spacing w:after="0"/>
              <w:rPr>
                <w:sz w:val="7"/>
                <w:szCs w:val="7"/>
                <w:color w:val="auto"/>
              </w:rPr>
            </w:pPr>
          </w:p>
        </w:tc>
        <w:tc>
          <w:tcPr>
            <w:tcW w:w="340" w:type="dxa"/>
            <w:vAlign w:val="bottom"/>
            <w:tcBorders>
              <w:right w:val="single" w:sz="8" w:color="F4F3F3"/>
            </w:tcBorders>
            <w:shd w:val="clear" w:color="auto" w:fill="F4F3F3"/>
          </w:tcPr>
          <w:p>
            <w:pPr>
              <w:spacing w:after="0"/>
              <w:rPr>
                <w:sz w:val="7"/>
                <w:szCs w:val="7"/>
                <w:color w:val="auto"/>
              </w:rPr>
            </w:pPr>
          </w:p>
        </w:tc>
        <w:tc>
          <w:tcPr>
            <w:tcW w:w="260" w:type="dxa"/>
            <w:vAlign w:val="bottom"/>
            <w:tcBorders>
              <w:right w:val="single" w:sz="8" w:color="F4F3F3"/>
            </w:tcBorders>
            <w:shd w:val="clear" w:color="auto" w:fill="F4F3F3"/>
          </w:tcPr>
          <w:p>
            <w:pPr>
              <w:spacing w:after="0"/>
              <w:rPr>
                <w:sz w:val="7"/>
                <w:szCs w:val="7"/>
                <w:color w:val="auto"/>
              </w:rPr>
            </w:pPr>
          </w:p>
        </w:tc>
        <w:tc>
          <w:tcPr>
            <w:tcW w:w="140" w:type="dxa"/>
            <w:vAlign w:val="bottom"/>
            <w:shd w:val="clear" w:color="auto" w:fill="F4F3F3"/>
          </w:tcPr>
          <w:p>
            <w:pPr>
              <w:spacing w:after="0"/>
              <w:rPr>
                <w:sz w:val="7"/>
                <w:szCs w:val="7"/>
                <w:color w:val="auto"/>
              </w:rPr>
            </w:pPr>
          </w:p>
        </w:tc>
        <w:tc>
          <w:tcPr>
            <w:tcW w:w="160" w:type="dxa"/>
            <w:vAlign w:val="bottom"/>
            <w:shd w:val="clear" w:color="auto" w:fill="F4F3F3"/>
          </w:tcPr>
          <w:p>
            <w:pPr>
              <w:spacing w:after="0"/>
              <w:rPr>
                <w:sz w:val="7"/>
                <w:szCs w:val="7"/>
                <w:color w:val="auto"/>
              </w:rPr>
            </w:pPr>
          </w:p>
        </w:tc>
        <w:tc>
          <w:tcPr>
            <w:tcW w:w="280" w:type="dxa"/>
            <w:vAlign w:val="bottom"/>
            <w:tcBorders>
              <w:left w:val="single" w:sz="8" w:color="F4F3F3"/>
              <w:right w:val="single" w:sz="8" w:color="F4F3F3"/>
            </w:tcBorders>
            <w:shd w:val="clear" w:color="auto" w:fill="F4F3F3"/>
          </w:tcPr>
          <w:p>
            <w:pPr>
              <w:spacing w:after="0"/>
              <w:rPr>
                <w:sz w:val="7"/>
                <w:szCs w:val="7"/>
                <w:color w:val="auto"/>
              </w:rPr>
            </w:pPr>
          </w:p>
        </w:tc>
        <w:tc>
          <w:tcPr>
            <w:tcW w:w="260" w:type="dxa"/>
            <w:vAlign w:val="bottom"/>
            <w:shd w:val="clear" w:color="auto" w:fill="F4F3F3"/>
          </w:tcPr>
          <w:p>
            <w:pPr>
              <w:spacing w:after="0"/>
              <w:rPr>
                <w:sz w:val="7"/>
                <w:szCs w:val="7"/>
                <w:color w:val="auto"/>
              </w:rPr>
            </w:pPr>
          </w:p>
        </w:tc>
        <w:tc>
          <w:tcPr>
            <w:tcW w:w="240" w:type="dxa"/>
            <w:vAlign w:val="bottom"/>
            <w:shd w:val="clear" w:color="auto" w:fill="F4F3F3"/>
          </w:tcPr>
          <w:p>
            <w:pPr>
              <w:spacing w:after="0"/>
              <w:rPr>
                <w:sz w:val="7"/>
                <w:szCs w:val="7"/>
                <w:color w:val="auto"/>
              </w:rPr>
            </w:pPr>
          </w:p>
        </w:tc>
        <w:tc>
          <w:tcPr>
            <w:tcW w:w="20" w:type="dxa"/>
            <w:vAlign w:val="bottom"/>
            <w:shd w:val="clear" w:color="auto" w:fill="F4F3F3"/>
          </w:tcPr>
          <w:p>
            <w:pPr>
              <w:spacing w:after="0"/>
              <w:rPr>
                <w:sz w:val="7"/>
                <w:szCs w:val="7"/>
                <w:color w:val="auto"/>
              </w:rPr>
            </w:pPr>
          </w:p>
        </w:tc>
        <w:tc>
          <w:tcPr>
            <w:tcW w:w="100" w:type="dxa"/>
            <w:vAlign w:val="bottom"/>
            <w:shd w:val="clear" w:color="auto" w:fill="F4F3F3"/>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5500" w:type="dxa"/>
            <w:vAlign w:val="bottom"/>
            <w:vMerge w:val="restart"/>
            <w:shd w:val="clear" w:color="auto" w:fill="F4F3F3"/>
          </w:tcPr>
          <w:p>
            <w:pPr>
              <w:ind w:left="180"/>
              <w:spacing w:after="0"/>
              <w:rPr>
                <w:sz w:val="20"/>
                <w:szCs w:val="20"/>
                <w:color w:val="auto"/>
              </w:rPr>
            </w:pPr>
            <w:r>
              <w:rPr>
                <w:rFonts w:ascii="Arial" w:cs="Arial" w:eastAsia="Arial" w:hAnsi="Arial"/>
                <w:sz w:val="14"/>
                <w:szCs w:val="14"/>
                <w:i w:val="1"/>
                <w:iCs w:val="1"/>
                <w:color w:val="auto"/>
              </w:rPr>
              <w:t>Managing Partner, Lerer Hippeau</w:t>
            </w:r>
          </w:p>
        </w:tc>
        <w:tc>
          <w:tcPr>
            <w:tcW w:w="500" w:type="dxa"/>
            <w:vAlign w:val="bottom"/>
            <w:vMerge w:val="continue"/>
            <w:shd w:val="clear" w:color="auto" w:fill="F4F3F3"/>
          </w:tcPr>
          <w:p>
            <w:pPr>
              <w:spacing w:after="0"/>
              <w:rPr>
                <w:sz w:val="10"/>
                <w:szCs w:val="10"/>
                <w:color w:val="auto"/>
              </w:rPr>
            </w:pPr>
          </w:p>
        </w:tc>
        <w:tc>
          <w:tcPr>
            <w:tcW w:w="740" w:type="dxa"/>
            <w:vAlign w:val="bottom"/>
            <w:vMerge w:val="continue"/>
            <w:shd w:val="clear" w:color="auto" w:fill="F4F3F3"/>
          </w:tcPr>
          <w:p>
            <w:pPr>
              <w:spacing w:after="0"/>
              <w:rPr>
                <w:sz w:val="10"/>
                <w:szCs w:val="10"/>
                <w:color w:val="auto"/>
              </w:rPr>
            </w:pPr>
          </w:p>
        </w:tc>
        <w:tc>
          <w:tcPr>
            <w:tcW w:w="1000" w:type="dxa"/>
            <w:vAlign w:val="bottom"/>
            <w:vMerge w:val="continue"/>
            <w:shd w:val="clear" w:color="auto" w:fill="F4F3F3"/>
          </w:tcPr>
          <w:p>
            <w:pPr>
              <w:spacing w:after="0"/>
              <w:rPr>
                <w:sz w:val="10"/>
                <w:szCs w:val="10"/>
                <w:color w:val="auto"/>
              </w:rPr>
            </w:pPr>
          </w:p>
        </w:tc>
        <w:tc>
          <w:tcPr>
            <w:tcW w:w="160" w:type="dxa"/>
            <w:vAlign w:val="bottom"/>
            <w:shd w:val="clear" w:color="auto" w:fill="F4F3F3"/>
          </w:tcPr>
          <w:p>
            <w:pPr>
              <w:spacing w:after="0"/>
              <w:rPr>
                <w:sz w:val="10"/>
                <w:szCs w:val="10"/>
                <w:color w:val="auto"/>
              </w:rPr>
            </w:pPr>
          </w:p>
        </w:tc>
        <w:tc>
          <w:tcPr>
            <w:tcW w:w="240" w:type="dxa"/>
            <w:vAlign w:val="bottom"/>
            <w:tcBorders>
              <w:right w:val="single" w:sz="8" w:color="F4F3F3"/>
            </w:tcBorders>
            <w:shd w:val="clear" w:color="auto" w:fill="F4F3F3"/>
          </w:tcPr>
          <w:p>
            <w:pPr>
              <w:spacing w:after="0"/>
              <w:rPr>
                <w:sz w:val="10"/>
                <w:szCs w:val="10"/>
                <w:color w:val="auto"/>
              </w:rPr>
            </w:pPr>
          </w:p>
        </w:tc>
        <w:tc>
          <w:tcPr>
            <w:tcW w:w="260" w:type="dxa"/>
            <w:vAlign w:val="bottom"/>
            <w:shd w:val="clear" w:color="auto" w:fill="F4F3F3"/>
          </w:tcPr>
          <w:p>
            <w:pPr>
              <w:spacing w:after="0"/>
              <w:rPr>
                <w:sz w:val="10"/>
                <w:szCs w:val="10"/>
                <w:color w:val="auto"/>
              </w:rPr>
            </w:pPr>
          </w:p>
        </w:tc>
        <w:tc>
          <w:tcPr>
            <w:tcW w:w="280" w:type="dxa"/>
            <w:vAlign w:val="bottom"/>
            <w:tcBorders>
              <w:left w:val="single" w:sz="8" w:color="7F7F7F"/>
              <w:right w:val="single" w:sz="8" w:color="7F7F7F"/>
            </w:tcBorders>
            <w:vMerge w:val="continue"/>
            <w:shd w:val="clear" w:color="auto" w:fill="7F7F7F"/>
          </w:tcPr>
          <w:p>
            <w:pPr>
              <w:spacing w:after="0"/>
              <w:rPr>
                <w:sz w:val="10"/>
                <w:szCs w:val="10"/>
                <w:color w:val="auto"/>
              </w:rPr>
            </w:pPr>
          </w:p>
        </w:tc>
        <w:tc>
          <w:tcPr>
            <w:tcW w:w="260" w:type="dxa"/>
            <w:vAlign w:val="bottom"/>
            <w:shd w:val="clear" w:color="auto" w:fill="F4F3F3"/>
          </w:tcPr>
          <w:p>
            <w:pPr>
              <w:spacing w:after="0"/>
              <w:rPr>
                <w:sz w:val="10"/>
                <w:szCs w:val="10"/>
                <w:color w:val="auto"/>
              </w:rPr>
            </w:pPr>
          </w:p>
        </w:tc>
        <w:tc>
          <w:tcPr>
            <w:tcW w:w="260" w:type="dxa"/>
            <w:vAlign w:val="bottom"/>
            <w:tcBorders>
              <w:right w:val="single" w:sz="8" w:color="F4F3F3"/>
            </w:tcBorders>
            <w:shd w:val="clear" w:color="auto" w:fill="F4F3F3"/>
          </w:tcPr>
          <w:p>
            <w:pPr>
              <w:spacing w:after="0"/>
              <w:rPr>
                <w:sz w:val="10"/>
                <w:szCs w:val="10"/>
                <w:color w:val="auto"/>
              </w:rPr>
            </w:pPr>
          </w:p>
        </w:tc>
        <w:tc>
          <w:tcPr>
            <w:tcW w:w="340" w:type="dxa"/>
            <w:vAlign w:val="bottom"/>
            <w:tcBorders>
              <w:right w:val="single" w:sz="8" w:color="F4F3F3"/>
            </w:tcBorders>
            <w:shd w:val="clear" w:color="auto" w:fill="F4F3F3"/>
          </w:tcPr>
          <w:p>
            <w:pPr>
              <w:spacing w:after="0"/>
              <w:rPr>
                <w:sz w:val="10"/>
                <w:szCs w:val="10"/>
                <w:color w:val="auto"/>
              </w:rPr>
            </w:pPr>
          </w:p>
        </w:tc>
        <w:tc>
          <w:tcPr>
            <w:tcW w:w="260" w:type="dxa"/>
            <w:vAlign w:val="bottom"/>
            <w:tcBorders>
              <w:right w:val="single" w:sz="8" w:color="F4F3F3"/>
            </w:tcBorders>
            <w:shd w:val="clear" w:color="auto" w:fill="F4F3F3"/>
          </w:tcPr>
          <w:p>
            <w:pPr>
              <w:spacing w:after="0"/>
              <w:rPr>
                <w:sz w:val="10"/>
                <w:szCs w:val="10"/>
                <w:color w:val="auto"/>
              </w:rPr>
            </w:pPr>
          </w:p>
        </w:tc>
        <w:tc>
          <w:tcPr>
            <w:tcW w:w="140" w:type="dxa"/>
            <w:vAlign w:val="bottom"/>
            <w:shd w:val="clear" w:color="auto" w:fill="F4F3F3"/>
          </w:tcPr>
          <w:p>
            <w:pPr>
              <w:spacing w:after="0"/>
              <w:rPr>
                <w:sz w:val="10"/>
                <w:szCs w:val="10"/>
                <w:color w:val="auto"/>
              </w:rPr>
            </w:pPr>
          </w:p>
        </w:tc>
        <w:tc>
          <w:tcPr>
            <w:tcW w:w="160" w:type="dxa"/>
            <w:vAlign w:val="bottom"/>
            <w:shd w:val="clear" w:color="auto" w:fill="F4F3F3"/>
          </w:tcPr>
          <w:p>
            <w:pPr>
              <w:spacing w:after="0"/>
              <w:rPr>
                <w:sz w:val="10"/>
                <w:szCs w:val="10"/>
                <w:color w:val="auto"/>
              </w:rPr>
            </w:pPr>
          </w:p>
        </w:tc>
        <w:tc>
          <w:tcPr>
            <w:tcW w:w="280" w:type="dxa"/>
            <w:vAlign w:val="bottom"/>
            <w:tcBorders>
              <w:left w:val="single" w:sz="8" w:color="F4F3F3"/>
              <w:right w:val="single" w:sz="8" w:color="F4F3F3"/>
            </w:tcBorders>
            <w:shd w:val="clear" w:color="auto" w:fill="F4F3F3"/>
          </w:tcPr>
          <w:p>
            <w:pPr>
              <w:spacing w:after="0"/>
              <w:rPr>
                <w:sz w:val="10"/>
                <w:szCs w:val="10"/>
                <w:color w:val="auto"/>
              </w:rPr>
            </w:pPr>
          </w:p>
        </w:tc>
        <w:tc>
          <w:tcPr>
            <w:tcW w:w="260" w:type="dxa"/>
            <w:vAlign w:val="bottom"/>
            <w:shd w:val="clear" w:color="auto" w:fill="F4F3F3"/>
          </w:tcPr>
          <w:p>
            <w:pPr>
              <w:spacing w:after="0"/>
              <w:rPr>
                <w:sz w:val="10"/>
                <w:szCs w:val="10"/>
                <w:color w:val="auto"/>
              </w:rPr>
            </w:pPr>
          </w:p>
        </w:tc>
        <w:tc>
          <w:tcPr>
            <w:tcW w:w="240" w:type="dxa"/>
            <w:vAlign w:val="bottom"/>
            <w:shd w:val="clear" w:color="auto" w:fill="F4F3F3"/>
          </w:tcPr>
          <w:p>
            <w:pPr>
              <w:spacing w:after="0"/>
              <w:rPr>
                <w:sz w:val="10"/>
                <w:szCs w:val="10"/>
                <w:color w:val="auto"/>
              </w:rPr>
            </w:pPr>
          </w:p>
        </w:tc>
        <w:tc>
          <w:tcPr>
            <w:tcW w:w="20" w:type="dxa"/>
            <w:vAlign w:val="bottom"/>
            <w:shd w:val="clear" w:color="auto" w:fill="F4F3F3"/>
          </w:tcPr>
          <w:p>
            <w:pPr>
              <w:spacing w:after="0"/>
              <w:rPr>
                <w:sz w:val="10"/>
                <w:szCs w:val="10"/>
                <w:color w:val="auto"/>
              </w:rPr>
            </w:pPr>
          </w:p>
        </w:tc>
        <w:tc>
          <w:tcPr>
            <w:tcW w:w="100" w:type="dxa"/>
            <w:vAlign w:val="bottom"/>
            <w:shd w:val="clear" w:color="auto" w:fill="F4F3F3"/>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5500" w:type="dxa"/>
            <w:vAlign w:val="bottom"/>
            <w:vMerge w:val="continue"/>
            <w:shd w:val="clear" w:color="auto" w:fill="F4F3F3"/>
          </w:tcPr>
          <w:p>
            <w:pPr>
              <w:spacing w:after="0"/>
              <w:rPr>
                <w:sz w:val="6"/>
                <w:szCs w:val="6"/>
                <w:color w:val="auto"/>
              </w:rPr>
            </w:pPr>
          </w:p>
        </w:tc>
        <w:tc>
          <w:tcPr>
            <w:tcW w:w="500" w:type="dxa"/>
            <w:vAlign w:val="bottom"/>
            <w:shd w:val="clear" w:color="auto" w:fill="F4F3F3"/>
          </w:tcPr>
          <w:p>
            <w:pPr>
              <w:spacing w:after="0"/>
              <w:rPr>
                <w:sz w:val="6"/>
                <w:szCs w:val="6"/>
                <w:color w:val="auto"/>
              </w:rPr>
            </w:pPr>
          </w:p>
        </w:tc>
        <w:tc>
          <w:tcPr>
            <w:tcW w:w="740" w:type="dxa"/>
            <w:vAlign w:val="bottom"/>
            <w:shd w:val="clear" w:color="auto" w:fill="F4F3F3"/>
          </w:tcPr>
          <w:p>
            <w:pPr>
              <w:spacing w:after="0"/>
              <w:rPr>
                <w:sz w:val="6"/>
                <w:szCs w:val="6"/>
                <w:color w:val="auto"/>
              </w:rPr>
            </w:pPr>
          </w:p>
        </w:tc>
        <w:tc>
          <w:tcPr>
            <w:tcW w:w="1000" w:type="dxa"/>
            <w:vAlign w:val="bottom"/>
            <w:shd w:val="clear" w:color="auto" w:fill="F4F3F3"/>
          </w:tcPr>
          <w:p>
            <w:pPr>
              <w:spacing w:after="0"/>
              <w:rPr>
                <w:sz w:val="6"/>
                <w:szCs w:val="6"/>
                <w:color w:val="auto"/>
              </w:rPr>
            </w:pPr>
          </w:p>
        </w:tc>
        <w:tc>
          <w:tcPr>
            <w:tcW w:w="160" w:type="dxa"/>
            <w:vAlign w:val="bottom"/>
            <w:shd w:val="clear" w:color="auto" w:fill="F4F3F3"/>
          </w:tcPr>
          <w:p>
            <w:pPr>
              <w:spacing w:after="0"/>
              <w:rPr>
                <w:sz w:val="6"/>
                <w:szCs w:val="6"/>
                <w:color w:val="auto"/>
              </w:rPr>
            </w:pPr>
          </w:p>
        </w:tc>
        <w:tc>
          <w:tcPr>
            <w:tcW w:w="240" w:type="dxa"/>
            <w:vAlign w:val="bottom"/>
            <w:tcBorders>
              <w:right w:val="single" w:sz="8" w:color="F4F3F3"/>
            </w:tcBorders>
            <w:shd w:val="clear" w:color="auto" w:fill="F4F3F3"/>
          </w:tcPr>
          <w:p>
            <w:pPr>
              <w:spacing w:after="0"/>
              <w:rPr>
                <w:sz w:val="6"/>
                <w:szCs w:val="6"/>
                <w:color w:val="auto"/>
              </w:rPr>
            </w:pPr>
          </w:p>
        </w:tc>
        <w:tc>
          <w:tcPr>
            <w:tcW w:w="260" w:type="dxa"/>
            <w:vAlign w:val="bottom"/>
            <w:shd w:val="clear" w:color="auto" w:fill="F4F3F3"/>
          </w:tcPr>
          <w:p>
            <w:pPr>
              <w:spacing w:after="0"/>
              <w:rPr>
                <w:sz w:val="6"/>
                <w:szCs w:val="6"/>
                <w:color w:val="auto"/>
              </w:rPr>
            </w:pPr>
          </w:p>
        </w:tc>
        <w:tc>
          <w:tcPr>
            <w:tcW w:w="280" w:type="dxa"/>
            <w:vAlign w:val="bottom"/>
            <w:tcBorders>
              <w:left w:val="single" w:sz="8" w:color="F4F3F3"/>
              <w:right w:val="single" w:sz="8" w:color="F4F3F3"/>
            </w:tcBorders>
            <w:shd w:val="clear" w:color="auto" w:fill="F4F3F3"/>
          </w:tcPr>
          <w:p>
            <w:pPr>
              <w:spacing w:after="0"/>
              <w:rPr>
                <w:sz w:val="6"/>
                <w:szCs w:val="6"/>
                <w:color w:val="auto"/>
              </w:rPr>
            </w:pPr>
          </w:p>
        </w:tc>
        <w:tc>
          <w:tcPr>
            <w:tcW w:w="260" w:type="dxa"/>
            <w:vAlign w:val="bottom"/>
            <w:shd w:val="clear" w:color="auto" w:fill="F4F3F3"/>
          </w:tcPr>
          <w:p>
            <w:pPr>
              <w:spacing w:after="0"/>
              <w:rPr>
                <w:sz w:val="6"/>
                <w:szCs w:val="6"/>
                <w:color w:val="auto"/>
              </w:rPr>
            </w:pPr>
          </w:p>
        </w:tc>
        <w:tc>
          <w:tcPr>
            <w:tcW w:w="260" w:type="dxa"/>
            <w:vAlign w:val="bottom"/>
            <w:tcBorders>
              <w:right w:val="single" w:sz="8" w:color="F4F3F3"/>
            </w:tcBorders>
            <w:shd w:val="clear" w:color="auto" w:fill="F4F3F3"/>
          </w:tcPr>
          <w:p>
            <w:pPr>
              <w:spacing w:after="0"/>
              <w:rPr>
                <w:sz w:val="6"/>
                <w:szCs w:val="6"/>
                <w:color w:val="auto"/>
              </w:rPr>
            </w:pPr>
          </w:p>
        </w:tc>
        <w:tc>
          <w:tcPr>
            <w:tcW w:w="340" w:type="dxa"/>
            <w:vAlign w:val="bottom"/>
            <w:tcBorders>
              <w:right w:val="single" w:sz="8" w:color="F4F3F3"/>
            </w:tcBorders>
            <w:shd w:val="clear" w:color="auto" w:fill="F4F3F3"/>
          </w:tcPr>
          <w:p>
            <w:pPr>
              <w:spacing w:after="0"/>
              <w:rPr>
                <w:sz w:val="6"/>
                <w:szCs w:val="6"/>
                <w:color w:val="auto"/>
              </w:rPr>
            </w:pPr>
          </w:p>
        </w:tc>
        <w:tc>
          <w:tcPr>
            <w:tcW w:w="260" w:type="dxa"/>
            <w:vAlign w:val="bottom"/>
            <w:tcBorders>
              <w:right w:val="single" w:sz="8" w:color="F4F3F3"/>
            </w:tcBorders>
            <w:shd w:val="clear" w:color="auto" w:fill="F4F3F3"/>
          </w:tcPr>
          <w:p>
            <w:pPr>
              <w:spacing w:after="0"/>
              <w:rPr>
                <w:sz w:val="6"/>
                <w:szCs w:val="6"/>
                <w:color w:val="auto"/>
              </w:rPr>
            </w:pPr>
          </w:p>
        </w:tc>
        <w:tc>
          <w:tcPr>
            <w:tcW w:w="140" w:type="dxa"/>
            <w:vAlign w:val="bottom"/>
            <w:shd w:val="clear" w:color="auto" w:fill="F4F3F3"/>
          </w:tcPr>
          <w:p>
            <w:pPr>
              <w:spacing w:after="0"/>
              <w:rPr>
                <w:sz w:val="6"/>
                <w:szCs w:val="6"/>
                <w:color w:val="auto"/>
              </w:rPr>
            </w:pPr>
          </w:p>
        </w:tc>
        <w:tc>
          <w:tcPr>
            <w:tcW w:w="160" w:type="dxa"/>
            <w:vAlign w:val="bottom"/>
            <w:shd w:val="clear" w:color="auto" w:fill="F4F3F3"/>
          </w:tcPr>
          <w:p>
            <w:pPr>
              <w:spacing w:after="0"/>
              <w:rPr>
                <w:sz w:val="6"/>
                <w:szCs w:val="6"/>
                <w:color w:val="auto"/>
              </w:rPr>
            </w:pPr>
          </w:p>
        </w:tc>
        <w:tc>
          <w:tcPr>
            <w:tcW w:w="280" w:type="dxa"/>
            <w:vAlign w:val="bottom"/>
            <w:tcBorders>
              <w:left w:val="single" w:sz="8" w:color="F4F3F3"/>
              <w:right w:val="single" w:sz="8" w:color="F4F3F3"/>
            </w:tcBorders>
            <w:shd w:val="clear" w:color="auto" w:fill="F4F3F3"/>
          </w:tcPr>
          <w:p>
            <w:pPr>
              <w:spacing w:after="0"/>
              <w:rPr>
                <w:sz w:val="6"/>
                <w:szCs w:val="6"/>
                <w:color w:val="auto"/>
              </w:rPr>
            </w:pPr>
          </w:p>
        </w:tc>
        <w:tc>
          <w:tcPr>
            <w:tcW w:w="260" w:type="dxa"/>
            <w:vAlign w:val="bottom"/>
            <w:shd w:val="clear" w:color="auto" w:fill="F4F3F3"/>
          </w:tcPr>
          <w:p>
            <w:pPr>
              <w:spacing w:after="0"/>
              <w:rPr>
                <w:sz w:val="6"/>
                <w:szCs w:val="6"/>
                <w:color w:val="auto"/>
              </w:rPr>
            </w:pPr>
          </w:p>
        </w:tc>
        <w:tc>
          <w:tcPr>
            <w:tcW w:w="240" w:type="dxa"/>
            <w:vAlign w:val="bottom"/>
            <w:shd w:val="clear" w:color="auto" w:fill="F4F3F3"/>
          </w:tcPr>
          <w:p>
            <w:pPr>
              <w:spacing w:after="0"/>
              <w:rPr>
                <w:sz w:val="6"/>
                <w:szCs w:val="6"/>
                <w:color w:val="auto"/>
              </w:rPr>
            </w:pPr>
          </w:p>
        </w:tc>
        <w:tc>
          <w:tcPr>
            <w:tcW w:w="20" w:type="dxa"/>
            <w:vAlign w:val="bottom"/>
            <w:shd w:val="clear" w:color="auto" w:fill="F4F3F3"/>
          </w:tcPr>
          <w:p>
            <w:pPr>
              <w:spacing w:after="0"/>
              <w:rPr>
                <w:sz w:val="6"/>
                <w:szCs w:val="6"/>
                <w:color w:val="auto"/>
              </w:rPr>
            </w:pPr>
          </w:p>
        </w:tc>
        <w:tc>
          <w:tcPr>
            <w:tcW w:w="100" w:type="dxa"/>
            <w:vAlign w:val="bottom"/>
            <w:shd w:val="clear" w:color="auto" w:fill="F4F3F3"/>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5500" w:type="dxa"/>
            <w:vAlign w:val="bottom"/>
            <w:vMerge w:val="restart"/>
            <w:shd w:val="clear" w:color="auto" w:fill="F4F3F3"/>
          </w:tcPr>
          <w:p>
            <w:pPr>
              <w:ind w:left="180"/>
              <w:spacing w:after="0"/>
              <w:rPr>
                <w:sz w:val="20"/>
                <w:szCs w:val="20"/>
                <w:color w:val="auto"/>
              </w:rPr>
            </w:pPr>
            <w:r>
              <w:rPr>
                <w:rFonts w:ascii="Arial" w:cs="Arial" w:eastAsia="Arial" w:hAnsi="Arial"/>
                <w:sz w:val="14"/>
                <w:szCs w:val="14"/>
                <w:b w:val="1"/>
                <w:bCs w:val="1"/>
                <w:color w:val="998C87"/>
              </w:rPr>
              <w:t>Lawrence W. Kellner</w:t>
            </w:r>
          </w:p>
        </w:tc>
        <w:tc>
          <w:tcPr>
            <w:tcW w:w="500" w:type="dxa"/>
            <w:vAlign w:val="bottom"/>
            <w:shd w:val="clear" w:color="auto" w:fill="F4F3F3"/>
          </w:tcPr>
          <w:p>
            <w:pPr>
              <w:spacing w:after="0"/>
              <w:rPr>
                <w:sz w:val="12"/>
                <w:szCs w:val="12"/>
                <w:color w:val="auto"/>
              </w:rPr>
            </w:pPr>
          </w:p>
        </w:tc>
        <w:tc>
          <w:tcPr>
            <w:tcW w:w="740" w:type="dxa"/>
            <w:vAlign w:val="bottom"/>
            <w:shd w:val="clear" w:color="auto" w:fill="F4F3F3"/>
          </w:tcPr>
          <w:p>
            <w:pPr>
              <w:spacing w:after="0"/>
              <w:rPr>
                <w:sz w:val="12"/>
                <w:szCs w:val="12"/>
                <w:color w:val="auto"/>
              </w:rPr>
            </w:pPr>
          </w:p>
        </w:tc>
        <w:tc>
          <w:tcPr>
            <w:tcW w:w="1000" w:type="dxa"/>
            <w:vAlign w:val="bottom"/>
            <w:shd w:val="clear" w:color="auto" w:fill="F4F3F3"/>
          </w:tcPr>
          <w:p>
            <w:pPr>
              <w:spacing w:after="0"/>
              <w:rPr>
                <w:sz w:val="12"/>
                <w:szCs w:val="12"/>
                <w:color w:val="auto"/>
              </w:rPr>
            </w:pPr>
          </w:p>
        </w:tc>
        <w:tc>
          <w:tcPr>
            <w:tcW w:w="160" w:type="dxa"/>
            <w:vAlign w:val="bottom"/>
            <w:shd w:val="clear" w:color="auto" w:fill="F4F3F3"/>
          </w:tcPr>
          <w:p>
            <w:pPr>
              <w:spacing w:after="0"/>
              <w:rPr>
                <w:sz w:val="12"/>
                <w:szCs w:val="12"/>
                <w:color w:val="auto"/>
              </w:rPr>
            </w:pPr>
          </w:p>
        </w:tc>
        <w:tc>
          <w:tcPr>
            <w:tcW w:w="240" w:type="dxa"/>
            <w:vAlign w:val="bottom"/>
            <w:tcBorders>
              <w:right w:val="single" w:sz="8" w:color="F4F3F3"/>
            </w:tcBorders>
            <w:shd w:val="clear" w:color="auto" w:fill="F4F3F3"/>
          </w:tcPr>
          <w:p>
            <w:pPr>
              <w:spacing w:after="0"/>
              <w:rPr>
                <w:sz w:val="12"/>
                <w:szCs w:val="12"/>
                <w:color w:val="auto"/>
              </w:rPr>
            </w:pPr>
          </w:p>
        </w:tc>
        <w:tc>
          <w:tcPr>
            <w:tcW w:w="260" w:type="dxa"/>
            <w:vAlign w:val="bottom"/>
            <w:shd w:val="clear" w:color="auto" w:fill="F4F3F3"/>
          </w:tcPr>
          <w:p>
            <w:pPr>
              <w:spacing w:after="0"/>
              <w:rPr>
                <w:sz w:val="12"/>
                <w:szCs w:val="12"/>
                <w:color w:val="auto"/>
              </w:rPr>
            </w:pPr>
          </w:p>
        </w:tc>
        <w:tc>
          <w:tcPr>
            <w:tcW w:w="280" w:type="dxa"/>
            <w:vAlign w:val="bottom"/>
            <w:tcBorders>
              <w:left w:val="single" w:sz="8" w:color="F4F3F3"/>
              <w:right w:val="single" w:sz="8" w:color="F4F3F3"/>
            </w:tcBorders>
            <w:shd w:val="clear" w:color="auto" w:fill="F4F3F3"/>
          </w:tcPr>
          <w:p>
            <w:pPr>
              <w:spacing w:after="0"/>
              <w:rPr>
                <w:sz w:val="12"/>
                <w:szCs w:val="12"/>
                <w:color w:val="auto"/>
              </w:rPr>
            </w:pPr>
          </w:p>
        </w:tc>
        <w:tc>
          <w:tcPr>
            <w:tcW w:w="260" w:type="dxa"/>
            <w:vAlign w:val="bottom"/>
            <w:shd w:val="clear" w:color="auto" w:fill="F4F3F3"/>
          </w:tcPr>
          <w:p>
            <w:pPr>
              <w:spacing w:after="0"/>
              <w:rPr>
                <w:sz w:val="12"/>
                <w:szCs w:val="12"/>
                <w:color w:val="auto"/>
              </w:rPr>
            </w:pPr>
          </w:p>
        </w:tc>
        <w:tc>
          <w:tcPr>
            <w:tcW w:w="260" w:type="dxa"/>
            <w:vAlign w:val="bottom"/>
            <w:tcBorders>
              <w:right w:val="single" w:sz="8" w:color="F4F3F3"/>
            </w:tcBorders>
            <w:shd w:val="clear" w:color="auto" w:fill="F4F3F3"/>
          </w:tcPr>
          <w:p>
            <w:pPr>
              <w:spacing w:after="0"/>
              <w:rPr>
                <w:sz w:val="12"/>
                <w:szCs w:val="12"/>
                <w:color w:val="auto"/>
              </w:rPr>
            </w:pPr>
          </w:p>
        </w:tc>
        <w:tc>
          <w:tcPr>
            <w:tcW w:w="340" w:type="dxa"/>
            <w:vAlign w:val="bottom"/>
            <w:tcBorders>
              <w:right w:val="single" w:sz="8" w:color="F4F3F3"/>
            </w:tcBorders>
            <w:shd w:val="clear" w:color="auto" w:fill="F4F3F3"/>
          </w:tcPr>
          <w:p>
            <w:pPr>
              <w:spacing w:after="0"/>
              <w:rPr>
                <w:sz w:val="12"/>
                <w:szCs w:val="12"/>
                <w:color w:val="auto"/>
              </w:rPr>
            </w:pPr>
          </w:p>
        </w:tc>
        <w:tc>
          <w:tcPr>
            <w:tcW w:w="260" w:type="dxa"/>
            <w:vAlign w:val="bottom"/>
            <w:tcBorders>
              <w:right w:val="single" w:sz="8" w:color="F4F3F3"/>
            </w:tcBorders>
            <w:shd w:val="clear" w:color="auto" w:fill="F4F3F3"/>
          </w:tcPr>
          <w:p>
            <w:pPr>
              <w:spacing w:after="0"/>
              <w:rPr>
                <w:sz w:val="12"/>
                <w:szCs w:val="12"/>
                <w:color w:val="auto"/>
              </w:rPr>
            </w:pPr>
          </w:p>
        </w:tc>
        <w:tc>
          <w:tcPr>
            <w:tcW w:w="140" w:type="dxa"/>
            <w:vAlign w:val="bottom"/>
            <w:shd w:val="clear" w:color="auto" w:fill="F4F3F3"/>
          </w:tcPr>
          <w:p>
            <w:pPr>
              <w:spacing w:after="0"/>
              <w:rPr>
                <w:sz w:val="12"/>
                <w:szCs w:val="12"/>
                <w:color w:val="auto"/>
              </w:rPr>
            </w:pPr>
          </w:p>
        </w:tc>
        <w:tc>
          <w:tcPr>
            <w:tcW w:w="160" w:type="dxa"/>
            <w:vAlign w:val="bottom"/>
            <w:shd w:val="clear" w:color="auto" w:fill="F4F3F3"/>
          </w:tcPr>
          <w:p>
            <w:pPr>
              <w:spacing w:after="0"/>
              <w:rPr>
                <w:sz w:val="12"/>
                <w:szCs w:val="12"/>
                <w:color w:val="auto"/>
              </w:rPr>
            </w:pPr>
          </w:p>
        </w:tc>
        <w:tc>
          <w:tcPr>
            <w:tcW w:w="280" w:type="dxa"/>
            <w:vAlign w:val="bottom"/>
            <w:tcBorders>
              <w:left w:val="single" w:sz="8" w:color="F4F3F3"/>
              <w:right w:val="single" w:sz="8" w:color="F4F3F3"/>
            </w:tcBorders>
            <w:shd w:val="clear" w:color="auto" w:fill="F4F3F3"/>
          </w:tcPr>
          <w:p>
            <w:pPr>
              <w:spacing w:after="0"/>
              <w:rPr>
                <w:sz w:val="12"/>
                <w:szCs w:val="12"/>
                <w:color w:val="auto"/>
              </w:rPr>
            </w:pPr>
          </w:p>
        </w:tc>
        <w:tc>
          <w:tcPr>
            <w:tcW w:w="260" w:type="dxa"/>
            <w:vAlign w:val="bottom"/>
            <w:shd w:val="clear" w:color="auto" w:fill="F4F3F3"/>
          </w:tcPr>
          <w:p>
            <w:pPr>
              <w:spacing w:after="0"/>
              <w:rPr>
                <w:sz w:val="12"/>
                <w:szCs w:val="12"/>
                <w:color w:val="auto"/>
              </w:rPr>
            </w:pPr>
          </w:p>
        </w:tc>
        <w:tc>
          <w:tcPr>
            <w:tcW w:w="240" w:type="dxa"/>
            <w:vAlign w:val="bottom"/>
            <w:shd w:val="clear" w:color="auto" w:fill="F4F3F3"/>
          </w:tcPr>
          <w:p>
            <w:pPr>
              <w:spacing w:after="0"/>
              <w:rPr>
                <w:sz w:val="12"/>
                <w:szCs w:val="12"/>
                <w:color w:val="auto"/>
              </w:rPr>
            </w:pPr>
          </w:p>
        </w:tc>
        <w:tc>
          <w:tcPr>
            <w:tcW w:w="20" w:type="dxa"/>
            <w:vAlign w:val="bottom"/>
            <w:shd w:val="clear" w:color="auto" w:fill="F4F3F3"/>
          </w:tcPr>
          <w:p>
            <w:pPr>
              <w:spacing w:after="0"/>
              <w:rPr>
                <w:sz w:val="12"/>
                <w:szCs w:val="12"/>
                <w:color w:val="auto"/>
              </w:rPr>
            </w:pPr>
          </w:p>
        </w:tc>
        <w:tc>
          <w:tcPr>
            <w:tcW w:w="100" w:type="dxa"/>
            <w:vAlign w:val="bottom"/>
            <w:shd w:val="clear" w:color="auto" w:fill="F4F3F3"/>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5500" w:type="dxa"/>
            <w:vAlign w:val="bottom"/>
            <w:vMerge w:val="continue"/>
            <w:shd w:val="clear" w:color="auto" w:fill="F4F3F3"/>
          </w:tcPr>
          <w:p>
            <w:pPr>
              <w:spacing w:after="0"/>
              <w:rPr>
                <w:sz w:val="7"/>
                <w:szCs w:val="7"/>
                <w:color w:val="auto"/>
              </w:rPr>
            </w:pPr>
          </w:p>
        </w:tc>
        <w:tc>
          <w:tcPr>
            <w:tcW w:w="500" w:type="dxa"/>
            <w:vAlign w:val="bottom"/>
            <w:vMerge w:val="restart"/>
            <w:shd w:val="clear" w:color="auto" w:fill="F4F3F3"/>
          </w:tcPr>
          <w:p>
            <w:pPr>
              <w:jc w:val="center"/>
              <w:ind w:left="28"/>
              <w:spacing w:after="0"/>
              <w:rPr>
                <w:sz w:val="20"/>
                <w:szCs w:val="20"/>
                <w:color w:val="auto"/>
              </w:rPr>
            </w:pPr>
            <w:r>
              <w:rPr>
                <w:rFonts w:ascii="Arial" w:cs="Arial" w:eastAsia="Arial" w:hAnsi="Arial"/>
                <w:sz w:val="14"/>
                <w:szCs w:val="14"/>
                <w:color w:val="auto"/>
              </w:rPr>
              <w:t>59</w:t>
            </w:r>
          </w:p>
        </w:tc>
        <w:tc>
          <w:tcPr>
            <w:tcW w:w="740" w:type="dxa"/>
            <w:vAlign w:val="bottom"/>
            <w:vMerge w:val="restart"/>
            <w:shd w:val="clear" w:color="auto" w:fill="F4F3F3"/>
          </w:tcPr>
          <w:p>
            <w:pPr>
              <w:jc w:val="center"/>
              <w:spacing w:after="0"/>
              <w:rPr>
                <w:sz w:val="20"/>
                <w:szCs w:val="20"/>
                <w:color w:val="auto"/>
              </w:rPr>
            </w:pPr>
            <w:r>
              <w:rPr>
                <w:rFonts w:ascii="Arial" w:cs="Arial" w:eastAsia="Arial" w:hAnsi="Arial"/>
                <w:sz w:val="14"/>
                <w:szCs w:val="14"/>
                <w:color w:val="auto"/>
              </w:rPr>
              <w:t>2002</w:t>
            </w:r>
          </w:p>
        </w:tc>
        <w:tc>
          <w:tcPr>
            <w:tcW w:w="1000" w:type="dxa"/>
            <w:vAlign w:val="bottom"/>
            <w:vMerge w:val="restart"/>
            <w:shd w:val="clear" w:color="auto" w:fill="F4F3F3"/>
          </w:tcPr>
          <w:p>
            <w:pPr>
              <w:jc w:val="center"/>
              <w:spacing w:after="0"/>
              <w:rPr>
                <w:sz w:val="20"/>
                <w:szCs w:val="20"/>
                <w:color w:val="auto"/>
              </w:rPr>
            </w:pPr>
            <w:r>
              <w:rPr>
                <w:rFonts w:ascii="Arial" w:cs="Arial" w:eastAsia="Arial" w:hAnsi="Arial"/>
                <w:sz w:val="14"/>
                <w:szCs w:val="14"/>
                <w:color w:val="auto"/>
                <w:w w:val="90"/>
              </w:rPr>
              <w:t>Yes</w:t>
            </w:r>
          </w:p>
        </w:tc>
        <w:tc>
          <w:tcPr>
            <w:tcW w:w="160" w:type="dxa"/>
            <w:vAlign w:val="bottom"/>
            <w:shd w:val="clear" w:color="auto" w:fill="F4F3F3"/>
          </w:tcPr>
          <w:p>
            <w:pPr>
              <w:spacing w:after="0"/>
              <w:rPr>
                <w:sz w:val="7"/>
                <w:szCs w:val="7"/>
                <w:color w:val="auto"/>
              </w:rPr>
            </w:pPr>
          </w:p>
        </w:tc>
        <w:tc>
          <w:tcPr>
            <w:tcW w:w="240" w:type="dxa"/>
            <w:vAlign w:val="bottom"/>
            <w:tcBorders>
              <w:right w:val="single" w:sz="8" w:color="F4F3F3"/>
            </w:tcBorders>
            <w:shd w:val="clear" w:color="auto" w:fill="F4F3F3"/>
          </w:tcPr>
          <w:p>
            <w:pPr>
              <w:spacing w:after="0"/>
              <w:rPr>
                <w:sz w:val="7"/>
                <w:szCs w:val="7"/>
                <w:color w:val="auto"/>
              </w:rPr>
            </w:pPr>
          </w:p>
        </w:tc>
        <w:tc>
          <w:tcPr>
            <w:tcW w:w="260" w:type="dxa"/>
            <w:vAlign w:val="bottom"/>
            <w:shd w:val="clear" w:color="auto" w:fill="F4F3F3"/>
          </w:tcPr>
          <w:p>
            <w:pPr>
              <w:spacing w:after="0"/>
              <w:rPr>
                <w:sz w:val="7"/>
                <w:szCs w:val="7"/>
                <w:color w:val="auto"/>
              </w:rPr>
            </w:pPr>
          </w:p>
        </w:tc>
        <w:tc>
          <w:tcPr>
            <w:tcW w:w="280" w:type="dxa"/>
            <w:vAlign w:val="bottom"/>
            <w:tcBorders>
              <w:left w:val="single" w:sz="8" w:color="F4F3F3"/>
              <w:right w:val="single" w:sz="8" w:color="F4F3F3"/>
            </w:tcBorders>
            <w:shd w:val="clear" w:color="auto" w:fill="F4F3F3"/>
          </w:tcPr>
          <w:p>
            <w:pPr>
              <w:spacing w:after="0"/>
              <w:rPr>
                <w:sz w:val="7"/>
                <w:szCs w:val="7"/>
                <w:color w:val="auto"/>
              </w:rPr>
            </w:pPr>
          </w:p>
        </w:tc>
        <w:tc>
          <w:tcPr>
            <w:tcW w:w="260" w:type="dxa"/>
            <w:vAlign w:val="bottom"/>
            <w:shd w:val="clear" w:color="auto" w:fill="F4F3F3"/>
          </w:tcPr>
          <w:p>
            <w:pPr>
              <w:spacing w:after="0"/>
              <w:rPr>
                <w:sz w:val="7"/>
                <w:szCs w:val="7"/>
                <w:color w:val="auto"/>
              </w:rPr>
            </w:pPr>
          </w:p>
        </w:tc>
        <w:tc>
          <w:tcPr>
            <w:tcW w:w="260" w:type="dxa"/>
            <w:vAlign w:val="bottom"/>
            <w:tcBorders>
              <w:right w:val="single" w:sz="8" w:color="7F7F7F"/>
            </w:tcBorders>
            <w:vMerge w:val="restart"/>
            <w:shd w:val="clear" w:color="auto" w:fill="7F7F7F"/>
          </w:tcPr>
          <w:p>
            <w:pPr>
              <w:jc w:val="right"/>
              <w:spacing w:after="0" w:line="182" w:lineRule="exact"/>
              <w:rPr>
                <w:sz w:val="20"/>
                <w:szCs w:val="20"/>
                <w:color w:val="auto"/>
              </w:rPr>
            </w:pPr>
            <w:r>
              <w:rPr>
                <w:rFonts w:ascii="Arial" w:cs="Arial" w:eastAsia="Arial" w:hAnsi="Arial"/>
                <w:sz w:val="18"/>
                <w:szCs w:val="18"/>
                <w:b w:val="1"/>
                <w:bCs w:val="1"/>
                <w:color w:val="FFFFFF"/>
              </w:rPr>
              <w:t>M</w:t>
            </w:r>
          </w:p>
        </w:tc>
        <w:tc>
          <w:tcPr>
            <w:tcW w:w="340" w:type="dxa"/>
            <w:vAlign w:val="bottom"/>
            <w:tcBorders>
              <w:right w:val="single" w:sz="8" w:color="F4F3F3"/>
            </w:tcBorders>
            <w:shd w:val="clear" w:color="auto" w:fill="F4F3F3"/>
          </w:tcPr>
          <w:p>
            <w:pPr>
              <w:spacing w:after="0"/>
              <w:rPr>
                <w:sz w:val="7"/>
                <w:szCs w:val="7"/>
                <w:color w:val="auto"/>
              </w:rPr>
            </w:pPr>
          </w:p>
        </w:tc>
        <w:tc>
          <w:tcPr>
            <w:tcW w:w="260" w:type="dxa"/>
            <w:vAlign w:val="bottom"/>
            <w:tcBorders>
              <w:right w:val="single" w:sz="8" w:color="F4F3F3"/>
            </w:tcBorders>
            <w:vMerge w:val="restart"/>
            <w:shd w:val="clear" w:color="auto" w:fill="00358E"/>
          </w:tcPr>
          <w:p>
            <w:pPr>
              <w:ind w:left="60"/>
              <w:spacing w:after="0" w:line="182" w:lineRule="exact"/>
              <w:rPr>
                <w:sz w:val="20"/>
                <w:szCs w:val="20"/>
                <w:color w:val="auto"/>
              </w:rPr>
            </w:pPr>
            <w:r>
              <w:rPr>
                <w:rFonts w:ascii="Arial" w:cs="Arial" w:eastAsia="Arial" w:hAnsi="Arial"/>
                <w:sz w:val="18"/>
                <w:szCs w:val="18"/>
                <w:b w:val="1"/>
                <w:bCs w:val="1"/>
                <w:color w:val="FFFFFF"/>
              </w:rPr>
              <w:t>C</w:t>
            </w:r>
          </w:p>
        </w:tc>
        <w:tc>
          <w:tcPr>
            <w:tcW w:w="140" w:type="dxa"/>
            <w:vAlign w:val="bottom"/>
            <w:shd w:val="clear" w:color="auto" w:fill="F4F3F3"/>
          </w:tcPr>
          <w:p>
            <w:pPr>
              <w:spacing w:after="0"/>
              <w:rPr>
                <w:sz w:val="7"/>
                <w:szCs w:val="7"/>
                <w:color w:val="auto"/>
              </w:rPr>
            </w:pPr>
          </w:p>
        </w:tc>
        <w:tc>
          <w:tcPr>
            <w:tcW w:w="160" w:type="dxa"/>
            <w:vAlign w:val="bottom"/>
            <w:shd w:val="clear" w:color="auto" w:fill="F4F3F3"/>
          </w:tcPr>
          <w:p>
            <w:pPr>
              <w:spacing w:after="0"/>
              <w:rPr>
                <w:sz w:val="7"/>
                <w:szCs w:val="7"/>
                <w:color w:val="auto"/>
              </w:rPr>
            </w:pPr>
          </w:p>
        </w:tc>
        <w:tc>
          <w:tcPr>
            <w:tcW w:w="280" w:type="dxa"/>
            <w:vAlign w:val="bottom"/>
            <w:tcBorders>
              <w:left w:val="single" w:sz="8" w:color="F4F3F3"/>
              <w:right w:val="single" w:sz="8" w:color="F4F3F3"/>
            </w:tcBorders>
            <w:shd w:val="clear" w:color="auto" w:fill="F4F3F3"/>
          </w:tcPr>
          <w:p>
            <w:pPr>
              <w:spacing w:after="0"/>
              <w:rPr>
                <w:sz w:val="7"/>
                <w:szCs w:val="7"/>
                <w:color w:val="auto"/>
              </w:rPr>
            </w:pPr>
          </w:p>
        </w:tc>
        <w:tc>
          <w:tcPr>
            <w:tcW w:w="260" w:type="dxa"/>
            <w:vAlign w:val="bottom"/>
            <w:shd w:val="clear" w:color="auto" w:fill="F4F3F3"/>
          </w:tcPr>
          <w:p>
            <w:pPr>
              <w:spacing w:after="0"/>
              <w:rPr>
                <w:sz w:val="7"/>
                <w:szCs w:val="7"/>
                <w:color w:val="auto"/>
              </w:rPr>
            </w:pPr>
          </w:p>
        </w:tc>
        <w:tc>
          <w:tcPr>
            <w:tcW w:w="260" w:type="dxa"/>
            <w:vAlign w:val="bottom"/>
            <w:gridSpan w:val="2"/>
            <w:vMerge w:val="restart"/>
            <w:shd w:val="clear" w:color="auto" w:fill="7F7F7F"/>
          </w:tcPr>
          <w:p>
            <w:pPr>
              <w:jc w:val="right"/>
              <w:ind w:right="60"/>
              <w:spacing w:after="0" w:line="182" w:lineRule="exact"/>
              <w:rPr>
                <w:sz w:val="20"/>
                <w:szCs w:val="20"/>
                <w:color w:val="auto"/>
              </w:rPr>
            </w:pPr>
            <w:r>
              <w:rPr>
                <w:rFonts w:ascii="Arial" w:cs="Arial" w:eastAsia="Arial" w:hAnsi="Arial"/>
                <w:sz w:val="18"/>
                <w:szCs w:val="18"/>
                <w:b w:val="1"/>
                <w:bCs w:val="1"/>
                <w:color w:val="FFFFFF"/>
              </w:rPr>
              <w:t>M</w:t>
            </w:r>
          </w:p>
        </w:tc>
        <w:tc>
          <w:tcPr>
            <w:tcW w:w="100" w:type="dxa"/>
            <w:vAlign w:val="bottom"/>
            <w:shd w:val="clear" w:color="auto" w:fill="F4F3F3"/>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5500" w:type="dxa"/>
            <w:vAlign w:val="bottom"/>
            <w:vMerge w:val="restart"/>
            <w:shd w:val="clear" w:color="auto" w:fill="F4F3F3"/>
          </w:tcPr>
          <w:p>
            <w:pPr>
              <w:ind w:left="180"/>
              <w:spacing w:after="0"/>
              <w:rPr>
                <w:sz w:val="20"/>
                <w:szCs w:val="20"/>
                <w:color w:val="auto"/>
              </w:rPr>
            </w:pPr>
            <w:r>
              <w:rPr>
                <w:rFonts w:ascii="Arial" w:cs="Arial" w:eastAsia="Arial" w:hAnsi="Arial"/>
                <w:sz w:val="14"/>
                <w:szCs w:val="14"/>
                <w:i w:val="1"/>
                <w:iCs w:val="1"/>
                <w:color w:val="auto"/>
              </w:rPr>
              <w:t>President, Emerald Creek Group, LLC</w:t>
            </w:r>
          </w:p>
        </w:tc>
        <w:tc>
          <w:tcPr>
            <w:tcW w:w="500" w:type="dxa"/>
            <w:vAlign w:val="bottom"/>
            <w:vMerge w:val="continue"/>
            <w:shd w:val="clear" w:color="auto" w:fill="F4F3F3"/>
          </w:tcPr>
          <w:p>
            <w:pPr>
              <w:spacing w:after="0"/>
              <w:rPr>
                <w:sz w:val="10"/>
                <w:szCs w:val="10"/>
                <w:color w:val="auto"/>
              </w:rPr>
            </w:pPr>
          </w:p>
        </w:tc>
        <w:tc>
          <w:tcPr>
            <w:tcW w:w="740" w:type="dxa"/>
            <w:vAlign w:val="bottom"/>
            <w:vMerge w:val="continue"/>
            <w:shd w:val="clear" w:color="auto" w:fill="F4F3F3"/>
          </w:tcPr>
          <w:p>
            <w:pPr>
              <w:spacing w:after="0"/>
              <w:rPr>
                <w:sz w:val="10"/>
                <w:szCs w:val="10"/>
                <w:color w:val="auto"/>
              </w:rPr>
            </w:pPr>
          </w:p>
        </w:tc>
        <w:tc>
          <w:tcPr>
            <w:tcW w:w="1000" w:type="dxa"/>
            <w:vAlign w:val="bottom"/>
            <w:vMerge w:val="continue"/>
            <w:shd w:val="clear" w:color="auto" w:fill="F4F3F3"/>
          </w:tcPr>
          <w:p>
            <w:pPr>
              <w:spacing w:after="0"/>
              <w:rPr>
                <w:sz w:val="10"/>
                <w:szCs w:val="10"/>
                <w:color w:val="auto"/>
              </w:rPr>
            </w:pPr>
          </w:p>
        </w:tc>
        <w:tc>
          <w:tcPr>
            <w:tcW w:w="160" w:type="dxa"/>
            <w:vAlign w:val="bottom"/>
            <w:shd w:val="clear" w:color="auto" w:fill="F4F3F3"/>
          </w:tcPr>
          <w:p>
            <w:pPr>
              <w:spacing w:after="0"/>
              <w:rPr>
                <w:sz w:val="10"/>
                <w:szCs w:val="10"/>
                <w:color w:val="auto"/>
              </w:rPr>
            </w:pPr>
          </w:p>
        </w:tc>
        <w:tc>
          <w:tcPr>
            <w:tcW w:w="240" w:type="dxa"/>
            <w:vAlign w:val="bottom"/>
            <w:tcBorders>
              <w:right w:val="single" w:sz="8" w:color="F4F3F3"/>
            </w:tcBorders>
            <w:shd w:val="clear" w:color="auto" w:fill="F4F3F3"/>
          </w:tcPr>
          <w:p>
            <w:pPr>
              <w:spacing w:after="0"/>
              <w:rPr>
                <w:sz w:val="10"/>
                <w:szCs w:val="10"/>
                <w:color w:val="auto"/>
              </w:rPr>
            </w:pPr>
          </w:p>
        </w:tc>
        <w:tc>
          <w:tcPr>
            <w:tcW w:w="260" w:type="dxa"/>
            <w:vAlign w:val="bottom"/>
            <w:shd w:val="clear" w:color="auto" w:fill="F4F3F3"/>
          </w:tcPr>
          <w:p>
            <w:pPr>
              <w:spacing w:after="0"/>
              <w:rPr>
                <w:sz w:val="10"/>
                <w:szCs w:val="10"/>
                <w:color w:val="auto"/>
              </w:rPr>
            </w:pPr>
          </w:p>
        </w:tc>
        <w:tc>
          <w:tcPr>
            <w:tcW w:w="280" w:type="dxa"/>
            <w:vAlign w:val="bottom"/>
            <w:tcBorders>
              <w:left w:val="single" w:sz="8" w:color="F4F3F3"/>
              <w:right w:val="single" w:sz="8" w:color="F4F3F3"/>
            </w:tcBorders>
            <w:shd w:val="clear" w:color="auto" w:fill="F4F3F3"/>
          </w:tcPr>
          <w:p>
            <w:pPr>
              <w:spacing w:after="0"/>
              <w:rPr>
                <w:sz w:val="10"/>
                <w:szCs w:val="10"/>
                <w:color w:val="auto"/>
              </w:rPr>
            </w:pPr>
          </w:p>
        </w:tc>
        <w:tc>
          <w:tcPr>
            <w:tcW w:w="260" w:type="dxa"/>
            <w:vAlign w:val="bottom"/>
            <w:shd w:val="clear" w:color="auto" w:fill="F4F3F3"/>
          </w:tcPr>
          <w:p>
            <w:pPr>
              <w:spacing w:after="0"/>
              <w:rPr>
                <w:sz w:val="10"/>
                <w:szCs w:val="10"/>
                <w:color w:val="auto"/>
              </w:rPr>
            </w:pPr>
          </w:p>
        </w:tc>
        <w:tc>
          <w:tcPr>
            <w:tcW w:w="260" w:type="dxa"/>
            <w:vAlign w:val="bottom"/>
            <w:tcBorders>
              <w:right w:val="single" w:sz="8" w:color="7F7F7F"/>
            </w:tcBorders>
            <w:vMerge w:val="continue"/>
            <w:shd w:val="clear" w:color="auto" w:fill="7F7F7F"/>
          </w:tcPr>
          <w:p>
            <w:pPr>
              <w:spacing w:after="0"/>
              <w:rPr>
                <w:sz w:val="10"/>
                <w:szCs w:val="10"/>
                <w:color w:val="auto"/>
              </w:rPr>
            </w:pPr>
          </w:p>
        </w:tc>
        <w:tc>
          <w:tcPr>
            <w:tcW w:w="340" w:type="dxa"/>
            <w:vAlign w:val="bottom"/>
            <w:tcBorders>
              <w:right w:val="single" w:sz="8" w:color="F4F3F3"/>
            </w:tcBorders>
            <w:vMerge w:val="restart"/>
            <w:shd w:val="clear" w:color="auto" w:fill="F4F3F3"/>
          </w:tcPr>
          <w:p>
            <w:pPr>
              <w:spacing w:after="0"/>
              <w:rPr>
                <w:sz w:val="10"/>
                <w:szCs w:val="10"/>
                <w:color w:val="auto"/>
              </w:rPr>
            </w:pPr>
          </w:p>
        </w:tc>
        <w:tc>
          <w:tcPr>
            <w:tcW w:w="260" w:type="dxa"/>
            <w:vAlign w:val="bottom"/>
            <w:tcBorders>
              <w:right w:val="single" w:sz="8" w:color="F4F3F3"/>
            </w:tcBorders>
            <w:vMerge w:val="continue"/>
            <w:shd w:val="clear" w:color="auto" w:fill="00358E"/>
          </w:tcPr>
          <w:p>
            <w:pPr>
              <w:spacing w:after="0"/>
              <w:rPr>
                <w:sz w:val="10"/>
                <w:szCs w:val="10"/>
                <w:color w:val="auto"/>
              </w:rPr>
            </w:pPr>
          </w:p>
        </w:tc>
        <w:tc>
          <w:tcPr>
            <w:tcW w:w="140" w:type="dxa"/>
            <w:vAlign w:val="bottom"/>
            <w:vMerge w:val="restart"/>
            <w:shd w:val="clear" w:color="auto" w:fill="F4F3F3"/>
          </w:tcPr>
          <w:p>
            <w:pPr>
              <w:spacing w:after="0"/>
              <w:rPr>
                <w:sz w:val="10"/>
                <w:szCs w:val="10"/>
                <w:color w:val="auto"/>
              </w:rPr>
            </w:pPr>
          </w:p>
        </w:tc>
        <w:tc>
          <w:tcPr>
            <w:tcW w:w="160" w:type="dxa"/>
            <w:vAlign w:val="bottom"/>
            <w:shd w:val="clear" w:color="auto" w:fill="F4F3F3"/>
          </w:tcPr>
          <w:p>
            <w:pPr>
              <w:spacing w:after="0"/>
              <w:rPr>
                <w:sz w:val="10"/>
                <w:szCs w:val="10"/>
                <w:color w:val="auto"/>
              </w:rPr>
            </w:pPr>
          </w:p>
        </w:tc>
        <w:tc>
          <w:tcPr>
            <w:tcW w:w="280" w:type="dxa"/>
            <w:vAlign w:val="bottom"/>
            <w:tcBorders>
              <w:left w:val="single" w:sz="8" w:color="F4F3F3"/>
              <w:right w:val="single" w:sz="8" w:color="F4F3F3"/>
            </w:tcBorders>
            <w:shd w:val="clear" w:color="auto" w:fill="F4F3F3"/>
          </w:tcPr>
          <w:p>
            <w:pPr>
              <w:spacing w:after="0"/>
              <w:rPr>
                <w:sz w:val="10"/>
                <w:szCs w:val="10"/>
                <w:color w:val="auto"/>
              </w:rPr>
            </w:pPr>
          </w:p>
        </w:tc>
        <w:tc>
          <w:tcPr>
            <w:tcW w:w="260" w:type="dxa"/>
            <w:vAlign w:val="bottom"/>
            <w:shd w:val="clear" w:color="auto" w:fill="F4F3F3"/>
          </w:tcPr>
          <w:p>
            <w:pPr>
              <w:spacing w:after="0"/>
              <w:rPr>
                <w:sz w:val="10"/>
                <w:szCs w:val="10"/>
                <w:color w:val="auto"/>
              </w:rPr>
            </w:pPr>
          </w:p>
        </w:tc>
        <w:tc>
          <w:tcPr>
            <w:tcW w:w="260" w:type="dxa"/>
            <w:vAlign w:val="bottom"/>
            <w:gridSpan w:val="2"/>
            <w:vMerge w:val="continue"/>
            <w:shd w:val="clear" w:color="auto" w:fill="7F7F7F"/>
          </w:tcPr>
          <w:p>
            <w:pPr>
              <w:spacing w:after="0"/>
              <w:rPr>
                <w:sz w:val="10"/>
                <w:szCs w:val="10"/>
                <w:color w:val="auto"/>
              </w:rPr>
            </w:pPr>
          </w:p>
        </w:tc>
        <w:tc>
          <w:tcPr>
            <w:tcW w:w="100" w:type="dxa"/>
            <w:vAlign w:val="bottom"/>
            <w:vMerge w:val="restart"/>
            <w:shd w:val="clear" w:color="auto" w:fill="F4F3F3"/>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5500" w:type="dxa"/>
            <w:vAlign w:val="bottom"/>
            <w:vMerge w:val="continue"/>
            <w:shd w:val="clear" w:color="auto" w:fill="F4F3F3"/>
          </w:tcPr>
          <w:p>
            <w:pPr>
              <w:spacing w:after="0"/>
              <w:rPr>
                <w:sz w:val="6"/>
                <w:szCs w:val="6"/>
                <w:color w:val="auto"/>
              </w:rPr>
            </w:pPr>
          </w:p>
        </w:tc>
        <w:tc>
          <w:tcPr>
            <w:tcW w:w="500" w:type="dxa"/>
            <w:vAlign w:val="bottom"/>
            <w:shd w:val="clear" w:color="auto" w:fill="F4F3F3"/>
          </w:tcPr>
          <w:p>
            <w:pPr>
              <w:spacing w:after="0"/>
              <w:rPr>
                <w:sz w:val="6"/>
                <w:szCs w:val="6"/>
                <w:color w:val="auto"/>
              </w:rPr>
            </w:pPr>
          </w:p>
        </w:tc>
        <w:tc>
          <w:tcPr>
            <w:tcW w:w="740" w:type="dxa"/>
            <w:vAlign w:val="bottom"/>
            <w:shd w:val="clear" w:color="auto" w:fill="F4F3F3"/>
          </w:tcPr>
          <w:p>
            <w:pPr>
              <w:spacing w:after="0"/>
              <w:rPr>
                <w:sz w:val="6"/>
                <w:szCs w:val="6"/>
                <w:color w:val="auto"/>
              </w:rPr>
            </w:pPr>
          </w:p>
        </w:tc>
        <w:tc>
          <w:tcPr>
            <w:tcW w:w="1000" w:type="dxa"/>
            <w:vAlign w:val="bottom"/>
            <w:shd w:val="clear" w:color="auto" w:fill="F4F3F3"/>
          </w:tcPr>
          <w:p>
            <w:pPr>
              <w:spacing w:after="0"/>
              <w:rPr>
                <w:sz w:val="6"/>
                <w:szCs w:val="6"/>
                <w:color w:val="auto"/>
              </w:rPr>
            </w:pPr>
          </w:p>
        </w:tc>
        <w:tc>
          <w:tcPr>
            <w:tcW w:w="160" w:type="dxa"/>
            <w:vAlign w:val="bottom"/>
            <w:shd w:val="clear" w:color="auto" w:fill="F4F3F3"/>
          </w:tcPr>
          <w:p>
            <w:pPr>
              <w:spacing w:after="0"/>
              <w:rPr>
                <w:sz w:val="6"/>
                <w:szCs w:val="6"/>
                <w:color w:val="auto"/>
              </w:rPr>
            </w:pPr>
          </w:p>
        </w:tc>
        <w:tc>
          <w:tcPr>
            <w:tcW w:w="240" w:type="dxa"/>
            <w:vAlign w:val="bottom"/>
            <w:tcBorders>
              <w:right w:val="single" w:sz="8" w:color="F4F3F3"/>
            </w:tcBorders>
            <w:shd w:val="clear" w:color="auto" w:fill="F4F3F3"/>
          </w:tcPr>
          <w:p>
            <w:pPr>
              <w:spacing w:after="0"/>
              <w:rPr>
                <w:sz w:val="6"/>
                <w:szCs w:val="6"/>
                <w:color w:val="auto"/>
              </w:rPr>
            </w:pPr>
          </w:p>
        </w:tc>
        <w:tc>
          <w:tcPr>
            <w:tcW w:w="260" w:type="dxa"/>
            <w:vAlign w:val="bottom"/>
            <w:shd w:val="clear" w:color="auto" w:fill="F4F3F3"/>
          </w:tcPr>
          <w:p>
            <w:pPr>
              <w:spacing w:after="0"/>
              <w:rPr>
                <w:sz w:val="6"/>
                <w:szCs w:val="6"/>
                <w:color w:val="auto"/>
              </w:rPr>
            </w:pPr>
          </w:p>
        </w:tc>
        <w:tc>
          <w:tcPr>
            <w:tcW w:w="280" w:type="dxa"/>
            <w:vAlign w:val="bottom"/>
            <w:tcBorders>
              <w:left w:val="single" w:sz="8" w:color="F4F3F3"/>
              <w:right w:val="single" w:sz="8" w:color="F4F3F3"/>
            </w:tcBorders>
            <w:shd w:val="clear" w:color="auto" w:fill="F4F3F3"/>
          </w:tcPr>
          <w:p>
            <w:pPr>
              <w:spacing w:after="0"/>
              <w:rPr>
                <w:sz w:val="6"/>
                <w:szCs w:val="6"/>
                <w:color w:val="auto"/>
              </w:rPr>
            </w:pPr>
          </w:p>
        </w:tc>
        <w:tc>
          <w:tcPr>
            <w:tcW w:w="260" w:type="dxa"/>
            <w:vAlign w:val="bottom"/>
            <w:shd w:val="clear" w:color="auto" w:fill="F4F3F3"/>
          </w:tcPr>
          <w:p>
            <w:pPr>
              <w:spacing w:after="0"/>
              <w:rPr>
                <w:sz w:val="6"/>
                <w:szCs w:val="6"/>
                <w:color w:val="auto"/>
              </w:rPr>
            </w:pPr>
          </w:p>
        </w:tc>
        <w:tc>
          <w:tcPr>
            <w:tcW w:w="260" w:type="dxa"/>
            <w:vAlign w:val="bottom"/>
            <w:tcBorders>
              <w:right w:val="single" w:sz="8" w:color="F4F3F3"/>
            </w:tcBorders>
            <w:shd w:val="clear" w:color="auto" w:fill="F4F3F3"/>
          </w:tcPr>
          <w:p>
            <w:pPr>
              <w:spacing w:after="0"/>
              <w:rPr>
                <w:sz w:val="6"/>
                <w:szCs w:val="6"/>
                <w:color w:val="auto"/>
              </w:rPr>
            </w:pPr>
          </w:p>
        </w:tc>
        <w:tc>
          <w:tcPr>
            <w:tcW w:w="340" w:type="dxa"/>
            <w:vAlign w:val="bottom"/>
            <w:tcBorders>
              <w:right w:val="single" w:sz="8" w:color="F4F3F3"/>
            </w:tcBorders>
            <w:vMerge w:val="continue"/>
            <w:shd w:val="clear" w:color="auto" w:fill="F4F3F3"/>
          </w:tcPr>
          <w:p>
            <w:pPr>
              <w:spacing w:after="0"/>
              <w:rPr>
                <w:sz w:val="6"/>
                <w:szCs w:val="6"/>
                <w:color w:val="auto"/>
              </w:rPr>
            </w:pPr>
          </w:p>
        </w:tc>
        <w:tc>
          <w:tcPr>
            <w:tcW w:w="260" w:type="dxa"/>
            <w:vAlign w:val="bottom"/>
            <w:tcBorders>
              <w:right w:val="single" w:sz="8" w:color="F4F3F3"/>
            </w:tcBorders>
            <w:shd w:val="clear" w:color="auto" w:fill="F4F3F3"/>
          </w:tcPr>
          <w:p>
            <w:pPr>
              <w:spacing w:after="0"/>
              <w:rPr>
                <w:sz w:val="6"/>
                <w:szCs w:val="6"/>
                <w:color w:val="auto"/>
              </w:rPr>
            </w:pPr>
          </w:p>
        </w:tc>
        <w:tc>
          <w:tcPr>
            <w:tcW w:w="140" w:type="dxa"/>
            <w:vAlign w:val="bottom"/>
            <w:vMerge w:val="continue"/>
            <w:shd w:val="clear" w:color="auto" w:fill="F4F3F3"/>
          </w:tcPr>
          <w:p>
            <w:pPr>
              <w:spacing w:after="0"/>
              <w:rPr>
                <w:sz w:val="6"/>
                <w:szCs w:val="6"/>
                <w:color w:val="auto"/>
              </w:rPr>
            </w:pPr>
          </w:p>
        </w:tc>
        <w:tc>
          <w:tcPr>
            <w:tcW w:w="160" w:type="dxa"/>
            <w:vAlign w:val="bottom"/>
            <w:shd w:val="clear" w:color="auto" w:fill="F4F3F3"/>
          </w:tcPr>
          <w:p>
            <w:pPr>
              <w:spacing w:after="0"/>
              <w:rPr>
                <w:sz w:val="6"/>
                <w:szCs w:val="6"/>
                <w:color w:val="auto"/>
              </w:rPr>
            </w:pPr>
          </w:p>
        </w:tc>
        <w:tc>
          <w:tcPr>
            <w:tcW w:w="280" w:type="dxa"/>
            <w:vAlign w:val="bottom"/>
            <w:tcBorders>
              <w:left w:val="single" w:sz="8" w:color="F4F3F3"/>
              <w:right w:val="single" w:sz="8" w:color="F4F3F3"/>
            </w:tcBorders>
            <w:shd w:val="clear" w:color="auto" w:fill="F4F3F3"/>
          </w:tcPr>
          <w:p>
            <w:pPr>
              <w:spacing w:after="0"/>
              <w:rPr>
                <w:sz w:val="6"/>
                <w:szCs w:val="6"/>
                <w:color w:val="auto"/>
              </w:rPr>
            </w:pPr>
          </w:p>
        </w:tc>
        <w:tc>
          <w:tcPr>
            <w:tcW w:w="260" w:type="dxa"/>
            <w:vAlign w:val="bottom"/>
            <w:shd w:val="clear" w:color="auto" w:fill="F4F3F3"/>
          </w:tcPr>
          <w:p>
            <w:pPr>
              <w:spacing w:after="0"/>
              <w:rPr>
                <w:sz w:val="6"/>
                <w:szCs w:val="6"/>
                <w:color w:val="auto"/>
              </w:rPr>
            </w:pPr>
          </w:p>
        </w:tc>
        <w:tc>
          <w:tcPr>
            <w:tcW w:w="260" w:type="dxa"/>
            <w:vAlign w:val="bottom"/>
            <w:gridSpan w:val="2"/>
            <w:shd w:val="clear" w:color="auto" w:fill="F4F3F3"/>
          </w:tcPr>
          <w:p>
            <w:pPr>
              <w:spacing w:after="0"/>
              <w:rPr>
                <w:sz w:val="6"/>
                <w:szCs w:val="6"/>
                <w:color w:val="auto"/>
              </w:rPr>
            </w:pPr>
          </w:p>
        </w:tc>
        <w:tc>
          <w:tcPr>
            <w:tcW w:w="100" w:type="dxa"/>
            <w:vAlign w:val="bottom"/>
            <w:vMerge w:val="continue"/>
            <w:shd w:val="clear" w:color="auto" w:fill="F4F3F3"/>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5500" w:type="dxa"/>
            <w:vAlign w:val="bottom"/>
            <w:vMerge w:val="restart"/>
            <w:shd w:val="clear" w:color="auto" w:fill="F4F3F3"/>
          </w:tcPr>
          <w:p>
            <w:pPr>
              <w:ind w:left="180"/>
              <w:spacing w:after="0"/>
              <w:rPr>
                <w:sz w:val="20"/>
                <w:szCs w:val="20"/>
                <w:color w:val="auto"/>
              </w:rPr>
            </w:pPr>
            <w:r>
              <w:rPr>
                <w:rFonts w:ascii="Arial" w:cs="Arial" w:eastAsia="Arial" w:hAnsi="Arial"/>
                <w:sz w:val="14"/>
                <w:szCs w:val="14"/>
                <w:b w:val="1"/>
                <w:bCs w:val="1"/>
                <w:color w:val="998C87"/>
              </w:rPr>
              <w:t>Debra L. Lee</w:t>
            </w:r>
          </w:p>
        </w:tc>
        <w:tc>
          <w:tcPr>
            <w:tcW w:w="500" w:type="dxa"/>
            <w:vAlign w:val="bottom"/>
            <w:shd w:val="clear" w:color="auto" w:fill="F4F3F3"/>
          </w:tcPr>
          <w:p>
            <w:pPr>
              <w:spacing w:after="0"/>
              <w:rPr>
                <w:sz w:val="12"/>
                <w:szCs w:val="12"/>
                <w:color w:val="auto"/>
              </w:rPr>
            </w:pPr>
          </w:p>
        </w:tc>
        <w:tc>
          <w:tcPr>
            <w:tcW w:w="740" w:type="dxa"/>
            <w:vAlign w:val="bottom"/>
            <w:shd w:val="clear" w:color="auto" w:fill="F4F3F3"/>
          </w:tcPr>
          <w:p>
            <w:pPr>
              <w:spacing w:after="0"/>
              <w:rPr>
                <w:sz w:val="12"/>
                <w:szCs w:val="12"/>
                <w:color w:val="auto"/>
              </w:rPr>
            </w:pPr>
          </w:p>
        </w:tc>
        <w:tc>
          <w:tcPr>
            <w:tcW w:w="1000" w:type="dxa"/>
            <w:vAlign w:val="bottom"/>
            <w:shd w:val="clear" w:color="auto" w:fill="F4F3F3"/>
          </w:tcPr>
          <w:p>
            <w:pPr>
              <w:spacing w:after="0"/>
              <w:rPr>
                <w:sz w:val="12"/>
                <w:szCs w:val="12"/>
                <w:color w:val="auto"/>
              </w:rPr>
            </w:pPr>
          </w:p>
        </w:tc>
        <w:tc>
          <w:tcPr>
            <w:tcW w:w="160" w:type="dxa"/>
            <w:vAlign w:val="bottom"/>
            <w:shd w:val="clear" w:color="auto" w:fill="F4F3F3"/>
          </w:tcPr>
          <w:p>
            <w:pPr>
              <w:spacing w:after="0"/>
              <w:rPr>
                <w:sz w:val="12"/>
                <w:szCs w:val="12"/>
                <w:color w:val="auto"/>
              </w:rPr>
            </w:pPr>
          </w:p>
        </w:tc>
        <w:tc>
          <w:tcPr>
            <w:tcW w:w="240" w:type="dxa"/>
            <w:vAlign w:val="bottom"/>
            <w:tcBorders>
              <w:right w:val="single" w:sz="8" w:color="F4F3F3"/>
            </w:tcBorders>
            <w:shd w:val="clear" w:color="auto" w:fill="F4F3F3"/>
          </w:tcPr>
          <w:p>
            <w:pPr>
              <w:spacing w:after="0"/>
              <w:rPr>
                <w:sz w:val="12"/>
                <w:szCs w:val="12"/>
                <w:color w:val="auto"/>
              </w:rPr>
            </w:pPr>
          </w:p>
        </w:tc>
        <w:tc>
          <w:tcPr>
            <w:tcW w:w="260" w:type="dxa"/>
            <w:vAlign w:val="bottom"/>
            <w:shd w:val="clear" w:color="auto" w:fill="F4F3F3"/>
          </w:tcPr>
          <w:p>
            <w:pPr>
              <w:spacing w:after="0"/>
              <w:rPr>
                <w:sz w:val="12"/>
                <w:szCs w:val="12"/>
                <w:color w:val="auto"/>
              </w:rPr>
            </w:pPr>
          </w:p>
        </w:tc>
        <w:tc>
          <w:tcPr>
            <w:tcW w:w="280" w:type="dxa"/>
            <w:vAlign w:val="bottom"/>
            <w:tcBorders>
              <w:left w:val="single" w:sz="8" w:color="F4F3F3"/>
              <w:right w:val="single" w:sz="8" w:color="F4F3F3"/>
            </w:tcBorders>
            <w:shd w:val="clear" w:color="auto" w:fill="F4F3F3"/>
          </w:tcPr>
          <w:p>
            <w:pPr>
              <w:spacing w:after="0"/>
              <w:rPr>
                <w:sz w:val="12"/>
                <w:szCs w:val="12"/>
                <w:color w:val="auto"/>
              </w:rPr>
            </w:pPr>
          </w:p>
        </w:tc>
        <w:tc>
          <w:tcPr>
            <w:tcW w:w="260" w:type="dxa"/>
            <w:vAlign w:val="bottom"/>
            <w:shd w:val="clear" w:color="auto" w:fill="F4F3F3"/>
          </w:tcPr>
          <w:p>
            <w:pPr>
              <w:spacing w:after="0"/>
              <w:rPr>
                <w:sz w:val="12"/>
                <w:szCs w:val="12"/>
                <w:color w:val="auto"/>
              </w:rPr>
            </w:pPr>
          </w:p>
        </w:tc>
        <w:tc>
          <w:tcPr>
            <w:tcW w:w="260" w:type="dxa"/>
            <w:vAlign w:val="bottom"/>
            <w:tcBorders>
              <w:right w:val="single" w:sz="8" w:color="F4F3F3"/>
            </w:tcBorders>
            <w:shd w:val="clear" w:color="auto" w:fill="F4F3F3"/>
          </w:tcPr>
          <w:p>
            <w:pPr>
              <w:spacing w:after="0"/>
              <w:rPr>
                <w:sz w:val="12"/>
                <w:szCs w:val="12"/>
                <w:color w:val="auto"/>
              </w:rPr>
            </w:pPr>
          </w:p>
        </w:tc>
        <w:tc>
          <w:tcPr>
            <w:tcW w:w="340" w:type="dxa"/>
            <w:vAlign w:val="bottom"/>
            <w:tcBorders>
              <w:right w:val="single" w:sz="8" w:color="F4F3F3"/>
            </w:tcBorders>
            <w:shd w:val="clear" w:color="auto" w:fill="F4F3F3"/>
          </w:tcPr>
          <w:p>
            <w:pPr>
              <w:spacing w:after="0"/>
              <w:rPr>
                <w:sz w:val="12"/>
                <w:szCs w:val="12"/>
                <w:color w:val="auto"/>
              </w:rPr>
            </w:pPr>
          </w:p>
        </w:tc>
        <w:tc>
          <w:tcPr>
            <w:tcW w:w="260" w:type="dxa"/>
            <w:vAlign w:val="bottom"/>
            <w:tcBorders>
              <w:right w:val="single" w:sz="8" w:color="F4F3F3"/>
            </w:tcBorders>
            <w:shd w:val="clear" w:color="auto" w:fill="F4F3F3"/>
          </w:tcPr>
          <w:p>
            <w:pPr>
              <w:spacing w:after="0"/>
              <w:rPr>
                <w:sz w:val="12"/>
                <w:szCs w:val="12"/>
                <w:color w:val="auto"/>
              </w:rPr>
            </w:pPr>
          </w:p>
        </w:tc>
        <w:tc>
          <w:tcPr>
            <w:tcW w:w="140" w:type="dxa"/>
            <w:vAlign w:val="bottom"/>
            <w:shd w:val="clear" w:color="auto" w:fill="F4F3F3"/>
          </w:tcPr>
          <w:p>
            <w:pPr>
              <w:spacing w:after="0"/>
              <w:rPr>
                <w:sz w:val="12"/>
                <w:szCs w:val="12"/>
                <w:color w:val="auto"/>
              </w:rPr>
            </w:pPr>
          </w:p>
        </w:tc>
        <w:tc>
          <w:tcPr>
            <w:tcW w:w="160" w:type="dxa"/>
            <w:vAlign w:val="bottom"/>
            <w:shd w:val="clear" w:color="auto" w:fill="F4F3F3"/>
          </w:tcPr>
          <w:p>
            <w:pPr>
              <w:spacing w:after="0"/>
              <w:rPr>
                <w:sz w:val="12"/>
                <w:szCs w:val="12"/>
                <w:color w:val="auto"/>
              </w:rPr>
            </w:pPr>
          </w:p>
        </w:tc>
        <w:tc>
          <w:tcPr>
            <w:tcW w:w="280" w:type="dxa"/>
            <w:vAlign w:val="bottom"/>
            <w:tcBorders>
              <w:left w:val="single" w:sz="8" w:color="F4F3F3"/>
              <w:right w:val="single" w:sz="8" w:color="F4F3F3"/>
            </w:tcBorders>
            <w:shd w:val="clear" w:color="auto" w:fill="F4F3F3"/>
          </w:tcPr>
          <w:p>
            <w:pPr>
              <w:spacing w:after="0"/>
              <w:rPr>
                <w:sz w:val="12"/>
                <w:szCs w:val="12"/>
                <w:color w:val="auto"/>
              </w:rPr>
            </w:pPr>
          </w:p>
        </w:tc>
        <w:tc>
          <w:tcPr>
            <w:tcW w:w="260" w:type="dxa"/>
            <w:vAlign w:val="bottom"/>
            <w:shd w:val="clear" w:color="auto" w:fill="F4F3F3"/>
          </w:tcPr>
          <w:p>
            <w:pPr>
              <w:spacing w:after="0"/>
              <w:rPr>
                <w:sz w:val="12"/>
                <w:szCs w:val="12"/>
                <w:color w:val="auto"/>
              </w:rPr>
            </w:pPr>
          </w:p>
        </w:tc>
        <w:tc>
          <w:tcPr>
            <w:tcW w:w="240" w:type="dxa"/>
            <w:vAlign w:val="bottom"/>
            <w:shd w:val="clear" w:color="auto" w:fill="F4F3F3"/>
          </w:tcPr>
          <w:p>
            <w:pPr>
              <w:spacing w:after="0"/>
              <w:rPr>
                <w:sz w:val="12"/>
                <w:szCs w:val="12"/>
                <w:color w:val="auto"/>
              </w:rPr>
            </w:pPr>
          </w:p>
        </w:tc>
        <w:tc>
          <w:tcPr>
            <w:tcW w:w="20" w:type="dxa"/>
            <w:vAlign w:val="bottom"/>
            <w:shd w:val="clear" w:color="auto" w:fill="F4F3F3"/>
          </w:tcPr>
          <w:p>
            <w:pPr>
              <w:spacing w:after="0"/>
              <w:rPr>
                <w:sz w:val="12"/>
                <w:szCs w:val="12"/>
                <w:color w:val="auto"/>
              </w:rPr>
            </w:pPr>
          </w:p>
        </w:tc>
        <w:tc>
          <w:tcPr>
            <w:tcW w:w="100" w:type="dxa"/>
            <w:vAlign w:val="bottom"/>
            <w:shd w:val="clear" w:color="auto" w:fill="F4F3F3"/>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5500" w:type="dxa"/>
            <w:vAlign w:val="bottom"/>
            <w:vMerge w:val="continue"/>
            <w:shd w:val="clear" w:color="auto" w:fill="F4F3F3"/>
          </w:tcPr>
          <w:p>
            <w:pPr>
              <w:spacing w:after="0"/>
              <w:rPr>
                <w:sz w:val="7"/>
                <w:szCs w:val="7"/>
                <w:color w:val="auto"/>
              </w:rPr>
            </w:pPr>
          </w:p>
        </w:tc>
        <w:tc>
          <w:tcPr>
            <w:tcW w:w="500" w:type="dxa"/>
            <w:vAlign w:val="bottom"/>
            <w:vMerge w:val="restart"/>
            <w:shd w:val="clear" w:color="auto" w:fill="F4F3F3"/>
          </w:tcPr>
          <w:p>
            <w:pPr>
              <w:jc w:val="center"/>
              <w:ind w:left="28"/>
              <w:spacing w:after="0"/>
              <w:rPr>
                <w:sz w:val="20"/>
                <w:szCs w:val="20"/>
                <w:color w:val="auto"/>
              </w:rPr>
            </w:pPr>
            <w:r>
              <w:rPr>
                <w:rFonts w:ascii="Arial" w:cs="Arial" w:eastAsia="Arial" w:hAnsi="Arial"/>
                <w:sz w:val="14"/>
                <w:szCs w:val="14"/>
                <w:color w:val="auto"/>
              </w:rPr>
              <w:t>63</w:t>
            </w:r>
          </w:p>
        </w:tc>
        <w:tc>
          <w:tcPr>
            <w:tcW w:w="740" w:type="dxa"/>
            <w:vAlign w:val="bottom"/>
            <w:vMerge w:val="restart"/>
            <w:shd w:val="clear" w:color="auto" w:fill="F4F3F3"/>
          </w:tcPr>
          <w:p>
            <w:pPr>
              <w:jc w:val="center"/>
              <w:spacing w:after="0"/>
              <w:rPr>
                <w:sz w:val="20"/>
                <w:szCs w:val="20"/>
                <w:color w:val="auto"/>
              </w:rPr>
            </w:pPr>
            <w:r>
              <w:rPr>
                <w:rFonts w:ascii="Arial" w:cs="Arial" w:eastAsia="Arial" w:hAnsi="Arial"/>
                <w:sz w:val="14"/>
                <w:szCs w:val="14"/>
                <w:color w:val="auto"/>
              </w:rPr>
              <w:t>2004</w:t>
            </w:r>
          </w:p>
        </w:tc>
        <w:tc>
          <w:tcPr>
            <w:tcW w:w="1000" w:type="dxa"/>
            <w:vAlign w:val="bottom"/>
            <w:vMerge w:val="restart"/>
            <w:shd w:val="clear" w:color="auto" w:fill="F4F3F3"/>
          </w:tcPr>
          <w:p>
            <w:pPr>
              <w:jc w:val="center"/>
              <w:spacing w:after="0"/>
              <w:rPr>
                <w:sz w:val="20"/>
                <w:szCs w:val="20"/>
                <w:color w:val="auto"/>
              </w:rPr>
            </w:pPr>
            <w:r>
              <w:rPr>
                <w:rFonts w:ascii="Arial" w:cs="Arial" w:eastAsia="Arial" w:hAnsi="Arial"/>
                <w:sz w:val="14"/>
                <w:szCs w:val="14"/>
                <w:color w:val="auto"/>
                <w:w w:val="90"/>
              </w:rPr>
              <w:t>Yes</w:t>
            </w:r>
          </w:p>
        </w:tc>
        <w:tc>
          <w:tcPr>
            <w:tcW w:w="160" w:type="dxa"/>
            <w:vAlign w:val="bottom"/>
            <w:shd w:val="clear" w:color="auto" w:fill="F4F3F3"/>
          </w:tcPr>
          <w:p>
            <w:pPr>
              <w:spacing w:after="0"/>
              <w:rPr>
                <w:sz w:val="7"/>
                <w:szCs w:val="7"/>
                <w:color w:val="auto"/>
              </w:rPr>
            </w:pPr>
          </w:p>
        </w:tc>
        <w:tc>
          <w:tcPr>
            <w:tcW w:w="240" w:type="dxa"/>
            <w:vAlign w:val="bottom"/>
            <w:tcBorders>
              <w:right w:val="single" w:sz="8" w:color="F4F3F3"/>
            </w:tcBorders>
            <w:shd w:val="clear" w:color="auto" w:fill="F4F3F3"/>
          </w:tcPr>
          <w:p>
            <w:pPr>
              <w:spacing w:after="0"/>
              <w:rPr>
                <w:sz w:val="7"/>
                <w:szCs w:val="7"/>
                <w:color w:val="auto"/>
              </w:rPr>
            </w:pPr>
          </w:p>
        </w:tc>
        <w:tc>
          <w:tcPr>
            <w:tcW w:w="260" w:type="dxa"/>
            <w:vAlign w:val="bottom"/>
            <w:shd w:val="clear" w:color="auto" w:fill="F4F3F3"/>
          </w:tcPr>
          <w:p>
            <w:pPr>
              <w:spacing w:after="0"/>
              <w:rPr>
                <w:sz w:val="7"/>
                <w:szCs w:val="7"/>
                <w:color w:val="auto"/>
              </w:rPr>
            </w:pPr>
          </w:p>
        </w:tc>
        <w:tc>
          <w:tcPr>
            <w:tcW w:w="280" w:type="dxa"/>
            <w:vAlign w:val="bottom"/>
            <w:tcBorders>
              <w:left w:val="single" w:sz="8" w:color="F4F3F3"/>
              <w:right w:val="single" w:sz="8" w:color="F4F3F3"/>
            </w:tcBorders>
            <w:shd w:val="clear" w:color="auto" w:fill="F4F3F3"/>
          </w:tcPr>
          <w:p>
            <w:pPr>
              <w:spacing w:after="0"/>
              <w:rPr>
                <w:sz w:val="7"/>
                <w:szCs w:val="7"/>
                <w:color w:val="auto"/>
              </w:rPr>
            </w:pPr>
          </w:p>
        </w:tc>
        <w:tc>
          <w:tcPr>
            <w:tcW w:w="260" w:type="dxa"/>
            <w:vAlign w:val="bottom"/>
            <w:shd w:val="clear" w:color="auto" w:fill="F4F3F3"/>
          </w:tcPr>
          <w:p>
            <w:pPr>
              <w:spacing w:after="0"/>
              <w:rPr>
                <w:sz w:val="7"/>
                <w:szCs w:val="7"/>
                <w:color w:val="auto"/>
              </w:rPr>
            </w:pPr>
          </w:p>
        </w:tc>
        <w:tc>
          <w:tcPr>
            <w:tcW w:w="260" w:type="dxa"/>
            <w:vAlign w:val="bottom"/>
            <w:tcBorders>
              <w:right w:val="single" w:sz="8" w:color="F4F3F3"/>
            </w:tcBorders>
            <w:shd w:val="clear" w:color="auto" w:fill="F4F3F3"/>
          </w:tcPr>
          <w:p>
            <w:pPr>
              <w:spacing w:after="0"/>
              <w:rPr>
                <w:sz w:val="7"/>
                <w:szCs w:val="7"/>
                <w:color w:val="auto"/>
              </w:rPr>
            </w:pPr>
          </w:p>
        </w:tc>
        <w:tc>
          <w:tcPr>
            <w:tcW w:w="340" w:type="dxa"/>
            <w:vAlign w:val="bottom"/>
            <w:tcBorders>
              <w:right w:val="single" w:sz="8" w:color="7F7F7F"/>
            </w:tcBorders>
            <w:shd w:val="clear" w:color="auto" w:fill="F4F3F3"/>
          </w:tcPr>
          <w:p>
            <w:pPr>
              <w:spacing w:after="0"/>
              <w:rPr>
                <w:sz w:val="7"/>
                <w:szCs w:val="7"/>
                <w:color w:val="auto"/>
              </w:rPr>
            </w:pPr>
          </w:p>
        </w:tc>
        <w:tc>
          <w:tcPr>
            <w:tcW w:w="260" w:type="dxa"/>
            <w:vAlign w:val="bottom"/>
            <w:tcBorders>
              <w:right w:val="single" w:sz="8" w:color="7F7F7F"/>
            </w:tcBorders>
            <w:vMerge w:val="restart"/>
            <w:shd w:val="clear" w:color="auto" w:fill="7F7F7F"/>
          </w:tcPr>
          <w:p>
            <w:pPr>
              <w:ind w:left="40"/>
              <w:spacing w:after="0" w:line="182" w:lineRule="exact"/>
              <w:rPr>
                <w:sz w:val="20"/>
                <w:szCs w:val="20"/>
                <w:color w:val="auto"/>
              </w:rPr>
            </w:pPr>
            <w:r>
              <w:rPr>
                <w:rFonts w:ascii="Arial" w:cs="Arial" w:eastAsia="Arial" w:hAnsi="Arial"/>
                <w:sz w:val="18"/>
                <w:szCs w:val="18"/>
                <w:b w:val="1"/>
                <w:bCs w:val="1"/>
                <w:color w:val="FFFFFF"/>
              </w:rPr>
              <w:t>M</w:t>
            </w:r>
          </w:p>
        </w:tc>
        <w:tc>
          <w:tcPr>
            <w:tcW w:w="140" w:type="dxa"/>
            <w:vAlign w:val="bottom"/>
            <w:shd w:val="clear" w:color="auto" w:fill="F4F3F3"/>
          </w:tcPr>
          <w:p>
            <w:pPr>
              <w:spacing w:after="0"/>
              <w:rPr>
                <w:sz w:val="7"/>
                <w:szCs w:val="7"/>
                <w:color w:val="auto"/>
              </w:rPr>
            </w:pPr>
          </w:p>
        </w:tc>
        <w:tc>
          <w:tcPr>
            <w:tcW w:w="160" w:type="dxa"/>
            <w:vAlign w:val="bottom"/>
            <w:shd w:val="clear" w:color="auto" w:fill="F4F3F3"/>
          </w:tcPr>
          <w:p>
            <w:pPr>
              <w:spacing w:after="0"/>
              <w:rPr>
                <w:sz w:val="7"/>
                <w:szCs w:val="7"/>
                <w:color w:val="auto"/>
              </w:rPr>
            </w:pPr>
          </w:p>
        </w:tc>
        <w:tc>
          <w:tcPr>
            <w:tcW w:w="280" w:type="dxa"/>
            <w:vAlign w:val="bottom"/>
            <w:tcBorders>
              <w:left w:val="single" w:sz="8" w:color="F4F3F3"/>
              <w:right w:val="single" w:sz="8" w:color="F4F3F3"/>
            </w:tcBorders>
            <w:vMerge w:val="restart"/>
            <w:shd w:val="clear" w:color="auto" w:fill="00358E"/>
          </w:tcPr>
          <w:p>
            <w:pPr>
              <w:ind w:left="80"/>
              <w:spacing w:after="0" w:line="182" w:lineRule="exact"/>
              <w:rPr>
                <w:sz w:val="20"/>
                <w:szCs w:val="20"/>
                <w:color w:val="auto"/>
              </w:rPr>
            </w:pPr>
            <w:r>
              <w:rPr>
                <w:rFonts w:ascii="Arial" w:cs="Arial" w:eastAsia="Arial" w:hAnsi="Arial"/>
                <w:sz w:val="18"/>
                <w:szCs w:val="18"/>
                <w:b w:val="1"/>
                <w:bCs w:val="1"/>
                <w:color w:val="FFFFFF"/>
              </w:rPr>
              <w:t>C</w:t>
            </w:r>
          </w:p>
        </w:tc>
        <w:tc>
          <w:tcPr>
            <w:tcW w:w="260" w:type="dxa"/>
            <w:vAlign w:val="bottom"/>
            <w:shd w:val="clear" w:color="auto" w:fill="F4F3F3"/>
          </w:tcPr>
          <w:p>
            <w:pPr>
              <w:spacing w:after="0"/>
              <w:rPr>
                <w:sz w:val="7"/>
                <w:szCs w:val="7"/>
                <w:color w:val="auto"/>
              </w:rPr>
            </w:pPr>
          </w:p>
        </w:tc>
        <w:tc>
          <w:tcPr>
            <w:tcW w:w="240" w:type="dxa"/>
            <w:vAlign w:val="bottom"/>
            <w:shd w:val="clear" w:color="auto" w:fill="F4F3F3"/>
          </w:tcPr>
          <w:p>
            <w:pPr>
              <w:spacing w:after="0"/>
              <w:rPr>
                <w:sz w:val="7"/>
                <w:szCs w:val="7"/>
                <w:color w:val="auto"/>
              </w:rPr>
            </w:pPr>
          </w:p>
        </w:tc>
        <w:tc>
          <w:tcPr>
            <w:tcW w:w="20" w:type="dxa"/>
            <w:vAlign w:val="bottom"/>
            <w:shd w:val="clear" w:color="auto" w:fill="F4F3F3"/>
          </w:tcPr>
          <w:p>
            <w:pPr>
              <w:spacing w:after="0"/>
              <w:rPr>
                <w:sz w:val="7"/>
                <w:szCs w:val="7"/>
                <w:color w:val="auto"/>
              </w:rPr>
            </w:pPr>
          </w:p>
        </w:tc>
        <w:tc>
          <w:tcPr>
            <w:tcW w:w="100" w:type="dxa"/>
            <w:vAlign w:val="bottom"/>
            <w:shd w:val="clear" w:color="auto" w:fill="F4F3F3"/>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5500" w:type="dxa"/>
            <w:vAlign w:val="bottom"/>
            <w:vMerge w:val="restart"/>
            <w:shd w:val="clear" w:color="auto" w:fill="F4F3F3"/>
          </w:tcPr>
          <w:p>
            <w:pPr>
              <w:ind w:left="180"/>
              <w:spacing w:after="0"/>
              <w:rPr>
                <w:sz w:val="20"/>
                <w:szCs w:val="20"/>
                <w:color w:val="auto"/>
              </w:rPr>
            </w:pPr>
            <w:r>
              <w:rPr>
                <w:rFonts w:ascii="Arial" w:cs="Arial" w:eastAsia="Arial" w:hAnsi="Arial"/>
                <w:sz w:val="14"/>
                <w:szCs w:val="14"/>
                <w:i w:val="1"/>
                <w:iCs w:val="1"/>
                <w:color w:val="auto"/>
              </w:rPr>
              <w:t>Chairman and Chief Executive Officer, BET Networks</w:t>
            </w:r>
          </w:p>
        </w:tc>
        <w:tc>
          <w:tcPr>
            <w:tcW w:w="500" w:type="dxa"/>
            <w:vAlign w:val="bottom"/>
            <w:vMerge w:val="continue"/>
            <w:shd w:val="clear" w:color="auto" w:fill="F4F3F3"/>
          </w:tcPr>
          <w:p>
            <w:pPr>
              <w:spacing w:after="0"/>
              <w:rPr>
                <w:sz w:val="10"/>
                <w:szCs w:val="10"/>
                <w:color w:val="auto"/>
              </w:rPr>
            </w:pPr>
          </w:p>
        </w:tc>
        <w:tc>
          <w:tcPr>
            <w:tcW w:w="740" w:type="dxa"/>
            <w:vAlign w:val="bottom"/>
            <w:vMerge w:val="continue"/>
            <w:shd w:val="clear" w:color="auto" w:fill="F4F3F3"/>
          </w:tcPr>
          <w:p>
            <w:pPr>
              <w:spacing w:after="0"/>
              <w:rPr>
                <w:sz w:val="10"/>
                <w:szCs w:val="10"/>
                <w:color w:val="auto"/>
              </w:rPr>
            </w:pPr>
          </w:p>
        </w:tc>
        <w:tc>
          <w:tcPr>
            <w:tcW w:w="1000" w:type="dxa"/>
            <w:vAlign w:val="bottom"/>
            <w:vMerge w:val="continue"/>
            <w:shd w:val="clear" w:color="auto" w:fill="F4F3F3"/>
          </w:tcPr>
          <w:p>
            <w:pPr>
              <w:spacing w:after="0"/>
              <w:rPr>
                <w:sz w:val="10"/>
                <w:szCs w:val="10"/>
                <w:color w:val="auto"/>
              </w:rPr>
            </w:pPr>
          </w:p>
        </w:tc>
        <w:tc>
          <w:tcPr>
            <w:tcW w:w="160" w:type="dxa"/>
            <w:vAlign w:val="bottom"/>
            <w:shd w:val="clear" w:color="auto" w:fill="F4F3F3"/>
          </w:tcPr>
          <w:p>
            <w:pPr>
              <w:spacing w:after="0"/>
              <w:rPr>
                <w:sz w:val="10"/>
                <w:szCs w:val="10"/>
                <w:color w:val="auto"/>
              </w:rPr>
            </w:pPr>
          </w:p>
        </w:tc>
        <w:tc>
          <w:tcPr>
            <w:tcW w:w="240" w:type="dxa"/>
            <w:vAlign w:val="bottom"/>
            <w:tcBorders>
              <w:right w:val="single" w:sz="8" w:color="F4F3F3"/>
            </w:tcBorders>
            <w:shd w:val="clear" w:color="auto" w:fill="F4F3F3"/>
          </w:tcPr>
          <w:p>
            <w:pPr>
              <w:spacing w:after="0"/>
              <w:rPr>
                <w:sz w:val="10"/>
                <w:szCs w:val="10"/>
                <w:color w:val="auto"/>
              </w:rPr>
            </w:pPr>
          </w:p>
        </w:tc>
        <w:tc>
          <w:tcPr>
            <w:tcW w:w="260" w:type="dxa"/>
            <w:vAlign w:val="bottom"/>
            <w:shd w:val="clear" w:color="auto" w:fill="F4F3F3"/>
          </w:tcPr>
          <w:p>
            <w:pPr>
              <w:spacing w:after="0"/>
              <w:rPr>
                <w:sz w:val="10"/>
                <w:szCs w:val="10"/>
                <w:color w:val="auto"/>
              </w:rPr>
            </w:pPr>
          </w:p>
        </w:tc>
        <w:tc>
          <w:tcPr>
            <w:tcW w:w="280" w:type="dxa"/>
            <w:vAlign w:val="bottom"/>
            <w:tcBorders>
              <w:left w:val="single" w:sz="8" w:color="F4F3F3"/>
              <w:right w:val="single" w:sz="8" w:color="F4F3F3"/>
            </w:tcBorders>
            <w:shd w:val="clear" w:color="auto" w:fill="F4F3F3"/>
          </w:tcPr>
          <w:p>
            <w:pPr>
              <w:spacing w:after="0"/>
              <w:rPr>
                <w:sz w:val="10"/>
                <w:szCs w:val="10"/>
                <w:color w:val="auto"/>
              </w:rPr>
            </w:pPr>
          </w:p>
        </w:tc>
        <w:tc>
          <w:tcPr>
            <w:tcW w:w="260" w:type="dxa"/>
            <w:vAlign w:val="bottom"/>
            <w:shd w:val="clear" w:color="auto" w:fill="F4F3F3"/>
          </w:tcPr>
          <w:p>
            <w:pPr>
              <w:spacing w:after="0"/>
              <w:rPr>
                <w:sz w:val="10"/>
                <w:szCs w:val="10"/>
                <w:color w:val="auto"/>
              </w:rPr>
            </w:pPr>
          </w:p>
        </w:tc>
        <w:tc>
          <w:tcPr>
            <w:tcW w:w="260" w:type="dxa"/>
            <w:vAlign w:val="bottom"/>
            <w:tcBorders>
              <w:right w:val="single" w:sz="8" w:color="F4F3F3"/>
            </w:tcBorders>
            <w:shd w:val="clear" w:color="auto" w:fill="F4F3F3"/>
          </w:tcPr>
          <w:p>
            <w:pPr>
              <w:spacing w:after="0"/>
              <w:rPr>
                <w:sz w:val="10"/>
                <w:szCs w:val="10"/>
                <w:color w:val="auto"/>
              </w:rPr>
            </w:pPr>
          </w:p>
        </w:tc>
        <w:tc>
          <w:tcPr>
            <w:tcW w:w="340" w:type="dxa"/>
            <w:vAlign w:val="bottom"/>
            <w:tcBorders>
              <w:right w:val="single" w:sz="8" w:color="7F7F7F"/>
            </w:tcBorders>
            <w:shd w:val="clear" w:color="auto" w:fill="F4F3F3"/>
          </w:tcPr>
          <w:p>
            <w:pPr>
              <w:spacing w:after="0"/>
              <w:rPr>
                <w:sz w:val="10"/>
                <w:szCs w:val="10"/>
                <w:color w:val="auto"/>
              </w:rPr>
            </w:pPr>
          </w:p>
        </w:tc>
        <w:tc>
          <w:tcPr>
            <w:tcW w:w="260" w:type="dxa"/>
            <w:vAlign w:val="bottom"/>
            <w:tcBorders>
              <w:right w:val="single" w:sz="8" w:color="7F7F7F"/>
            </w:tcBorders>
            <w:vMerge w:val="continue"/>
            <w:shd w:val="clear" w:color="auto" w:fill="7F7F7F"/>
          </w:tcPr>
          <w:p>
            <w:pPr>
              <w:spacing w:after="0"/>
              <w:rPr>
                <w:sz w:val="10"/>
                <w:szCs w:val="10"/>
                <w:color w:val="auto"/>
              </w:rPr>
            </w:pPr>
          </w:p>
        </w:tc>
        <w:tc>
          <w:tcPr>
            <w:tcW w:w="140" w:type="dxa"/>
            <w:vAlign w:val="bottom"/>
            <w:vMerge w:val="restart"/>
            <w:shd w:val="clear" w:color="auto" w:fill="F4F3F3"/>
          </w:tcPr>
          <w:p>
            <w:pPr>
              <w:spacing w:after="0"/>
              <w:rPr>
                <w:sz w:val="10"/>
                <w:szCs w:val="10"/>
                <w:color w:val="auto"/>
              </w:rPr>
            </w:pPr>
          </w:p>
        </w:tc>
        <w:tc>
          <w:tcPr>
            <w:tcW w:w="160" w:type="dxa"/>
            <w:vAlign w:val="bottom"/>
            <w:shd w:val="clear" w:color="auto" w:fill="F4F3F3"/>
          </w:tcPr>
          <w:p>
            <w:pPr>
              <w:spacing w:after="0"/>
              <w:rPr>
                <w:sz w:val="10"/>
                <w:szCs w:val="10"/>
                <w:color w:val="auto"/>
              </w:rPr>
            </w:pPr>
          </w:p>
        </w:tc>
        <w:tc>
          <w:tcPr>
            <w:tcW w:w="280" w:type="dxa"/>
            <w:vAlign w:val="bottom"/>
            <w:tcBorders>
              <w:left w:val="single" w:sz="8" w:color="F4F3F3"/>
              <w:right w:val="single" w:sz="8" w:color="F4F3F3"/>
            </w:tcBorders>
            <w:vMerge w:val="continue"/>
            <w:shd w:val="clear" w:color="auto" w:fill="00358E"/>
          </w:tcPr>
          <w:p>
            <w:pPr>
              <w:spacing w:after="0"/>
              <w:rPr>
                <w:sz w:val="10"/>
                <w:szCs w:val="10"/>
                <w:color w:val="auto"/>
              </w:rPr>
            </w:pPr>
          </w:p>
        </w:tc>
        <w:tc>
          <w:tcPr>
            <w:tcW w:w="260" w:type="dxa"/>
            <w:vAlign w:val="bottom"/>
            <w:shd w:val="clear" w:color="auto" w:fill="F4F3F3"/>
          </w:tcPr>
          <w:p>
            <w:pPr>
              <w:spacing w:after="0"/>
              <w:rPr>
                <w:sz w:val="10"/>
                <w:szCs w:val="10"/>
                <w:color w:val="auto"/>
              </w:rPr>
            </w:pPr>
          </w:p>
        </w:tc>
        <w:tc>
          <w:tcPr>
            <w:tcW w:w="240" w:type="dxa"/>
            <w:vAlign w:val="bottom"/>
            <w:shd w:val="clear" w:color="auto" w:fill="F4F3F3"/>
          </w:tcPr>
          <w:p>
            <w:pPr>
              <w:spacing w:after="0"/>
              <w:rPr>
                <w:sz w:val="10"/>
                <w:szCs w:val="10"/>
                <w:color w:val="auto"/>
              </w:rPr>
            </w:pPr>
          </w:p>
        </w:tc>
        <w:tc>
          <w:tcPr>
            <w:tcW w:w="20" w:type="dxa"/>
            <w:vAlign w:val="bottom"/>
            <w:shd w:val="clear" w:color="auto" w:fill="F4F3F3"/>
          </w:tcPr>
          <w:p>
            <w:pPr>
              <w:spacing w:after="0"/>
              <w:rPr>
                <w:sz w:val="10"/>
                <w:szCs w:val="10"/>
                <w:color w:val="auto"/>
              </w:rPr>
            </w:pPr>
          </w:p>
        </w:tc>
        <w:tc>
          <w:tcPr>
            <w:tcW w:w="100" w:type="dxa"/>
            <w:vAlign w:val="bottom"/>
            <w:shd w:val="clear" w:color="auto" w:fill="F4F3F3"/>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5500" w:type="dxa"/>
            <w:vAlign w:val="bottom"/>
            <w:vMerge w:val="continue"/>
            <w:shd w:val="clear" w:color="auto" w:fill="F4F3F3"/>
          </w:tcPr>
          <w:p>
            <w:pPr>
              <w:spacing w:after="0"/>
              <w:rPr>
                <w:sz w:val="6"/>
                <w:szCs w:val="6"/>
                <w:color w:val="auto"/>
              </w:rPr>
            </w:pPr>
          </w:p>
        </w:tc>
        <w:tc>
          <w:tcPr>
            <w:tcW w:w="500" w:type="dxa"/>
            <w:vAlign w:val="bottom"/>
            <w:shd w:val="clear" w:color="auto" w:fill="F4F3F3"/>
          </w:tcPr>
          <w:p>
            <w:pPr>
              <w:spacing w:after="0"/>
              <w:rPr>
                <w:sz w:val="6"/>
                <w:szCs w:val="6"/>
                <w:color w:val="auto"/>
              </w:rPr>
            </w:pPr>
          </w:p>
        </w:tc>
        <w:tc>
          <w:tcPr>
            <w:tcW w:w="740" w:type="dxa"/>
            <w:vAlign w:val="bottom"/>
            <w:shd w:val="clear" w:color="auto" w:fill="F4F3F3"/>
          </w:tcPr>
          <w:p>
            <w:pPr>
              <w:spacing w:after="0"/>
              <w:rPr>
                <w:sz w:val="6"/>
                <w:szCs w:val="6"/>
                <w:color w:val="auto"/>
              </w:rPr>
            </w:pPr>
          </w:p>
        </w:tc>
        <w:tc>
          <w:tcPr>
            <w:tcW w:w="1000" w:type="dxa"/>
            <w:vAlign w:val="bottom"/>
            <w:shd w:val="clear" w:color="auto" w:fill="F4F3F3"/>
          </w:tcPr>
          <w:p>
            <w:pPr>
              <w:spacing w:after="0"/>
              <w:rPr>
                <w:sz w:val="6"/>
                <w:szCs w:val="6"/>
                <w:color w:val="auto"/>
              </w:rPr>
            </w:pPr>
          </w:p>
        </w:tc>
        <w:tc>
          <w:tcPr>
            <w:tcW w:w="160" w:type="dxa"/>
            <w:vAlign w:val="bottom"/>
            <w:shd w:val="clear" w:color="auto" w:fill="F4F3F3"/>
          </w:tcPr>
          <w:p>
            <w:pPr>
              <w:spacing w:after="0"/>
              <w:rPr>
                <w:sz w:val="6"/>
                <w:szCs w:val="6"/>
                <w:color w:val="auto"/>
              </w:rPr>
            </w:pPr>
          </w:p>
        </w:tc>
        <w:tc>
          <w:tcPr>
            <w:tcW w:w="240" w:type="dxa"/>
            <w:vAlign w:val="bottom"/>
            <w:tcBorders>
              <w:right w:val="single" w:sz="8" w:color="F4F3F3"/>
            </w:tcBorders>
            <w:shd w:val="clear" w:color="auto" w:fill="F4F3F3"/>
          </w:tcPr>
          <w:p>
            <w:pPr>
              <w:spacing w:after="0"/>
              <w:rPr>
                <w:sz w:val="6"/>
                <w:szCs w:val="6"/>
                <w:color w:val="auto"/>
              </w:rPr>
            </w:pPr>
          </w:p>
        </w:tc>
        <w:tc>
          <w:tcPr>
            <w:tcW w:w="260" w:type="dxa"/>
            <w:vAlign w:val="bottom"/>
            <w:shd w:val="clear" w:color="auto" w:fill="F4F3F3"/>
          </w:tcPr>
          <w:p>
            <w:pPr>
              <w:spacing w:after="0"/>
              <w:rPr>
                <w:sz w:val="6"/>
                <w:szCs w:val="6"/>
                <w:color w:val="auto"/>
              </w:rPr>
            </w:pPr>
          </w:p>
        </w:tc>
        <w:tc>
          <w:tcPr>
            <w:tcW w:w="280" w:type="dxa"/>
            <w:vAlign w:val="bottom"/>
            <w:tcBorders>
              <w:left w:val="single" w:sz="8" w:color="F4F3F3"/>
              <w:right w:val="single" w:sz="8" w:color="F4F3F3"/>
            </w:tcBorders>
            <w:shd w:val="clear" w:color="auto" w:fill="F4F3F3"/>
          </w:tcPr>
          <w:p>
            <w:pPr>
              <w:spacing w:after="0"/>
              <w:rPr>
                <w:sz w:val="6"/>
                <w:szCs w:val="6"/>
                <w:color w:val="auto"/>
              </w:rPr>
            </w:pPr>
          </w:p>
        </w:tc>
        <w:tc>
          <w:tcPr>
            <w:tcW w:w="260" w:type="dxa"/>
            <w:vAlign w:val="bottom"/>
            <w:shd w:val="clear" w:color="auto" w:fill="F4F3F3"/>
          </w:tcPr>
          <w:p>
            <w:pPr>
              <w:spacing w:after="0"/>
              <w:rPr>
                <w:sz w:val="6"/>
                <w:szCs w:val="6"/>
                <w:color w:val="auto"/>
              </w:rPr>
            </w:pPr>
          </w:p>
        </w:tc>
        <w:tc>
          <w:tcPr>
            <w:tcW w:w="260" w:type="dxa"/>
            <w:vAlign w:val="bottom"/>
            <w:tcBorders>
              <w:right w:val="single" w:sz="8" w:color="F4F3F3"/>
            </w:tcBorders>
            <w:shd w:val="clear" w:color="auto" w:fill="F4F3F3"/>
          </w:tcPr>
          <w:p>
            <w:pPr>
              <w:spacing w:after="0"/>
              <w:rPr>
                <w:sz w:val="6"/>
                <w:szCs w:val="6"/>
                <w:color w:val="auto"/>
              </w:rPr>
            </w:pPr>
          </w:p>
        </w:tc>
        <w:tc>
          <w:tcPr>
            <w:tcW w:w="340" w:type="dxa"/>
            <w:vAlign w:val="bottom"/>
            <w:tcBorders>
              <w:right w:val="single" w:sz="8" w:color="F4F3F3"/>
            </w:tcBorders>
            <w:shd w:val="clear" w:color="auto" w:fill="F4F3F3"/>
          </w:tcPr>
          <w:p>
            <w:pPr>
              <w:spacing w:after="0"/>
              <w:rPr>
                <w:sz w:val="6"/>
                <w:szCs w:val="6"/>
                <w:color w:val="auto"/>
              </w:rPr>
            </w:pPr>
          </w:p>
        </w:tc>
        <w:tc>
          <w:tcPr>
            <w:tcW w:w="260" w:type="dxa"/>
            <w:vAlign w:val="bottom"/>
            <w:tcBorders>
              <w:right w:val="single" w:sz="8" w:color="F4F3F3"/>
            </w:tcBorders>
            <w:shd w:val="clear" w:color="auto" w:fill="F4F3F3"/>
          </w:tcPr>
          <w:p>
            <w:pPr>
              <w:spacing w:after="0"/>
              <w:rPr>
                <w:sz w:val="6"/>
                <w:szCs w:val="6"/>
                <w:color w:val="auto"/>
              </w:rPr>
            </w:pPr>
          </w:p>
        </w:tc>
        <w:tc>
          <w:tcPr>
            <w:tcW w:w="140" w:type="dxa"/>
            <w:vAlign w:val="bottom"/>
            <w:vMerge w:val="continue"/>
            <w:shd w:val="clear" w:color="auto" w:fill="F4F3F3"/>
          </w:tcPr>
          <w:p>
            <w:pPr>
              <w:spacing w:after="0"/>
              <w:rPr>
                <w:sz w:val="6"/>
                <w:szCs w:val="6"/>
                <w:color w:val="auto"/>
              </w:rPr>
            </w:pPr>
          </w:p>
        </w:tc>
        <w:tc>
          <w:tcPr>
            <w:tcW w:w="160" w:type="dxa"/>
            <w:vAlign w:val="bottom"/>
            <w:shd w:val="clear" w:color="auto" w:fill="F4F3F3"/>
          </w:tcPr>
          <w:p>
            <w:pPr>
              <w:spacing w:after="0"/>
              <w:rPr>
                <w:sz w:val="6"/>
                <w:szCs w:val="6"/>
                <w:color w:val="auto"/>
              </w:rPr>
            </w:pPr>
          </w:p>
        </w:tc>
        <w:tc>
          <w:tcPr>
            <w:tcW w:w="280" w:type="dxa"/>
            <w:vAlign w:val="bottom"/>
            <w:tcBorders>
              <w:left w:val="single" w:sz="8" w:color="F4F3F3"/>
              <w:right w:val="single" w:sz="8" w:color="F4F3F3"/>
            </w:tcBorders>
            <w:shd w:val="clear" w:color="auto" w:fill="F4F3F3"/>
          </w:tcPr>
          <w:p>
            <w:pPr>
              <w:spacing w:after="0"/>
              <w:rPr>
                <w:sz w:val="6"/>
                <w:szCs w:val="6"/>
                <w:color w:val="auto"/>
              </w:rPr>
            </w:pPr>
          </w:p>
        </w:tc>
        <w:tc>
          <w:tcPr>
            <w:tcW w:w="260" w:type="dxa"/>
            <w:vAlign w:val="bottom"/>
            <w:shd w:val="clear" w:color="auto" w:fill="F4F3F3"/>
          </w:tcPr>
          <w:p>
            <w:pPr>
              <w:spacing w:after="0"/>
              <w:rPr>
                <w:sz w:val="6"/>
                <w:szCs w:val="6"/>
                <w:color w:val="auto"/>
              </w:rPr>
            </w:pPr>
          </w:p>
        </w:tc>
        <w:tc>
          <w:tcPr>
            <w:tcW w:w="240" w:type="dxa"/>
            <w:vAlign w:val="bottom"/>
            <w:shd w:val="clear" w:color="auto" w:fill="F4F3F3"/>
          </w:tcPr>
          <w:p>
            <w:pPr>
              <w:spacing w:after="0"/>
              <w:rPr>
                <w:sz w:val="6"/>
                <w:szCs w:val="6"/>
                <w:color w:val="auto"/>
              </w:rPr>
            </w:pPr>
          </w:p>
        </w:tc>
        <w:tc>
          <w:tcPr>
            <w:tcW w:w="20" w:type="dxa"/>
            <w:vAlign w:val="bottom"/>
            <w:shd w:val="clear" w:color="auto" w:fill="F4F3F3"/>
          </w:tcPr>
          <w:p>
            <w:pPr>
              <w:spacing w:after="0"/>
              <w:rPr>
                <w:sz w:val="6"/>
                <w:szCs w:val="6"/>
                <w:color w:val="auto"/>
              </w:rPr>
            </w:pPr>
          </w:p>
        </w:tc>
        <w:tc>
          <w:tcPr>
            <w:tcW w:w="100" w:type="dxa"/>
            <w:vAlign w:val="bottom"/>
            <w:shd w:val="clear" w:color="auto" w:fill="F4F3F3"/>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5500" w:type="dxa"/>
            <w:vAlign w:val="bottom"/>
            <w:vMerge w:val="restart"/>
            <w:shd w:val="clear" w:color="auto" w:fill="F4F3F3"/>
          </w:tcPr>
          <w:p>
            <w:pPr>
              <w:ind w:left="180"/>
              <w:spacing w:after="0"/>
              <w:rPr>
                <w:sz w:val="20"/>
                <w:szCs w:val="20"/>
                <w:color w:val="auto"/>
              </w:rPr>
            </w:pPr>
            <w:r>
              <w:rPr>
                <w:rFonts w:ascii="Arial" w:cs="Arial" w:eastAsia="Arial" w:hAnsi="Arial"/>
                <w:sz w:val="14"/>
                <w:szCs w:val="14"/>
                <w:b w:val="1"/>
                <w:bCs w:val="1"/>
                <w:color w:val="998C87"/>
              </w:rPr>
              <w:t>Aylwin B. Lewis</w:t>
            </w:r>
          </w:p>
        </w:tc>
        <w:tc>
          <w:tcPr>
            <w:tcW w:w="500" w:type="dxa"/>
            <w:vAlign w:val="bottom"/>
            <w:shd w:val="clear" w:color="auto" w:fill="F4F3F3"/>
          </w:tcPr>
          <w:p>
            <w:pPr>
              <w:spacing w:after="0"/>
              <w:rPr>
                <w:sz w:val="12"/>
                <w:szCs w:val="12"/>
                <w:color w:val="auto"/>
              </w:rPr>
            </w:pPr>
          </w:p>
        </w:tc>
        <w:tc>
          <w:tcPr>
            <w:tcW w:w="740" w:type="dxa"/>
            <w:vAlign w:val="bottom"/>
            <w:shd w:val="clear" w:color="auto" w:fill="F4F3F3"/>
          </w:tcPr>
          <w:p>
            <w:pPr>
              <w:spacing w:after="0"/>
              <w:rPr>
                <w:sz w:val="12"/>
                <w:szCs w:val="12"/>
                <w:color w:val="auto"/>
              </w:rPr>
            </w:pPr>
          </w:p>
        </w:tc>
        <w:tc>
          <w:tcPr>
            <w:tcW w:w="1000" w:type="dxa"/>
            <w:vAlign w:val="bottom"/>
            <w:shd w:val="clear" w:color="auto" w:fill="F4F3F3"/>
          </w:tcPr>
          <w:p>
            <w:pPr>
              <w:spacing w:after="0"/>
              <w:rPr>
                <w:sz w:val="12"/>
                <w:szCs w:val="12"/>
                <w:color w:val="auto"/>
              </w:rPr>
            </w:pPr>
          </w:p>
        </w:tc>
        <w:tc>
          <w:tcPr>
            <w:tcW w:w="160" w:type="dxa"/>
            <w:vAlign w:val="bottom"/>
            <w:shd w:val="clear" w:color="auto" w:fill="F4F3F3"/>
          </w:tcPr>
          <w:p>
            <w:pPr>
              <w:spacing w:after="0"/>
              <w:rPr>
                <w:sz w:val="12"/>
                <w:szCs w:val="12"/>
                <w:color w:val="auto"/>
              </w:rPr>
            </w:pPr>
          </w:p>
        </w:tc>
        <w:tc>
          <w:tcPr>
            <w:tcW w:w="240" w:type="dxa"/>
            <w:vAlign w:val="bottom"/>
            <w:tcBorders>
              <w:right w:val="single" w:sz="8" w:color="F4F3F3"/>
            </w:tcBorders>
            <w:shd w:val="clear" w:color="auto" w:fill="F4F3F3"/>
          </w:tcPr>
          <w:p>
            <w:pPr>
              <w:spacing w:after="0"/>
              <w:rPr>
                <w:sz w:val="12"/>
                <w:szCs w:val="12"/>
                <w:color w:val="auto"/>
              </w:rPr>
            </w:pPr>
          </w:p>
        </w:tc>
        <w:tc>
          <w:tcPr>
            <w:tcW w:w="260" w:type="dxa"/>
            <w:vAlign w:val="bottom"/>
            <w:shd w:val="clear" w:color="auto" w:fill="F4F3F3"/>
          </w:tcPr>
          <w:p>
            <w:pPr>
              <w:spacing w:after="0"/>
              <w:rPr>
                <w:sz w:val="12"/>
                <w:szCs w:val="12"/>
                <w:color w:val="auto"/>
              </w:rPr>
            </w:pPr>
          </w:p>
        </w:tc>
        <w:tc>
          <w:tcPr>
            <w:tcW w:w="280" w:type="dxa"/>
            <w:vAlign w:val="bottom"/>
            <w:tcBorders>
              <w:left w:val="single" w:sz="8" w:color="F4F3F3"/>
              <w:right w:val="single" w:sz="8" w:color="F4F3F3"/>
            </w:tcBorders>
            <w:shd w:val="clear" w:color="auto" w:fill="F4F3F3"/>
          </w:tcPr>
          <w:p>
            <w:pPr>
              <w:spacing w:after="0"/>
              <w:rPr>
                <w:sz w:val="12"/>
                <w:szCs w:val="12"/>
                <w:color w:val="auto"/>
              </w:rPr>
            </w:pPr>
          </w:p>
        </w:tc>
        <w:tc>
          <w:tcPr>
            <w:tcW w:w="260" w:type="dxa"/>
            <w:vAlign w:val="bottom"/>
            <w:shd w:val="clear" w:color="auto" w:fill="F4F3F3"/>
          </w:tcPr>
          <w:p>
            <w:pPr>
              <w:spacing w:after="0"/>
              <w:rPr>
                <w:sz w:val="12"/>
                <w:szCs w:val="12"/>
                <w:color w:val="auto"/>
              </w:rPr>
            </w:pPr>
          </w:p>
        </w:tc>
        <w:tc>
          <w:tcPr>
            <w:tcW w:w="260" w:type="dxa"/>
            <w:vAlign w:val="bottom"/>
            <w:tcBorders>
              <w:right w:val="single" w:sz="8" w:color="F4F3F3"/>
            </w:tcBorders>
            <w:shd w:val="clear" w:color="auto" w:fill="F4F3F3"/>
          </w:tcPr>
          <w:p>
            <w:pPr>
              <w:spacing w:after="0"/>
              <w:rPr>
                <w:sz w:val="12"/>
                <w:szCs w:val="12"/>
                <w:color w:val="auto"/>
              </w:rPr>
            </w:pPr>
          </w:p>
        </w:tc>
        <w:tc>
          <w:tcPr>
            <w:tcW w:w="340" w:type="dxa"/>
            <w:vAlign w:val="bottom"/>
            <w:tcBorders>
              <w:right w:val="single" w:sz="8" w:color="F4F3F3"/>
            </w:tcBorders>
            <w:shd w:val="clear" w:color="auto" w:fill="F4F3F3"/>
          </w:tcPr>
          <w:p>
            <w:pPr>
              <w:spacing w:after="0"/>
              <w:rPr>
                <w:sz w:val="12"/>
                <w:szCs w:val="12"/>
                <w:color w:val="auto"/>
              </w:rPr>
            </w:pPr>
          </w:p>
        </w:tc>
        <w:tc>
          <w:tcPr>
            <w:tcW w:w="260" w:type="dxa"/>
            <w:vAlign w:val="bottom"/>
            <w:tcBorders>
              <w:right w:val="single" w:sz="8" w:color="F4F3F3"/>
            </w:tcBorders>
            <w:shd w:val="clear" w:color="auto" w:fill="F4F3F3"/>
          </w:tcPr>
          <w:p>
            <w:pPr>
              <w:spacing w:after="0"/>
              <w:rPr>
                <w:sz w:val="12"/>
                <w:szCs w:val="12"/>
                <w:color w:val="auto"/>
              </w:rPr>
            </w:pPr>
          </w:p>
        </w:tc>
        <w:tc>
          <w:tcPr>
            <w:tcW w:w="140" w:type="dxa"/>
            <w:vAlign w:val="bottom"/>
            <w:shd w:val="clear" w:color="auto" w:fill="F4F3F3"/>
          </w:tcPr>
          <w:p>
            <w:pPr>
              <w:spacing w:after="0"/>
              <w:rPr>
                <w:sz w:val="12"/>
                <w:szCs w:val="12"/>
                <w:color w:val="auto"/>
              </w:rPr>
            </w:pPr>
          </w:p>
        </w:tc>
        <w:tc>
          <w:tcPr>
            <w:tcW w:w="160" w:type="dxa"/>
            <w:vAlign w:val="bottom"/>
            <w:shd w:val="clear" w:color="auto" w:fill="F4F3F3"/>
          </w:tcPr>
          <w:p>
            <w:pPr>
              <w:spacing w:after="0"/>
              <w:rPr>
                <w:sz w:val="12"/>
                <w:szCs w:val="12"/>
                <w:color w:val="auto"/>
              </w:rPr>
            </w:pPr>
          </w:p>
        </w:tc>
        <w:tc>
          <w:tcPr>
            <w:tcW w:w="280" w:type="dxa"/>
            <w:vAlign w:val="bottom"/>
            <w:tcBorders>
              <w:left w:val="single" w:sz="8" w:color="F4F3F3"/>
              <w:right w:val="single" w:sz="8" w:color="F4F3F3"/>
            </w:tcBorders>
            <w:shd w:val="clear" w:color="auto" w:fill="F4F3F3"/>
          </w:tcPr>
          <w:p>
            <w:pPr>
              <w:spacing w:after="0"/>
              <w:rPr>
                <w:sz w:val="12"/>
                <w:szCs w:val="12"/>
                <w:color w:val="auto"/>
              </w:rPr>
            </w:pPr>
          </w:p>
        </w:tc>
        <w:tc>
          <w:tcPr>
            <w:tcW w:w="260" w:type="dxa"/>
            <w:vAlign w:val="bottom"/>
            <w:shd w:val="clear" w:color="auto" w:fill="F4F3F3"/>
          </w:tcPr>
          <w:p>
            <w:pPr>
              <w:spacing w:after="0"/>
              <w:rPr>
                <w:sz w:val="12"/>
                <w:szCs w:val="12"/>
                <w:color w:val="auto"/>
              </w:rPr>
            </w:pPr>
          </w:p>
        </w:tc>
        <w:tc>
          <w:tcPr>
            <w:tcW w:w="240" w:type="dxa"/>
            <w:vAlign w:val="bottom"/>
            <w:shd w:val="clear" w:color="auto" w:fill="F4F3F3"/>
          </w:tcPr>
          <w:p>
            <w:pPr>
              <w:spacing w:after="0"/>
              <w:rPr>
                <w:sz w:val="12"/>
                <w:szCs w:val="12"/>
                <w:color w:val="auto"/>
              </w:rPr>
            </w:pPr>
          </w:p>
        </w:tc>
        <w:tc>
          <w:tcPr>
            <w:tcW w:w="20" w:type="dxa"/>
            <w:vAlign w:val="bottom"/>
            <w:shd w:val="clear" w:color="auto" w:fill="F4F3F3"/>
          </w:tcPr>
          <w:p>
            <w:pPr>
              <w:spacing w:after="0"/>
              <w:rPr>
                <w:sz w:val="12"/>
                <w:szCs w:val="12"/>
                <w:color w:val="auto"/>
              </w:rPr>
            </w:pPr>
          </w:p>
        </w:tc>
        <w:tc>
          <w:tcPr>
            <w:tcW w:w="100" w:type="dxa"/>
            <w:vAlign w:val="bottom"/>
            <w:shd w:val="clear" w:color="auto" w:fill="F4F3F3"/>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5500" w:type="dxa"/>
            <w:vAlign w:val="bottom"/>
            <w:vMerge w:val="continue"/>
            <w:shd w:val="clear" w:color="auto" w:fill="F4F3F3"/>
          </w:tcPr>
          <w:p>
            <w:pPr>
              <w:spacing w:after="0"/>
              <w:rPr>
                <w:sz w:val="7"/>
                <w:szCs w:val="7"/>
                <w:color w:val="auto"/>
              </w:rPr>
            </w:pPr>
          </w:p>
        </w:tc>
        <w:tc>
          <w:tcPr>
            <w:tcW w:w="500" w:type="dxa"/>
            <w:vAlign w:val="bottom"/>
            <w:vMerge w:val="restart"/>
            <w:shd w:val="clear" w:color="auto" w:fill="F4F3F3"/>
          </w:tcPr>
          <w:p>
            <w:pPr>
              <w:jc w:val="center"/>
              <w:ind w:left="28"/>
              <w:spacing w:after="0"/>
              <w:rPr>
                <w:sz w:val="20"/>
                <w:szCs w:val="20"/>
                <w:color w:val="auto"/>
              </w:rPr>
            </w:pPr>
            <w:r>
              <w:rPr>
                <w:rFonts w:ascii="Arial" w:cs="Arial" w:eastAsia="Arial" w:hAnsi="Arial"/>
                <w:sz w:val="14"/>
                <w:szCs w:val="14"/>
                <w:color w:val="auto"/>
              </w:rPr>
              <w:t>63</w:t>
            </w:r>
          </w:p>
        </w:tc>
        <w:tc>
          <w:tcPr>
            <w:tcW w:w="740" w:type="dxa"/>
            <w:vAlign w:val="bottom"/>
            <w:vMerge w:val="restart"/>
            <w:shd w:val="clear" w:color="auto" w:fill="F4F3F3"/>
          </w:tcPr>
          <w:p>
            <w:pPr>
              <w:jc w:val="center"/>
              <w:spacing w:after="0"/>
              <w:rPr>
                <w:sz w:val="20"/>
                <w:szCs w:val="20"/>
                <w:color w:val="auto"/>
              </w:rPr>
            </w:pPr>
            <w:r>
              <w:rPr>
                <w:rFonts w:ascii="Arial" w:cs="Arial" w:eastAsia="Arial" w:hAnsi="Arial"/>
                <w:sz w:val="14"/>
                <w:szCs w:val="14"/>
                <w:color w:val="auto"/>
              </w:rPr>
              <w:t>2016</w:t>
            </w:r>
          </w:p>
        </w:tc>
        <w:tc>
          <w:tcPr>
            <w:tcW w:w="1000" w:type="dxa"/>
            <w:vAlign w:val="bottom"/>
            <w:vMerge w:val="restart"/>
            <w:shd w:val="clear" w:color="auto" w:fill="F4F3F3"/>
          </w:tcPr>
          <w:p>
            <w:pPr>
              <w:jc w:val="center"/>
              <w:spacing w:after="0"/>
              <w:rPr>
                <w:sz w:val="20"/>
                <w:szCs w:val="20"/>
                <w:color w:val="auto"/>
              </w:rPr>
            </w:pPr>
            <w:r>
              <w:rPr>
                <w:rFonts w:ascii="Arial" w:cs="Arial" w:eastAsia="Arial" w:hAnsi="Arial"/>
                <w:sz w:val="14"/>
                <w:szCs w:val="14"/>
                <w:color w:val="auto"/>
                <w:w w:val="90"/>
              </w:rPr>
              <w:t>Yes</w:t>
            </w:r>
          </w:p>
        </w:tc>
        <w:tc>
          <w:tcPr>
            <w:tcW w:w="160" w:type="dxa"/>
            <w:vAlign w:val="bottom"/>
            <w:shd w:val="clear" w:color="auto" w:fill="F4F3F3"/>
          </w:tcPr>
          <w:p>
            <w:pPr>
              <w:spacing w:after="0"/>
              <w:rPr>
                <w:sz w:val="7"/>
                <w:szCs w:val="7"/>
                <w:color w:val="auto"/>
              </w:rPr>
            </w:pPr>
          </w:p>
        </w:tc>
        <w:tc>
          <w:tcPr>
            <w:tcW w:w="240" w:type="dxa"/>
            <w:vAlign w:val="bottom"/>
            <w:tcBorders>
              <w:right w:val="single" w:sz="8" w:color="F4F3F3"/>
            </w:tcBorders>
            <w:vMerge w:val="restart"/>
            <w:shd w:val="clear" w:color="auto" w:fill="998C87"/>
          </w:tcPr>
          <w:p>
            <w:pPr>
              <w:ind w:left="60"/>
              <w:spacing w:after="0" w:line="182" w:lineRule="exact"/>
              <w:rPr>
                <w:sz w:val="20"/>
                <w:szCs w:val="20"/>
                <w:color w:val="auto"/>
              </w:rPr>
            </w:pPr>
            <w:r>
              <w:rPr>
                <w:rFonts w:ascii="Arial" w:cs="Arial" w:eastAsia="Arial" w:hAnsi="Arial"/>
                <w:sz w:val="18"/>
                <w:szCs w:val="18"/>
                <w:b w:val="1"/>
                <w:bCs w:val="1"/>
                <w:color w:val="FFFFFF"/>
              </w:rPr>
              <w:t>F</w:t>
            </w:r>
          </w:p>
        </w:tc>
        <w:tc>
          <w:tcPr>
            <w:tcW w:w="260" w:type="dxa"/>
            <w:vAlign w:val="bottom"/>
            <w:shd w:val="clear" w:color="auto" w:fill="F4F3F3"/>
          </w:tcPr>
          <w:p>
            <w:pPr>
              <w:spacing w:after="0"/>
              <w:rPr>
                <w:sz w:val="7"/>
                <w:szCs w:val="7"/>
                <w:color w:val="auto"/>
              </w:rPr>
            </w:pPr>
          </w:p>
        </w:tc>
        <w:tc>
          <w:tcPr>
            <w:tcW w:w="280" w:type="dxa"/>
            <w:vAlign w:val="bottom"/>
            <w:tcBorders>
              <w:left w:val="single" w:sz="8" w:color="F4F3F3"/>
              <w:right w:val="single" w:sz="8" w:color="F4F3F3"/>
            </w:tcBorders>
            <w:shd w:val="clear" w:color="auto" w:fill="F4F3F3"/>
          </w:tcPr>
          <w:p>
            <w:pPr>
              <w:spacing w:after="0"/>
              <w:rPr>
                <w:sz w:val="7"/>
                <w:szCs w:val="7"/>
                <w:color w:val="auto"/>
              </w:rPr>
            </w:pPr>
          </w:p>
        </w:tc>
        <w:tc>
          <w:tcPr>
            <w:tcW w:w="260" w:type="dxa"/>
            <w:vAlign w:val="bottom"/>
            <w:shd w:val="clear" w:color="auto" w:fill="F4F3F3"/>
          </w:tcPr>
          <w:p>
            <w:pPr>
              <w:spacing w:after="0"/>
              <w:rPr>
                <w:sz w:val="7"/>
                <w:szCs w:val="7"/>
                <w:color w:val="auto"/>
              </w:rPr>
            </w:pPr>
          </w:p>
        </w:tc>
        <w:tc>
          <w:tcPr>
            <w:tcW w:w="260" w:type="dxa"/>
            <w:vAlign w:val="bottom"/>
            <w:tcBorders>
              <w:right w:val="single" w:sz="8" w:color="F4F3F3"/>
            </w:tcBorders>
            <w:shd w:val="clear" w:color="auto" w:fill="F4F3F3"/>
          </w:tcPr>
          <w:p>
            <w:pPr>
              <w:spacing w:after="0"/>
              <w:rPr>
                <w:sz w:val="7"/>
                <w:szCs w:val="7"/>
                <w:color w:val="auto"/>
              </w:rPr>
            </w:pPr>
          </w:p>
        </w:tc>
        <w:tc>
          <w:tcPr>
            <w:tcW w:w="340" w:type="dxa"/>
            <w:vAlign w:val="bottom"/>
            <w:tcBorders>
              <w:right w:val="single" w:sz="8" w:color="F4F3F3"/>
            </w:tcBorders>
            <w:shd w:val="clear" w:color="auto" w:fill="F4F3F3"/>
          </w:tcPr>
          <w:p>
            <w:pPr>
              <w:spacing w:after="0"/>
              <w:rPr>
                <w:sz w:val="7"/>
                <w:szCs w:val="7"/>
                <w:color w:val="auto"/>
              </w:rPr>
            </w:pPr>
          </w:p>
        </w:tc>
        <w:tc>
          <w:tcPr>
            <w:tcW w:w="260" w:type="dxa"/>
            <w:vAlign w:val="bottom"/>
            <w:tcBorders>
              <w:right w:val="single" w:sz="8" w:color="F4F3F3"/>
            </w:tcBorders>
            <w:shd w:val="clear" w:color="auto" w:fill="F4F3F3"/>
          </w:tcPr>
          <w:p>
            <w:pPr>
              <w:spacing w:after="0"/>
              <w:rPr>
                <w:sz w:val="7"/>
                <w:szCs w:val="7"/>
                <w:color w:val="auto"/>
              </w:rPr>
            </w:pPr>
          </w:p>
        </w:tc>
        <w:tc>
          <w:tcPr>
            <w:tcW w:w="140" w:type="dxa"/>
            <w:vAlign w:val="bottom"/>
            <w:shd w:val="clear" w:color="auto" w:fill="F4F3F3"/>
          </w:tcPr>
          <w:p>
            <w:pPr>
              <w:spacing w:after="0"/>
              <w:rPr>
                <w:sz w:val="7"/>
                <w:szCs w:val="7"/>
                <w:color w:val="auto"/>
              </w:rPr>
            </w:pPr>
          </w:p>
        </w:tc>
        <w:tc>
          <w:tcPr>
            <w:tcW w:w="160" w:type="dxa"/>
            <w:vAlign w:val="bottom"/>
            <w:shd w:val="clear" w:color="auto" w:fill="F4F3F3"/>
          </w:tcPr>
          <w:p>
            <w:pPr>
              <w:spacing w:after="0"/>
              <w:rPr>
                <w:sz w:val="7"/>
                <w:szCs w:val="7"/>
                <w:color w:val="auto"/>
              </w:rPr>
            </w:pPr>
          </w:p>
        </w:tc>
        <w:tc>
          <w:tcPr>
            <w:tcW w:w="280" w:type="dxa"/>
            <w:vAlign w:val="bottom"/>
            <w:tcBorders>
              <w:left w:val="single" w:sz="8" w:color="F4F3F3"/>
              <w:right w:val="single" w:sz="8" w:color="F4F3F3"/>
            </w:tcBorders>
            <w:shd w:val="clear" w:color="auto" w:fill="F4F3F3"/>
          </w:tcPr>
          <w:p>
            <w:pPr>
              <w:spacing w:after="0"/>
              <w:rPr>
                <w:sz w:val="7"/>
                <w:szCs w:val="7"/>
                <w:color w:val="auto"/>
              </w:rPr>
            </w:pPr>
          </w:p>
        </w:tc>
        <w:tc>
          <w:tcPr>
            <w:tcW w:w="260" w:type="dxa"/>
            <w:vAlign w:val="bottom"/>
            <w:shd w:val="clear" w:color="auto" w:fill="F4F3F3"/>
          </w:tcPr>
          <w:p>
            <w:pPr>
              <w:spacing w:after="0"/>
              <w:rPr>
                <w:sz w:val="7"/>
                <w:szCs w:val="7"/>
                <w:color w:val="auto"/>
              </w:rPr>
            </w:pPr>
          </w:p>
        </w:tc>
        <w:tc>
          <w:tcPr>
            <w:tcW w:w="240" w:type="dxa"/>
            <w:vAlign w:val="bottom"/>
            <w:shd w:val="clear" w:color="auto" w:fill="F4F3F3"/>
          </w:tcPr>
          <w:p>
            <w:pPr>
              <w:spacing w:after="0"/>
              <w:rPr>
                <w:sz w:val="7"/>
                <w:szCs w:val="7"/>
                <w:color w:val="auto"/>
              </w:rPr>
            </w:pPr>
          </w:p>
        </w:tc>
        <w:tc>
          <w:tcPr>
            <w:tcW w:w="20" w:type="dxa"/>
            <w:vAlign w:val="bottom"/>
            <w:shd w:val="clear" w:color="auto" w:fill="F4F3F3"/>
          </w:tcPr>
          <w:p>
            <w:pPr>
              <w:spacing w:after="0"/>
              <w:rPr>
                <w:sz w:val="7"/>
                <w:szCs w:val="7"/>
                <w:color w:val="auto"/>
              </w:rPr>
            </w:pPr>
          </w:p>
        </w:tc>
        <w:tc>
          <w:tcPr>
            <w:tcW w:w="100" w:type="dxa"/>
            <w:vAlign w:val="bottom"/>
            <w:shd w:val="clear" w:color="auto" w:fill="F4F3F3"/>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5500" w:type="dxa"/>
            <w:vAlign w:val="bottom"/>
            <w:vMerge w:val="restart"/>
            <w:shd w:val="clear" w:color="auto" w:fill="F4F3F3"/>
          </w:tcPr>
          <w:p>
            <w:pPr>
              <w:ind w:left="180"/>
              <w:spacing w:after="0"/>
              <w:rPr>
                <w:sz w:val="20"/>
                <w:szCs w:val="20"/>
                <w:color w:val="auto"/>
              </w:rPr>
            </w:pPr>
            <w:r>
              <w:rPr>
                <w:rFonts w:ascii="Arial" w:cs="Arial" w:eastAsia="Arial" w:hAnsi="Arial"/>
                <w:sz w:val="14"/>
                <w:szCs w:val="14"/>
                <w:i w:val="1"/>
                <w:iCs w:val="1"/>
                <w:color w:val="auto"/>
              </w:rPr>
              <w:t>Former Chairman, Chief Executive Officer and President, Potbelly Corporation</w:t>
            </w:r>
          </w:p>
        </w:tc>
        <w:tc>
          <w:tcPr>
            <w:tcW w:w="500" w:type="dxa"/>
            <w:vAlign w:val="bottom"/>
            <w:vMerge w:val="continue"/>
            <w:shd w:val="clear" w:color="auto" w:fill="F4F3F3"/>
          </w:tcPr>
          <w:p>
            <w:pPr>
              <w:spacing w:after="0"/>
              <w:rPr>
                <w:sz w:val="10"/>
                <w:szCs w:val="10"/>
                <w:color w:val="auto"/>
              </w:rPr>
            </w:pPr>
          </w:p>
        </w:tc>
        <w:tc>
          <w:tcPr>
            <w:tcW w:w="740" w:type="dxa"/>
            <w:vAlign w:val="bottom"/>
            <w:vMerge w:val="continue"/>
            <w:shd w:val="clear" w:color="auto" w:fill="F4F3F3"/>
          </w:tcPr>
          <w:p>
            <w:pPr>
              <w:spacing w:after="0"/>
              <w:rPr>
                <w:sz w:val="10"/>
                <w:szCs w:val="10"/>
                <w:color w:val="auto"/>
              </w:rPr>
            </w:pPr>
          </w:p>
        </w:tc>
        <w:tc>
          <w:tcPr>
            <w:tcW w:w="1000" w:type="dxa"/>
            <w:vAlign w:val="bottom"/>
            <w:vMerge w:val="continue"/>
            <w:shd w:val="clear" w:color="auto" w:fill="F4F3F3"/>
          </w:tcPr>
          <w:p>
            <w:pPr>
              <w:spacing w:after="0"/>
              <w:rPr>
                <w:sz w:val="10"/>
                <w:szCs w:val="10"/>
                <w:color w:val="auto"/>
              </w:rPr>
            </w:pPr>
          </w:p>
        </w:tc>
        <w:tc>
          <w:tcPr>
            <w:tcW w:w="160" w:type="dxa"/>
            <w:vAlign w:val="bottom"/>
            <w:shd w:val="clear" w:color="auto" w:fill="F4F3F3"/>
          </w:tcPr>
          <w:p>
            <w:pPr>
              <w:spacing w:after="0"/>
              <w:rPr>
                <w:sz w:val="10"/>
                <w:szCs w:val="10"/>
                <w:color w:val="auto"/>
              </w:rPr>
            </w:pPr>
          </w:p>
        </w:tc>
        <w:tc>
          <w:tcPr>
            <w:tcW w:w="240" w:type="dxa"/>
            <w:vAlign w:val="bottom"/>
            <w:tcBorders>
              <w:right w:val="single" w:sz="8" w:color="F4F3F3"/>
            </w:tcBorders>
            <w:vMerge w:val="continue"/>
            <w:shd w:val="clear" w:color="auto" w:fill="998C87"/>
          </w:tcPr>
          <w:p>
            <w:pPr>
              <w:spacing w:after="0"/>
              <w:rPr>
                <w:sz w:val="10"/>
                <w:szCs w:val="10"/>
                <w:color w:val="auto"/>
              </w:rPr>
            </w:pPr>
          </w:p>
        </w:tc>
        <w:tc>
          <w:tcPr>
            <w:tcW w:w="260" w:type="dxa"/>
            <w:vAlign w:val="bottom"/>
            <w:shd w:val="clear" w:color="auto" w:fill="F4F3F3"/>
          </w:tcPr>
          <w:p>
            <w:pPr>
              <w:spacing w:after="0"/>
              <w:rPr>
                <w:sz w:val="10"/>
                <w:szCs w:val="10"/>
                <w:color w:val="auto"/>
              </w:rPr>
            </w:pPr>
          </w:p>
        </w:tc>
        <w:tc>
          <w:tcPr>
            <w:tcW w:w="280" w:type="dxa"/>
            <w:vAlign w:val="bottom"/>
            <w:tcBorders>
              <w:left w:val="single" w:sz="8" w:color="F4F3F3"/>
              <w:right w:val="single" w:sz="8" w:color="F4F3F3"/>
            </w:tcBorders>
            <w:shd w:val="clear" w:color="auto" w:fill="F4F3F3"/>
          </w:tcPr>
          <w:p>
            <w:pPr>
              <w:spacing w:after="0"/>
              <w:rPr>
                <w:sz w:val="10"/>
                <w:szCs w:val="10"/>
                <w:color w:val="auto"/>
              </w:rPr>
            </w:pPr>
          </w:p>
        </w:tc>
        <w:tc>
          <w:tcPr>
            <w:tcW w:w="260" w:type="dxa"/>
            <w:vAlign w:val="bottom"/>
            <w:shd w:val="clear" w:color="auto" w:fill="F4F3F3"/>
          </w:tcPr>
          <w:p>
            <w:pPr>
              <w:spacing w:after="0"/>
              <w:rPr>
                <w:sz w:val="10"/>
                <w:szCs w:val="10"/>
                <w:color w:val="auto"/>
              </w:rPr>
            </w:pPr>
          </w:p>
        </w:tc>
        <w:tc>
          <w:tcPr>
            <w:tcW w:w="260" w:type="dxa"/>
            <w:vAlign w:val="bottom"/>
            <w:tcBorders>
              <w:right w:val="single" w:sz="8" w:color="F4F3F3"/>
            </w:tcBorders>
            <w:shd w:val="clear" w:color="auto" w:fill="F4F3F3"/>
          </w:tcPr>
          <w:p>
            <w:pPr>
              <w:spacing w:after="0"/>
              <w:rPr>
                <w:sz w:val="10"/>
                <w:szCs w:val="10"/>
                <w:color w:val="auto"/>
              </w:rPr>
            </w:pPr>
          </w:p>
        </w:tc>
        <w:tc>
          <w:tcPr>
            <w:tcW w:w="340" w:type="dxa"/>
            <w:vAlign w:val="bottom"/>
            <w:tcBorders>
              <w:right w:val="single" w:sz="8" w:color="F4F3F3"/>
            </w:tcBorders>
            <w:shd w:val="clear" w:color="auto" w:fill="F4F3F3"/>
          </w:tcPr>
          <w:p>
            <w:pPr>
              <w:spacing w:after="0"/>
              <w:rPr>
                <w:sz w:val="10"/>
                <w:szCs w:val="10"/>
                <w:color w:val="auto"/>
              </w:rPr>
            </w:pPr>
          </w:p>
        </w:tc>
        <w:tc>
          <w:tcPr>
            <w:tcW w:w="260" w:type="dxa"/>
            <w:vAlign w:val="bottom"/>
            <w:tcBorders>
              <w:right w:val="single" w:sz="8" w:color="F4F3F3"/>
            </w:tcBorders>
            <w:shd w:val="clear" w:color="auto" w:fill="F4F3F3"/>
          </w:tcPr>
          <w:p>
            <w:pPr>
              <w:spacing w:after="0"/>
              <w:rPr>
                <w:sz w:val="10"/>
                <w:szCs w:val="10"/>
                <w:color w:val="auto"/>
              </w:rPr>
            </w:pPr>
          </w:p>
        </w:tc>
        <w:tc>
          <w:tcPr>
            <w:tcW w:w="140" w:type="dxa"/>
            <w:vAlign w:val="bottom"/>
            <w:shd w:val="clear" w:color="auto" w:fill="F4F3F3"/>
          </w:tcPr>
          <w:p>
            <w:pPr>
              <w:spacing w:after="0"/>
              <w:rPr>
                <w:sz w:val="10"/>
                <w:szCs w:val="10"/>
                <w:color w:val="auto"/>
              </w:rPr>
            </w:pPr>
          </w:p>
        </w:tc>
        <w:tc>
          <w:tcPr>
            <w:tcW w:w="160" w:type="dxa"/>
            <w:vAlign w:val="bottom"/>
            <w:shd w:val="clear" w:color="auto" w:fill="F4F3F3"/>
          </w:tcPr>
          <w:p>
            <w:pPr>
              <w:spacing w:after="0"/>
              <w:rPr>
                <w:sz w:val="10"/>
                <w:szCs w:val="10"/>
                <w:color w:val="auto"/>
              </w:rPr>
            </w:pPr>
          </w:p>
        </w:tc>
        <w:tc>
          <w:tcPr>
            <w:tcW w:w="280" w:type="dxa"/>
            <w:vAlign w:val="bottom"/>
            <w:tcBorders>
              <w:left w:val="single" w:sz="8" w:color="F4F3F3"/>
              <w:right w:val="single" w:sz="8" w:color="F4F3F3"/>
            </w:tcBorders>
            <w:shd w:val="clear" w:color="auto" w:fill="F4F3F3"/>
          </w:tcPr>
          <w:p>
            <w:pPr>
              <w:spacing w:after="0"/>
              <w:rPr>
                <w:sz w:val="10"/>
                <w:szCs w:val="10"/>
                <w:color w:val="auto"/>
              </w:rPr>
            </w:pPr>
          </w:p>
        </w:tc>
        <w:tc>
          <w:tcPr>
            <w:tcW w:w="260" w:type="dxa"/>
            <w:vAlign w:val="bottom"/>
            <w:shd w:val="clear" w:color="auto" w:fill="F4F3F3"/>
          </w:tcPr>
          <w:p>
            <w:pPr>
              <w:spacing w:after="0"/>
              <w:rPr>
                <w:sz w:val="10"/>
                <w:szCs w:val="10"/>
                <w:color w:val="auto"/>
              </w:rPr>
            </w:pPr>
          </w:p>
        </w:tc>
        <w:tc>
          <w:tcPr>
            <w:tcW w:w="240" w:type="dxa"/>
            <w:vAlign w:val="bottom"/>
            <w:shd w:val="clear" w:color="auto" w:fill="F4F3F3"/>
          </w:tcPr>
          <w:p>
            <w:pPr>
              <w:spacing w:after="0"/>
              <w:rPr>
                <w:sz w:val="10"/>
                <w:szCs w:val="10"/>
                <w:color w:val="auto"/>
              </w:rPr>
            </w:pPr>
          </w:p>
        </w:tc>
        <w:tc>
          <w:tcPr>
            <w:tcW w:w="20" w:type="dxa"/>
            <w:vAlign w:val="bottom"/>
            <w:shd w:val="clear" w:color="auto" w:fill="F4F3F3"/>
          </w:tcPr>
          <w:p>
            <w:pPr>
              <w:spacing w:after="0"/>
              <w:rPr>
                <w:sz w:val="10"/>
                <w:szCs w:val="10"/>
                <w:color w:val="auto"/>
              </w:rPr>
            </w:pPr>
          </w:p>
        </w:tc>
        <w:tc>
          <w:tcPr>
            <w:tcW w:w="100" w:type="dxa"/>
            <w:vAlign w:val="bottom"/>
            <w:shd w:val="clear" w:color="auto" w:fill="F4F3F3"/>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5500" w:type="dxa"/>
            <w:vAlign w:val="bottom"/>
            <w:vMerge w:val="continue"/>
            <w:shd w:val="clear" w:color="auto" w:fill="F4F3F3"/>
          </w:tcPr>
          <w:p>
            <w:pPr>
              <w:spacing w:after="0"/>
              <w:rPr>
                <w:sz w:val="6"/>
                <w:szCs w:val="6"/>
                <w:color w:val="auto"/>
              </w:rPr>
            </w:pPr>
          </w:p>
        </w:tc>
        <w:tc>
          <w:tcPr>
            <w:tcW w:w="500" w:type="dxa"/>
            <w:vAlign w:val="bottom"/>
            <w:shd w:val="clear" w:color="auto" w:fill="F4F3F3"/>
          </w:tcPr>
          <w:p>
            <w:pPr>
              <w:spacing w:after="0"/>
              <w:rPr>
                <w:sz w:val="6"/>
                <w:szCs w:val="6"/>
                <w:color w:val="auto"/>
              </w:rPr>
            </w:pPr>
          </w:p>
        </w:tc>
        <w:tc>
          <w:tcPr>
            <w:tcW w:w="740" w:type="dxa"/>
            <w:vAlign w:val="bottom"/>
            <w:shd w:val="clear" w:color="auto" w:fill="F4F3F3"/>
          </w:tcPr>
          <w:p>
            <w:pPr>
              <w:spacing w:after="0"/>
              <w:rPr>
                <w:sz w:val="6"/>
                <w:szCs w:val="6"/>
                <w:color w:val="auto"/>
              </w:rPr>
            </w:pPr>
          </w:p>
        </w:tc>
        <w:tc>
          <w:tcPr>
            <w:tcW w:w="1000" w:type="dxa"/>
            <w:vAlign w:val="bottom"/>
            <w:shd w:val="clear" w:color="auto" w:fill="F4F3F3"/>
          </w:tcPr>
          <w:p>
            <w:pPr>
              <w:spacing w:after="0"/>
              <w:rPr>
                <w:sz w:val="6"/>
                <w:szCs w:val="6"/>
                <w:color w:val="auto"/>
              </w:rPr>
            </w:pPr>
          </w:p>
        </w:tc>
        <w:tc>
          <w:tcPr>
            <w:tcW w:w="160" w:type="dxa"/>
            <w:vAlign w:val="bottom"/>
            <w:shd w:val="clear" w:color="auto" w:fill="F4F3F3"/>
          </w:tcPr>
          <w:p>
            <w:pPr>
              <w:spacing w:after="0"/>
              <w:rPr>
                <w:sz w:val="6"/>
                <w:szCs w:val="6"/>
                <w:color w:val="auto"/>
              </w:rPr>
            </w:pPr>
          </w:p>
        </w:tc>
        <w:tc>
          <w:tcPr>
            <w:tcW w:w="240" w:type="dxa"/>
            <w:vAlign w:val="bottom"/>
            <w:tcBorders>
              <w:right w:val="single" w:sz="8" w:color="F4F3F3"/>
            </w:tcBorders>
            <w:shd w:val="clear" w:color="auto" w:fill="F4F3F3"/>
          </w:tcPr>
          <w:p>
            <w:pPr>
              <w:spacing w:after="0"/>
              <w:rPr>
                <w:sz w:val="6"/>
                <w:szCs w:val="6"/>
                <w:color w:val="auto"/>
              </w:rPr>
            </w:pPr>
          </w:p>
        </w:tc>
        <w:tc>
          <w:tcPr>
            <w:tcW w:w="260" w:type="dxa"/>
            <w:vAlign w:val="bottom"/>
            <w:shd w:val="clear" w:color="auto" w:fill="F4F3F3"/>
          </w:tcPr>
          <w:p>
            <w:pPr>
              <w:spacing w:after="0"/>
              <w:rPr>
                <w:sz w:val="6"/>
                <w:szCs w:val="6"/>
                <w:color w:val="auto"/>
              </w:rPr>
            </w:pPr>
          </w:p>
        </w:tc>
        <w:tc>
          <w:tcPr>
            <w:tcW w:w="280" w:type="dxa"/>
            <w:vAlign w:val="bottom"/>
            <w:tcBorders>
              <w:left w:val="single" w:sz="8" w:color="F4F3F3"/>
              <w:right w:val="single" w:sz="8" w:color="F4F3F3"/>
            </w:tcBorders>
            <w:shd w:val="clear" w:color="auto" w:fill="F4F3F3"/>
          </w:tcPr>
          <w:p>
            <w:pPr>
              <w:spacing w:after="0"/>
              <w:rPr>
                <w:sz w:val="6"/>
                <w:szCs w:val="6"/>
                <w:color w:val="auto"/>
              </w:rPr>
            </w:pPr>
          </w:p>
        </w:tc>
        <w:tc>
          <w:tcPr>
            <w:tcW w:w="260" w:type="dxa"/>
            <w:vAlign w:val="bottom"/>
            <w:shd w:val="clear" w:color="auto" w:fill="F4F3F3"/>
          </w:tcPr>
          <w:p>
            <w:pPr>
              <w:spacing w:after="0"/>
              <w:rPr>
                <w:sz w:val="6"/>
                <w:szCs w:val="6"/>
                <w:color w:val="auto"/>
              </w:rPr>
            </w:pPr>
          </w:p>
        </w:tc>
        <w:tc>
          <w:tcPr>
            <w:tcW w:w="260" w:type="dxa"/>
            <w:vAlign w:val="bottom"/>
            <w:tcBorders>
              <w:right w:val="single" w:sz="8" w:color="F4F3F3"/>
            </w:tcBorders>
            <w:shd w:val="clear" w:color="auto" w:fill="F4F3F3"/>
          </w:tcPr>
          <w:p>
            <w:pPr>
              <w:spacing w:after="0"/>
              <w:rPr>
                <w:sz w:val="6"/>
                <w:szCs w:val="6"/>
                <w:color w:val="auto"/>
              </w:rPr>
            </w:pPr>
          </w:p>
        </w:tc>
        <w:tc>
          <w:tcPr>
            <w:tcW w:w="340" w:type="dxa"/>
            <w:vAlign w:val="bottom"/>
            <w:tcBorders>
              <w:right w:val="single" w:sz="8" w:color="F4F3F3"/>
            </w:tcBorders>
            <w:shd w:val="clear" w:color="auto" w:fill="F4F3F3"/>
          </w:tcPr>
          <w:p>
            <w:pPr>
              <w:spacing w:after="0"/>
              <w:rPr>
                <w:sz w:val="6"/>
                <w:szCs w:val="6"/>
                <w:color w:val="auto"/>
              </w:rPr>
            </w:pPr>
          </w:p>
        </w:tc>
        <w:tc>
          <w:tcPr>
            <w:tcW w:w="260" w:type="dxa"/>
            <w:vAlign w:val="bottom"/>
            <w:tcBorders>
              <w:right w:val="single" w:sz="8" w:color="F4F3F3"/>
            </w:tcBorders>
            <w:shd w:val="clear" w:color="auto" w:fill="F4F3F3"/>
          </w:tcPr>
          <w:p>
            <w:pPr>
              <w:spacing w:after="0"/>
              <w:rPr>
                <w:sz w:val="6"/>
                <w:szCs w:val="6"/>
                <w:color w:val="auto"/>
              </w:rPr>
            </w:pPr>
          </w:p>
        </w:tc>
        <w:tc>
          <w:tcPr>
            <w:tcW w:w="140" w:type="dxa"/>
            <w:vAlign w:val="bottom"/>
            <w:shd w:val="clear" w:color="auto" w:fill="F4F3F3"/>
          </w:tcPr>
          <w:p>
            <w:pPr>
              <w:spacing w:after="0"/>
              <w:rPr>
                <w:sz w:val="6"/>
                <w:szCs w:val="6"/>
                <w:color w:val="auto"/>
              </w:rPr>
            </w:pPr>
          </w:p>
        </w:tc>
        <w:tc>
          <w:tcPr>
            <w:tcW w:w="160" w:type="dxa"/>
            <w:vAlign w:val="bottom"/>
            <w:shd w:val="clear" w:color="auto" w:fill="F4F3F3"/>
          </w:tcPr>
          <w:p>
            <w:pPr>
              <w:spacing w:after="0"/>
              <w:rPr>
                <w:sz w:val="6"/>
                <w:szCs w:val="6"/>
                <w:color w:val="auto"/>
              </w:rPr>
            </w:pPr>
          </w:p>
        </w:tc>
        <w:tc>
          <w:tcPr>
            <w:tcW w:w="280" w:type="dxa"/>
            <w:vAlign w:val="bottom"/>
            <w:tcBorders>
              <w:left w:val="single" w:sz="8" w:color="F4F3F3"/>
              <w:right w:val="single" w:sz="8" w:color="F4F3F3"/>
            </w:tcBorders>
            <w:shd w:val="clear" w:color="auto" w:fill="F4F3F3"/>
          </w:tcPr>
          <w:p>
            <w:pPr>
              <w:spacing w:after="0"/>
              <w:rPr>
                <w:sz w:val="6"/>
                <w:szCs w:val="6"/>
                <w:color w:val="auto"/>
              </w:rPr>
            </w:pPr>
          </w:p>
        </w:tc>
        <w:tc>
          <w:tcPr>
            <w:tcW w:w="260" w:type="dxa"/>
            <w:vAlign w:val="bottom"/>
            <w:shd w:val="clear" w:color="auto" w:fill="F4F3F3"/>
          </w:tcPr>
          <w:p>
            <w:pPr>
              <w:spacing w:after="0"/>
              <w:rPr>
                <w:sz w:val="6"/>
                <w:szCs w:val="6"/>
                <w:color w:val="auto"/>
              </w:rPr>
            </w:pPr>
          </w:p>
        </w:tc>
        <w:tc>
          <w:tcPr>
            <w:tcW w:w="240" w:type="dxa"/>
            <w:vAlign w:val="bottom"/>
            <w:shd w:val="clear" w:color="auto" w:fill="F4F3F3"/>
          </w:tcPr>
          <w:p>
            <w:pPr>
              <w:spacing w:after="0"/>
              <w:rPr>
                <w:sz w:val="6"/>
                <w:szCs w:val="6"/>
                <w:color w:val="auto"/>
              </w:rPr>
            </w:pPr>
          </w:p>
        </w:tc>
        <w:tc>
          <w:tcPr>
            <w:tcW w:w="20" w:type="dxa"/>
            <w:vAlign w:val="bottom"/>
            <w:shd w:val="clear" w:color="auto" w:fill="F4F3F3"/>
          </w:tcPr>
          <w:p>
            <w:pPr>
              <w:spacing w:after="0"/>
              <w:rPr>
                <w:sz w:val="6"/>
                <w:szCs w:val="6"/>
                <w:color w:val="auto"/>
              </w:rPr>
            </w:pPr>
          </w:p>
        </w:tc>
        <w:tc>
          <w:tcPr>
            <w:tcW w:w="100" w:type="dxa"/>
            <w:vAlign w:val="bottom"/>
            <w:shd w:val="clear" w:color="auto" w:fill="F4F3F3"/>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5500" w:type="dxa"/>
            <w:vAlign w:val="bottom"/>
            <w:vMerge w:val="restart"/>
            <w:shd w:val="clear" w:color="auto" w:fill="F4F3F3"/>
          </w:tcPr>
          <w:p>
            <w:pPr>
              <w:ind w:left="180"/>
              <w:spacing w:after="0"/>
              <w:rPr>
                <w:sz w:val="20"/>
                <w:szCs w:val="20"/>
                <w:color w:val="auto"/>
              </w:rPr>
            </w:pPr>
            <w:r>
              <w:rPr>
                <w:rFonts w:ascii="Arial" w:cs="Arial" w:eastAsia="Arial" w:hAnsi="Arial"/>
                <w:sz w:val="14"/>
                <w:szCs w:val="14"/>
                <w:b w:val="1"/>
                <w:bCs w:val="1"/>
                <w:color w:val="998C87"/>
              </w:rPr>
              <w:t>George Muñoz</w:t>
            </w:r>
          </w:p>
        </w:tc>
        <w:tc>
          <w:tcPr>
            <w:tcW w:w="500" w:type="dxa"/>
            <w:vAlign w:val="bottom"/>
            <w:shd w:val="clear" w:color="auto" w:fill="F4F3F3"/>
          </w:tcPr>
          <w:p>
            <w:pPr>
              <w:spacing w:after="0"/>
              <w:rPr>
                <w:sz w:val="12"/>
                <w:szCs w:val="12"/>
                <w:color w:val="auto"/>
              </w:rPr>
            </w:pPr>
          </w:p>
        </w:tc>
        <w:tc>
          <w:tcPr>
            <w:tcW w:w="740" w:type="dxa"/>
            <w:vAlign w:val="bottom"/>
            <w:shd w:val="clear" w:color="auto" w:fill="F4F3F3"/>
          </w:tcPr>
          <w:p>
            <w:pPr>
              <w:spacing w:after="0"/>
              <w:rPr>
                <w:sz w:val="12"/>
                <w:szCs w:val="12"/>
                <w:color w:val="auto"/>
              </w:rPr>
            </w:pPr>
          </w:p>
        </w:tc>
        <w:tc>
          <w:tcPr>
            <w:tcW w:w="1000" w:type="dxa"/>
            <w:vAlign w:val="bottom"/>
            <w:shd w:val="clear" w:color="auto" w:fill="F4F3F3"/>
          </w:tcPr>
          <w:p>
            <w:pPr>
              <w:spacing w:after="0"/>
              <w:rPr>
                <w:sz w:val="12"/>
                <w:szCs w:val="12"/>
                <w:color w:val="auto"/>
              </w:rPr>
            </w:pPr>
          </w:p>
        </w:tc>
        <w:tc>
          <w:tcPr>
            <w:tcW w:w="160" w:type="dxa"/>
            <w:vAlign w:val="bottom"/>
            <w:shd w:val="clear" w:color="auto" w:fill="F4F3F3"/>
          </w:tcPr>
          <w:p>
            <w:pPr>
              <w:spacing w:after="0"/>
              <w:rPr>
                <w:sz w:val="12"/>
                <w:szCs w:val="12"/>
                <w:color w:val="auto"/>
              </w:rPr>
            </w:pPr>
          </w:p>
        </w:tc>
        <w:tc>
          <w:tcPr>
            <w:tcW w:w="240" w:type="dxa"/>
            <w:vAlign w:val="bottom"/>
            <w:tcBorders>
              <w:right w:val="single" w:sz="8" w:color="F4F3F3"/>
            </w:tcBorders>
            <w:shd w:val="clear" w:color="auto" w:fill="F4F3F3"/>
          </w:tcPr>
          <w:p>
            <w:pPr>
              <w:spacing w:after="0"/>
              <w:rPr>
                <w:sz w:val="12"/>
                <w:szCs w:val="12"/>
                <w:color w:val="auto"/>
              </w:rPr>
            </w:pPr>
          </w:p>
        </w:tc>
        <w:tc>
          <w:tcPr>
            <w:tcW w:w="260" w:type="dxa"/>
            <w:vAlign w:val="bottom"/>
            <w:shd w:val="clear" w:color="auto" w:fill="F4F3F3"/>
          </w:tcPr>
          <w:p>
            <w:pPr>
              <w:spacing w:after="0"/>
              <w:rPr>
                <w:sz w:val="12"/>
                <w:szCs w:val="12"/>
                <w:color w:val="auto"/>
              </w:rPr>
            </w:pPr>
          </w:p>
        </w:tc>
        <w:tc>
          <w:tcPr>
            <w:tcW w:w="280" w:type="dxa"/>
            <w:vAlign w:val="bottom"/>
            <w:tcBorders>
              <w:left w:val="single" w:sz="8" w:color="F4F3F3"/>
              <w:right w:val="single" w:sz="8" w:color="F4F3F3"/>
            </w:tcBorders>
            <w:shd w:val="clear" w:color="auto" w:fill="F4F3F3"/>
          </w:tcPr>
          <w:p>
            <w:pPr>
              <w:spacing w:after="0"/>
              <w:rPr>
                <w:sz w:val="12"/>
                <w:szCs w:val="12"/>
                <w:color w:val="auto"/>
              </w:rPr>
            </w:pPr>
          </w:p>
        </w:tc>
        <w:tc>
          <w:tcPr>
            <w:tcW w:w="260" w:type="dxa"/>
            <w:vAlign w:val="bottom"/>
            <w:shd w:val="clear" w:color="auto" w:fill="F4F3F3"/>
          </w:tcPr>
          <w:p>
            <w:pPr>
              <w:spacing w:after="0"/>
              <w:rPr>
                <w:sz w:val="12"/>
                <w:szCs w:val="12"/>
                <w:color w:val="auto"/>
              </w:rPr>
            </w:pPr>
          </w:p>
        </w:tc>
        <w:tc>
          <w:tcPr>
            <w:tcW w:w="260" w:type="dxa"/>
            <w:vAlign w:val="bottom"/>
            <w:tcBorders>
              <w:right w:val="single" w:sz="8" w:color="F4F3F3"/>
            </w:tcBorders>
            <w:shd w:val="clear" w:color="auto" w:fill="F4F3F3"/>
          </w:tcPr>
          <w:p>
            <w:pPr>
              <w:spacing w:after="0"/>
              <w:rPr>
                <w:sz w:val="12"/>
                <w:szCs w:val="12"/>
                <w:color w:val="auto"/>
              </w:rPr>
            </w:pPr>
          </w:p>
        </w:tc>
        <w:tc>
          <w:tcPr>
            <w:tcW w:w="340" w:type="dxa"/>
            <w:vAlign w:val="bottom"/>
            <w:tcBorders>
              <w:right w:val="single" w:sz="8" w:color="F4F3F3"/>
            </w:tcBorders>
            <w:shd w:val="clear" w:color="auto" w:fill="F4F3F3"/>
          </w:tcPr>
          <w:p>
            <w:pPr>
              <w:spacing w:after="0"/>
              <w:rPr>
                <w:sz w:val="12"/>
                <w:szCs w:val="12"/>
                <w:color w:val="auto"/>
              </w:rPr>
            </w:pPr>
          </w:p>
        </w:tc>
        <w:tc>
          <w:tcPr>
            <w:tcW w:w="260" w:type="dxa"/>
            <w:vAlign w:val="bottom"/>
            <w:tcBorders>
              <w:right w:val="single" w:sz="8" w:color="F4F3F3"/>
            </w:tcBorders>
            <w:shd w:val="clear" w:color="auto" w:fill="F4F3F3"/>
          </w:tcPr>
          <w:p>
            <w:pPr>
              <w:spacing w:after="0"/>
              <w:rPr>
                <w:sz w:val="12"/>
                <w:szCs w:val="12"/>
                <w:color w:val="auto"/>
              </w:rPr>
            </w:pPr>
          </w:p>
        </w:tc>
        <w:tc>
          <w:tcPr>
            <w:tcW w:w="140" w:type="dxa"/>
            <w:vAlign w:val="bottom"/>
            <w:shd w:val="clear" w:color="auto" w:fill="F4F3F3"/>
          </w:tcPr>
          <w:p>
            <w:pPr>
              <w:spacing w:after="0"/>
              <w:rPr>
                <w:sz w:val="12"/>
                <w:szCs w:val="12"/>
                <w:color w:val="auto"/>
              </w:rPr>
            </w:pPr>
          </w:p>
        </w:tc>
        <w:tc>
          <w:tcPr>
            <w:tcW w:w="160" w:type="dxa"/>
            <w:vAlign w:val="bottom"/>
            <w:shd w:val="clear" w:color="auto" w:fill="F4F3F3"/>
          </w:tcPr>
          <w:p>
            <w:pPr>
              <w:spacing w:after="0"/>
              <w:rPr>
                <w:sz w:val="12"/>
                <w:szCs w:val="12"/>
                <w:color w:val="auto"/>
              </w:rPr>
            </w:pPr>
          </w:p>
        </w:tc>
        <w:tc>
          <w:tcPr>
            <w:tcW w:w="280" w:type="dxa"/>
            <w:vAlign w:val="bottom"/>
            <w:tcBorders>
              <w:left w:val="single" w:sz="8" w:color="F4F3F3"/>
              <w:right w:val="single" w:sz="8" w:color="F4F3F3"/>
            </w:tcBorders>
            <w:shd w:val="clear" w:color="auto" w:fill="F4F3F3"/>
          </w:tcPr>
          <w:p>
            <w:pPr>
              <w:spacing w:after="0"/>
              <w:rPr>
                <w:sz w:val="12"/>
                <w:szCs w:val="12"/>
                <w:color w:val="auto"/>
              </w:rPr>
            </w:pPr>
          </w:p>
        </w:tc>
        <w:tc>
          <w:tcPr>
            <w:tcW w:w="260" w:type="dxa"/>
            <w:vAlign w:val="bottom"/>
            <w:shd w:val="clear" w:color="auto" w:fill="F4F3F3"/>
          </w:tcPr>
          <w:p>
            <w:pPr>
              <w:spacing w:after="0"/>
              <w:rPr>
                <w:sz w:val="12"/>
                <w:szCs w:val="12"/>
                <w:color w:val="auto"/>
              </w:rPr>
            </w:pPr>
          </w:p>
        </w:tc>
        <w:tc>
          <w:tcPr>
            <w:tcW w:w="240" w:type="dxa"/>
            <w:vAlign w:val="bottom"/>
            <w:shd w:val="clear" w:color="auto" w:fill="F4F3F3"/>
          </w:tcPr>
          <w:p>
            <w:pPr>
              <w:spacing w:after="0"/>
              <w:rPr>
                <w:sz w:val="12"/>
                <w:szCs w:val="12"/>
                <w:color w:val="auto"/>
              </w:rPr>
            </w:pPr>
          </w:p>
        </w:tc>
        <w:tc>
          <w:tcPr>
            <w:tcW w:w="20" w:type="dxa"/>
            <w:vAlign w:val="bottom"/>
            <w:shd w:val="clear" w:color="auto" w:fill="F4F3F3"/>
          </w:tcPr>
          <w:p>
            <w:pPr>
              <w:spacing w:after="0"/>
              <w:rPr>
                <w:sz w:val="12"/>
                <w:szCs w:val="12"/>
                <w:color w:val="auto"/>
              </w:rPr>
            </w:pPr>
          </w:p>
        </w:tc>
        <w:tc>
          <w:tcPr>
            <w:tcW w:w="100" w:type="dxa"/>
            <w:vAlign w:val="bottom"/>
            <w:shd w:val="clear" w:color="auto" w:fill="F4F3F3"/>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5500" w:type="dxa"/>
            <w:vAlign w:val="bottom"/>
            <w:vMerge w:val="continue"/>
            <w:shd w:val="clear" w:color="auto" w:fill="F4F3F3"/>
          </w:tcPr>
          <w:p>
            <w:pPr>
              <w:spacing w:after="0"/>
              <w:rPr>
                <w:sz w:val="7"/>
                <w:szCs w:val="7"/>
                <w:color w:val="auto"/>
              </w:rPr>
            </w:pPr>
          </w:p>
        </w:tc>
        <w:tc>
          <w:tcPr>
            <w:tcW w:w="500" w:type="dxa"/>
            <w:vAlign w:val="bottom"/>
            <w:vMerge w:val="restart"/>
            <w:shd w:val="clear" w:color="auto" w:fill="F4F3F3"/>
          </w:tcPr>
          <w:p>
            <w:pPr>
              <w:jc w:val="center"/>
              <w:ind w:left="28"/>
              <w:spacing w:after="0"/>
              <w:rPr>
                <w:sz w:val="20"/>
                <w:szCs w:val="20"/>
                <w:color w:val="auto"/>
              </w:rPr>
            </w:pPr>
            <w:r>
              <w:rPr>
                <w:rFonts w:ascii="Arial" w:cs="Arial" w:eastAsia="Arial" w:hAnsi="Arial"/>
                <w:sz w:val="14"/>
                <w:szCs w:val="14"/>
                <w:color w:val="auto"/>
              </w:rPr>
              <w:t>66</w:t>
            </w:r>
          </w:p>
        </w:tc>
        <w:tc>
          <w:tcPr>
            <w:tcW w:w="740" w:type="dxa"/>
            <w:vAlign w:val="bottom"/>
            <w:vMerge w:val="restart"/>
            <w:shd w:val="clear" w:color="auto" w:fill="F4F3F3"/>
          </w:tcPr>
          <w:p>
            <w:pPr>
              <w:jc w:val="center"/>
              <w:spacing w:after="0"/>
              <w:rPr>
                <w:sz w:val="20"/>
                <w:szCs w:val="20"/>
                <w:color w:val="auto"/>
              </w:rPr>
            </w:pPr>
            <w:r>
              <w:rPr>
                <w:rFonts w:ascii="Arial" w:cs="Arial" w:eastAsia="Arial" w:hAnsi="Arial"/>
                <w:sz w:val="14"/>
                <w:szCs w:val="14"/>
                <w:color w:val="auto"/>
              </w:rPr>
              <w:t>2002</w:t>
            </w:r>
          </w:p>
        </w:tc>
        <w:tc>
          <w:tcPr>
            <w:tcW w:w="1000" w:type="dxa"/>
            <w:vAlign w:val="bottom"/>
            <w:vMerge w:val="restart"/>
            <w:shd w:val="clear" w:color="auto" w:fill="F4F3F3"/>
          </w:tcPr>
          <w:p>
            <w:pPr>
              <w:jc w:val="center"/>
              <w:spacing w:after="0"/>
              <w:rPr>
                <w:sz w:val="20"/>
                <w:szCs w:val="20"/>
                <w:color w:val="auto"/>
              </w:rPr>
            </w:pPr>
            <w:r>
              <w:rPr>
                <w:rFonts w:ascii="Arial" w:cs="Arial" w:eastAsia="Arial" w:hAnsi="Arial"/>
                <w:sz w:val="14"/>
                <w:szCs w:val="14"/>
                <w:color w:val="auto"/>
                <w:w w:val="90"/>
              </w:rPr>
              <w:t>Yes</w:t>
            </w:r>
          </w:p>
        </w:tc>
        <w:tc>
          <w:tcPr>
            <w:tcW w:w="160" w:type="dxa"/>
            <w:vAlign w:val="bottom"/>
            <w:shd w:val="clear" w:color="auto" w:fill="F4F3F3"/>
          </w:tcPr>
          <w:p>
            <w:pPr>
              <w:spacing w:after="0"/>
              <w:rPr>
                <w:sz w:val="7"/>
                <w:szCs w:val="7"/>
                <w:color w:val="auto"/>
              </w:rPr>
            </w:pPr>
          </w:p>
        </w:tc>
        <w:tc>
          <w:tcPr>
            <w:tcW w:w="240" w:type="dxa"/>
            <w:vAlign w:val="bottom"/>
            <w:tcBorders>
              <w:right w:val="single" w:sz="8" w:color="F4F3F3"/>
            </w:tcBorders>
            <w:vMerge w:val="restart"/>
            <w:shd w:val="clear" w:color="auto" w:fill="998C87"/>
          </w:tcPr>
          <w:p>
            <w:pPr>
              <w:ind w:left="60"/>
              <w:spacing w:after="0" w:line="182" w:lineRule="exact"/>
              <w:rPr>
                <w:sz w:val="20"/>
                <w:szCs w:val="20"/>
                <w:color w:val="auto"/>
              </w:rPr>
            </w:pPr>
            <w:r>
              <w:rPr>
                <w:rFonts w:ascii="Arial" w:cs="Arial" w:eastAsia="Arial" w:hAnsi="Arial"/>
                <w:sz w:val="18"/>
                <w:szCs w:val="18"/>
                <w:b w:val="1"/>
                <w:bCs w:val="1"/>
                <w:color w:val="FFFFFF"/>
              </w:rPr>
              <w:t>F</w:t>
            </w:r>
          </w:p>
        </w:tc>
        <w:tc>
          <w:tcPr>
            <w:tcW w:w="260" w:type="dxa"/>
            <w:vAlign w:val="bottom"/>
            <w:shd w:val="clear" w:color="auto" w:fill="F4F3F3"/>
          </w:tcPr>
          <w:p>
            <w:pPr>
              <w:spacing w:after="0"/>
              <w:rPr>
                <w:sz w:val="7"/>
                <w:szCs w:val="7"/>
                <w:color w:val="auto"/>
              </w:rPr>
            </w:pPr>
          </w:p>
        </w:tc>
        <w:tc>
          <w:tcPr>
            <w:tcW w:w="280" w:type="dxa"/>
            <w:vAlign w:val="bottom"/>
            <w:tcBorders>
              <w:left w:val="single" w:sz="8" w:color="F4F3F3"/>
              <w:right w:val="single" w:sz="8" w:color="F4F3F3"/>
            </w:tcBorders>
            <w:shd w:val="clear" w:color="auto" w:fill="F4F3F3"/>
          </w:tcPr>
          <w:p>
            <w:pPr>
              <w:spacing w:after="0"/>
              <w:rPr>
                <w:sz w:val="7"/>
                <w:szCs w:val="7"/>
                <w:color w:val="auto"/>
              </w:rPr>
            </w:pPr>
          </w:p>
        </w:tc>
        <w:tc>
          <w:tcPr>
            <w:tcW w:w="260" w:type="dxa"/>
            <w:vAlign w:val="bottom"/>
            <w:shd w:val="clear" w:color="auto" w:fill="F4F3F3"/>
          </w:tcPr>
          <w:p>
            <w:pPr>
              <w:spacing w:after="0"/>
              <w:rPr>
                <w:sz w:val="7"/>
                <w:szCs w:val="7"/>
                <w:color w:val="auto"/>
              </w:rPr>
            </w:pPr>
          </w:p>
        </w:tc>
        <w:tc>
          <w:tcPr>
            <w:tcW w:w="260" w:type="dxa"/>
            <w:vAlign w:val="bottom"/>
            <w:tcBorders>
              <w:right w:val="single" w:sz="8" w:color="F4F3F3"/>
            </w:tcBorders>
            <w:shd w:val="clear" w:color="auto" w:fill="F4F3F3"/>
          </w:tcPr>
          <w:p>
            <w:pPr>
              <w:spacing w:after="0"/>
              <w:rPr>
                <w:sz w:val="7"/>
                <w:szCs w:val="7"/>
                <w:color w:val="auto"/>
              </w:rPr>
            </w:pPr>
          </w:p>
        </w:tc>
        <w:tc>
          <w:tcPr>
            <w:tcW w:w="340" w:type="dxa"/>
            <w:vAlign w:val="bottom"/>
            <w:tcBorders>
              <w:right w:val="single" w:sz="8" w:color="F4F3F3"/>
            </w:tcBorders>
            <w:shd w:val="clear" w:color="auto" w:fill="F4F3F3"/>
          </w:tcPr>
          <w:p>
            <w:pPr>
              <w:spacing w:after="0"/>
              <w:rPr>
                <w:sz w:val="7"/>
                <w:szCs w:val="7"/>
                <w:color w:val="auto"/>
              </w:rPr>
            </w:pPr>
          </w:p>
        </w:tc>
        <w:tc>
          <w:tcPr>
            <w:tcW w:w="260" w:type="dxa"/>
            <w:vAlign w:val="bottom"/>
            <w:tcBorders>
              <w:right w:val="single" w:sz="8" w:color="F4F3F3"/>
            </w:tcBorders>
            <w:shd w:val="clear" w:color="auto" w:fill="F4F3F3"/>
          </w:tcPr>
          <w:p>
            <w:pPr>
              <w:spacing w:after="0"/>
              <w:rPr>
                <w:sz w:val="7"/>
                <w:szCs w:val="7"/>
                <w:color w:val="auto"/>
              </w:rPr>
            </w:pPr>
          </w:p>
        </w:tc>
        <w:tc>
          <w:tcPr>
            <w:tcW w:w="140" w:type="dxa"/>
            <w:vAlign w:val="bottom"/>
            <w:shd w:val="clear" w:color="auto" w:fill="F4F3F3"/>
          </w:tcPr>
          <w:p>
            <w:pPr>
              <w:spacing w:after="0"/>
              <w:rPr>
                <w:sz w:val="7"/>
                <w:szCs w:val="7"/>
                <w:color w:val="auto"/>
              </w:rPr>
            </w:pPr>
          </w:p>
        </w:tc>
        <w:tc>
          <w:tcPr>
            <w:tcW w:w="160" w:type="dxa"/>
            <w:vAlign w:val="bottom"/>
            <w:shd w:val="clear" w:color="auto" w:fill="F4F3F3"/>
          </w:tcPr>
          <w:p>
            <w:pPr>
              <w:spacing w:after="0"/>
              <w:rPr>
                <w:sz w:val="7"/>
                <w:szCs w:val="7"/>
                <w:color w:val="auto"/>
              </w:rPr>
            </w:pPr>
          </w:p>
        </w:tc>
        <w:tc>
          <w:tcPr>
            <w:tcW w:w="280" w:type="dxa"/>
            <w:vAlign w:val="bottom"/>
            <w:tcBorders>
              <w:left w:val="single" w:sz="8" w:color="7F7F7F"/>
              <w:right w:val="single" w:sz="8" w:color="7F7F7F"/>
            </w:tcBorders>
            <w:vMerge w:val="restart"/>
            <w:shd w:val="clear" w:color="auto" w:fill="7F7F7F"/>
          </w:tcPr>
          <w:p>
            <w:pPr>
              <w:ind w:left="60"/>
              <w:spacing w:after="0" w:line="182" w:lineRule="exact"/>
              <w:rPr>
                <w:sz w:val="20"/>
                <w:szCs w:val="20"/>
                <w:color w:val="auto"/>
              </w:rPr>
            </w:pPr>
            <w:r>
              <w:rPr>
                <w:rFonts w:ascii="Arial" w:cs="Arial" w:eastAsia="Arial" w:hAnsi="Arial"/>
                <w:sz w:val="18"/>
                <w:szCs w:val="18"/>
                <w:b w:val="1"/>
                <w:bCs w:val="1"/>
                <w:color w:val="FFFFFF"/>
              </w:rPr>
              <w:t>M</w:t>
            </w:r>
          </w:p>
        </w:tc>
        <w:tc>
          <w:tcPr>
            <w:tcW w:w="260" w:type="dxa"/>
            <w:vAlign w:val="bottom"/>
            <w:shd w:val="clear" w:color="auto" w:fill="F4F3F3"/>
          </w:tcPr>
          <w:p>
            <w:pPr>
              <w:spacing w:after="0"/>
              <w:rPr>
                <w:sz w:val="7"/>
                <w:szCs w:val="7"/>
                <w:color w:val="auto"/>
              </w:rPr>
            </w:pPr>
          </w:p>
        </w:tc>
        <w:tc>
          <w:tcPr>
            <w:tcW w:w="240" w:type="dxa"/>
            <w:vAlign w:val="bottom"/>
            <w:shd w:val="clear" w:color="auto" w:fill="F4F3F3"/>
          </w:tcPr>
          <w:p>
            <w:pPr>
              <w:spacing w:after="0"/>
              <w:rPr>
                <w:sz w:val="7"/>
                <w:szCs w:val="7"/>
                <w:color w:val="auto"/>
              </w:rPr>
            </w:pPr>
          </w:p>
        </w:tc>
        <w:tc>
          <w:tcPr>
            <w:tcW w:w="20" w:type="dxa"/>
            <w:vAlign w:val="bottom"/>
            <w:shd w:val="clear" w:color="auto" w:fill="F4F3F3"/>
          </w:tcPr>
          <w:p>
            <w:pPr>
              <w:spacing w:after="0"/>
              <w:rPr>
                <w:sz w:val="7"/>
                <w:szCs w:val="7"/>
                <w:color w:val="auto"/>
              </w:rPr>
            </w:pPr>
          </w:p>
        </w:tc>
        <w:tc>
          <w:tcPr>
            <w:tcW w:w="100" w:type="dxa"/>
            <w:vAlign w:val="bottom"/>
            <w:shd w:val="clear" w:color="auto" w:fill="F4F3F3"/>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5500" w:type="dxa"/>
            <w:vAlign w:val="bottom"/>
            <w:vMerge w:val="restart"/>
            <w:shd w:val="clear" w:color="auto" w:fill="F4F3F3"/>
          </w:tcPr>
          <w:p>
            <w:pPr>
              <w:ind w:left="180"/>
              <w:spacing w:after="0"/>
              <w:rPr>
                <w:sz w:val="20"/>
                <w:szCs w:val="20"/>
                <w:color w:val="auto"/>
              </w:rPr>
            </w:pPr>
            <w:r>
              <w:rPr>
                <w:rFonts w:ascii="Arial" w:cs="Arial" w:eastAsia="Arial" w:hAnsi="Arial"/>
                <w:sz w:val="14"/>
                <w:szCs w:val="14"/>
                <w:i w:val="1"/>
                <w:iCs w:val="1"/>
                <w:color w:val="auto"/>
              </w:rPr>
              <w:t>Principal, Muñoz Investment Banking Group, LLC</w:t>
            </w:r>
          </w:p>
        </w:tc>
        <w:tc>
          <w:tcPr>
            <w:tcW w:w="500" w:type="dxa"/>
            <w:vAlign w:val="bottom"/>
            <w:vMerge w:val="continue"/>
            <w:shd w:val="clear" w:color="auto" w:fill="F4F3F3"/>
          </w:tcPr>
          <w:p>
            <w:pPr>
              <w:spacing w:after="0"/>
              <w:rPr>
                <w:sz w:val="10"/>
                <w:szCs w:val="10"/>
                <w:color w:val="auto"/>
              </w:rPr>
            </w:pPr>
          </w:p>
        </w:tc>
        <w:tc>
          <w:tcPr>
            <w:tcW w:w="740" w:type="dxa"/>
            <w:vAlign w:val="bottom"/>
            <w:vMerge w:val="continue"/>
            <w:shd w:val="clear" w:color="auto" w:fill="F4F3F3"/>
          </w:tcPr>
          <w:p>
            <w:pPr>
              <w:spacing w:after="0"/>
              <w:rPr>
                <w:sz w:val="10"/>
                <w:szCs w:val="10"/>
                <w:color w:val="auto"/>
              </w:rPr>
            </w:pPr>
          </w:p>
        </w:tc>
        <w:tc>
          <w:tcPr>
            <w:tcW w:w="1000" w:type="dxa"/>
            <w:vAlign w:val="bottom"/>
            <w:vMerge w:val="continue"/>
            <w:shd w:val="clear" w:color="auto" w:fill="F4F3F3"/>
          </w:tcPr>
          <w:p>
            <w:pPr>
              <w:spacing w:after="0"/>
              <w:rPr>
                <w:sz w:val="10"/>
                <w:szCs w:val="10"/>
                <w:color w:val="auto"/>
              </w:rPr>
            </w:pPr>
          </w:p>
        </w:tc>
        <w:tc>
          <w:tcPr>
            <w:tcW w:w="160" w:type="dxa"/>
            <w:vAlign w:val="bottom"/>
            <w:shd w:val="clear" w:color="auto" w:fill="F4F3F3"/>
          </w:tcPr>
          <w:p>
            <w:pPr>
              <w:spacing w:after="0"/>
              <w:rPr>
                <w:sz w:val="10"/>
                <w:szCs w:val="10"/>
                <w:color w:val="auto"/>
              </w:rPr>
            </w:pPr>
          </w:p>
        </w:tc>
        <w:tc>
          <w:tcPr>
            <w:tcW w:w="240" w:type="dxa"/>
            <w:vAlign w:val="bottom"/>
            <w:tcBorders>
              <w:right w:val="single" w:sz="8" w:color="F4F3F3"/>
            </w:tcBorders>
            <w:vMerge w:val="continue"/>
            <w:shd w:val="clear" w:color="auto" w:fill="998C87"/>
          </w:tcPr>
          <w:p>
            <w:pPr>
              <w:spacing w:after="0"/>
              <w:rPr>
                <w:sz w:val="10"/>
                <w:szCs w:val="10"/>
                <w:color w:val="auto"/>
              </w:rPr>
            </w:pPr>
          </w:p>
        </w:tc>
        <w:tc>
          <w:tcPr>
            <w:tcW w:w="260" w:type="dxa"/>
            <w:vAlign w:val="bottom"/>
            <w:shd w:val="clear" w:color="auto" w:fill="F4F3F3"/>
          </w:tcPr>
          <w:p>
            <w:pPr>
              <w:spacing w:after="0"/>
              <w:rPr>
                <w:sz w:val="10"/>
                <w:szCs w:val="10"/>
                <w:color w:val="auto"/>
              </w:rPr>
            </w:pPr>
          </w:p>
        </w:tc>
        <w:tc>
          <w:tcPr>
            <w:tcW w:w="280" w:type="dxa"/>
            <w:vAlign w:val="bottom"/>
            <w:tcBorders>
              <w:left w:val="single" w:sz="8" w:color="F4F3F3"/>
              <w:right w:val="single" w:sz="8" w:color="F4F3F3"/>
            </w:tcBorders>
            <w:shd w:val="clear" w:color="auto" w:fill="F4F3F3"/>
          </w:tcPr>
          <w:p>
            <w:pPr>
              <w:spacing w:after="0"/>
              <w:rPr>
                <w:sz w:val="10"/>
                <w:szCs w:val="10"/>
                <w:color w:val="auto"/>
              </w:rPr>
            </w:pPr>
          </w:p>
        </w:tc>
        <w:tc>
          <w:tcPr>
            <w:tcW w:w="260" w:type="dxa"/>
            <w:vAlign w:val="bottom"/>
            <w:shd w:val="clear" w:color="auto" w:fill="F4F3F3"/>
          </w:tcPr>
          <w:p>
            <w:pPr>
              <w:spacing w:after="0"/>
              <w:rPr>
                <w:sz w:val="10"/>
                <w:szCs w:val="10"/>
                <w:color w:val="auto"/>
              </w:rPr>
            </w:pPr>
          </w:p>
        </w:tc>
        <w:tc>
          <w:tcPr>
            <w:tcW w:w="260" w:type="dxa"/>
            <w:vAlign w:val="bottom"/>
            <w:tcBorders>
              <w:right w:val="single" w:sz="8" w:color="F4F3F3"/>
            </w:tcBorders>
            <w:shd w:val="clear" w:color="auto" w:fill="F4F3F3"/>
          </w:tcPr>
          <w:p>
            <w:pPr>
              <w:spacing w:after="0"/>
              <w:rPr>
                <w:sz w:val="10"/>
                <w:szCs w:val="10"/>
                <w:color w:val="auto"/>
              </w:rPr>
            </w:pPr>
          </w:p>
        </w:tc>
        <w:tc>
          <w:tcPr>
            <w:tcW w:w="340" w:type="dxa"/>
            <w:vAlign w:val="bottom"/>
            <w:tcBorders>
              <w:right w:val="single" w:sz="8" w:color="F4F3F3"/>
            </w:tcBorders>
            <w:shd w:val="clear" w:color="auto" w:fill="F4F3F3"/>
          </w:tcPr>
          <w:p>
            <w:pPr>
              <w:spacing w:after="0"/>
              <w:rPr>
                <w:sz w:val="10"/>
                <w:szCs w:val="10"/>
                <w:color w:val="auto"/>
              </w:rPr>
            </w:pPr>
          </w:p>
        </w:tc>
        <w:tc>
          <w:tcPr>
            <w:tcW w:w="260" w:type="dxa"/>
            <w:vAlign w:val="bottom"/>
            <w:tcBorders>
              <w:right w:val="single" w:sz="8" w:color="F4F3F3"/>
            </w:tcBorders>
            <w:shd w:val="clear" w:color="auto" w:fill="F4F3F3"/>
          </w:tcPr>
          <w:p>
            <w:pPr>
              <w:spacing w:after="0"/>
              <w:rPr>
                <w:sz w:val="10"/>
                <w:szCs w:val="10"/>
                <w:color w:val="auto"/>
              </w:rPr>
            </w:pPr>
          </w:p>
        </w:tc>
        <w:tc>
          <w:tcPr>
            <w:tcW w:w="140" w:type="dxa"/>
            <w:vAlign w:val="bottom"/>
            <w:shd w:val="clear" w:color="auto" w:fill="F4F3F3"/>
          </w:tcPr>
          <w:p>
            <w:pPr>
              <w:spacing w:after="0"/>
              <w:rPr>
                <w:sz w:val="10"/>
                <w:szCs w:val="10"/>
                <w:color w:val="auto"/>
              </w:rPr>
            </w:pPr>
          </w:p>
        </w:tc>
        <w:tc>
          <w:tcPr>
            <w:tcW w:w="160" w:type="dxa"/>
            <w:vAlign w:val="bottom"/>
            <w:shd w:val="clear" w:color="auto" w:fill="F4F3F3"/>
          </w:tcPr>
          <w:p>
            <w:pPr>
              <w:spacing w:after="0"/>
              <w:rPr>
                <w:sz w:val="10"/>
                <w:szCs w:val="10"/>
                <w:color w:val="auto"/>
              </w:rPr>
            </w:pPr>
          </w:p>
        </w:tc>
        <w:tc>
          <w:tcPr>
            <w:tcW w:w="280" w:type="dxa"/>
            <w:vAlign w:val="bottom"/>
            <w:tcBorders>
              <w:left w:val="single" w:sz="8" w:color="7F7F7F"/>
              <w:right w:val="single" w:sz="8" w:color="7F7F7F"/>
            </w:tcBorders>
            <w:vMerge w:val="continue"/>
            <w:shd w:val="clear" w:color="auto" w:fill="7F7F7F"/>
          </w:tcPr>
          <w:p>
            <w:pPr>
              <w:spacing w:after="0"/>
              <w:rPr>
                <w:sz w:val="10"/>
                <w:szCs w:val="10"/>
                <w:color w:val="auto"/>
              </w:rPr>
            </w:pPr>
          </w:p>
        </w:tc>
        <w:tc>
          <w:tcPr>
            <w:tcW w:w="260" w:type="dxa"/>
            <w:vAlign w:val="bottom"/>
            <w:shd w:val="clear" w:color="auto" w:fill="F4F3F3"/>
          </w:tcPr>
          <w:p>
            <w:pPr>
              <w:spacing w:after="0"/>
              <w:rPr>
                <w:sz w:val="10"/>
                <w:szCs w:val="10"/>
                <w:color w:val="auto"/>
              </w:rPr>
            </w:pPr>
          </w:p>
        </w:tc>
        <w:tc>
          <w:tcPr>
            <w:tcW w:w="240" w:type="dxa"/>
            <w:vAlign w:val="bottom"/>
            <w:shd w:val="clear" w:color="auto" w:fill="F4F3F3"/>
          </w:tcPr>
          <w:p>
            <w:pPr>
              <w:spacing w:after="0"/>
              <w:rPr>
                <w:sz w:val="10"/>
                <w:szCs w:val="10"/>
                <w:color w:val="auto"/>
              </w:rPr>
            </w:pPr>
          </w:p>
        </w:tc>
        <w:tc>
          <w:tcPr>
            <w:tcW w:w="20" w:type="dxa"/>
            <w:vAlign w:val="bottom"/>
            <w:shd w:val="clear" w:color="auto" w:fill="F4F3F3"/>
          </w:tcPr>
          <w:p>
            <w:pPr>
              <w:spacing w:after="0"/>
              <w:rPr>
                <w:sz w:val="10"/>
                <w:szCs w:val="10"/>
                <w:color w:val="auto"/>
              </w:rPr>
            </w:pPr>
          </w:p>
        </w:tc>
        <w:tc>
          <w:tcPr>
            <w:tcW w:w="100" w:type="dxa"/>
            <w:vAlign w:val="bottom"/>
            <w:shd w:val="clear" w:color="auto" w:fill="F4F3F3"/>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5500" w:type="dxa"/>
            <w:vAlign w:val="bottom"/>
            <w:vMerge w:val="continue"/>
            <w:shd w:val="clear" w:color="auto" w:fill="F4F3F3"/>
          </w:tcPr>
          <w:p>
            <w:pPr>
              <w:spacing w:after="0"/>
              <w:rPr>
                <w:sz w:val="6"/>
                <w:szCs w:val="6"/>
                <w:color w:val="auto"/>
              </w:rPr>
            </w:pPr>
          </w:p>
        </w:tc>
        <w:tc>
          <w:tcPr>
            <w:tcW w:w="500" w:type="dxa"/>
            <w:vAlign w:val="bottom"/>
            <w:shd w:val="clear" w:color="auto" w:fill="F4F3F3"/>
          </w:tcPr>
          <w:p>
            <w:pPr>
              <w:spacing w:after="0"/>
              <w:rPr>
                <w:sz w:val="6"/>
                <w:szCs w:val="6"/>
                <w:color w:val="auto"/>
              </w:rPr>
            </w:pPr>
          </w:p>
        </w:tc>
        <w:tc>
          <w:tcPr>
            <w:tcW w:w="740" w:type="dxa"/>
            <w:vAlign w:val="bottom"/>
            <w:shd w:val="clear" w:color="auto" w:fill="F4F3F3"/>
          </w:tcPr>
          <w:p>
            <w:pPr>
              <w:spacing w:after="0"/>
              <w:rPr>
                <w:sz w:val="6"/>
                <w:szCs w:val="6"/>
                <w:color w:val="auto"/>
              </w:rPr>
            </w:pPr>
          </w:p>
        </w:tc>
        <w:tc>
          <w:tcPr>
            <w:tcW w:w="1000" w:type="dxa"/>
            <w:vAlign w:val="bottom"/>
            <w:shd w:val="clear" w:color="auto" w:fill="F4F3F3"/>
          </w:tcPr>
          <w:p>
            <w:pPr>
              <w:spacing w:after="0"/>
              <w:rPr>
                <w:sz w:val="6"/>
                <w:szCs w:val="6"/>
                <w:color w:val="auto"/>
              </w:rPr>
            </w:pPr>
          </w:p>
        </w:tc>
        <w:tc>
          <w:tcPr>
            <w:tcW w:w="160" w:type="dxa"/>
            <w:vAlign w:val="bottom"/>
            <w:shd w:val="clear" w:color="auto" w:fill="F4F3F3"/>
          </w:tcPr>
          <w:p>
            <w:pPr>
              <w:spacing w:after="0"/>
              <w:rPr>
                <w:sz w:val="6"/>
                <w:szCs w:val="6"/>
                <w:color w:val="auto"/>
              </w:rPr>
            </w:pPr>
          </w:p>
        </w:tc>
        <w:tc>
          <w:tcPr>
            <w:tcW w:w="240" w:type="dxa"/>
            <w:vAlign w:val="bottom"/>
            <w:tcBorders>
              <w:right w:val="single" w:sz="8" w:color="F4F3F3"/>
            </w:tcBorders>
            <w:shd w:val="clear" w:color="auto" w:fill="F4F3F3"/>
          </w:tcPr>
          <w:p>
            <w:pPr>
              <w:spacing w:after="0"/>
              <w:rPr>
                <w:sz w:val="6"/>
                <w:szCs w:val="6"/>
                <w:color w:val="auto"/>
              </w:rPr>
            </w:pPr>
          </w:p>
        </w:tc>
        <w:tc>
          <w:tcPr>
            <w:tcW w:w="260" w:type="dxa"/>
            <w:vAlign w:val="bottom"/>
            <w:shd w:val="clear" w:color="auto" w:fill="F4F3F3"/>
          </w:tcPr>
          <w:p>
            <w:pPr>
              <w:spacing w:after="0"/>
              <w:rPr>
                <w:sz w:val="6"/>
                <w:szCs w:val="6"/>
                <w:color w:val="auto"/>
              </w:rPr>
            </w:pPr>
          </w:p>
        </w:tc>
        <w:tc>
          <w:tcPr>
            <w:tcW w:w="280" w:type="dxa"/>
            <w:vAlign w:val="bottom"/>
            <w:tcBorders>
              <w:left w:val="single" w:sz="8" w:color="F4F3F3"/>
              <w:right w:val="single" w:sz="8" w:color="F4F3F3"/>
            </w:tcBorders>
            <w:shd w:val="clear" w:color="auto" w:fill="F4F3F3"/>
          </w:tcPr>
          <w:p>
            <w:pPr>
              <w:spacing w:after="0"/>
              <w:rPr>
                <w:sz w:val="6"/>
                <w:szCs w:val="6"/>
                <w:color w:val="auto"/>
              </w:rPr>
            </w:pPr>
          </w:p>
        </w:tc>
        <w:tc>
          <w:tcPr>
            <w:tcW w:w="260" w:type="dxa"/>
            <w:vAlign w:val="bottom"/>
            <w:shd w:val="clear" w:color="auto" w:fill="F4F3F3"/>
          </w:tcPr>
          <w:p>
            <w:pPr>
              <w:spacing w:after="0"/>
              <w:rPr>
                <w:sz w:val="6"/>
                <w:szCs w:val="6"/>
                <w:color w:val="auto"/>
              </w:rPr>
            </w:pPr>
          </w:p>
        </w:tc>
        <w:tc>
          <w:tcPr>
            <w:tcW w:w="260" w:type="dxa"/>
            <w:vAlign w:val="bottom"/>
            <w:tcBorders>
              <w:right w:val="single" w:sz="8" w:color="F4F3F3"/>
            </w:tcBorders>
            <w:shd w:val="clear" w:color="auto" w:fill="F4F3F3"/>
          </w:tcPr>
          <w:p>
            <w:pPr>
              <w:spacing w:after="0"/>
              <w:rPr>
                <w:sz w:val="6"/>
                <w:szCs w:val="6"/>
                <w:color w:val="auto"/>
              </w:rPr>
            </w:pPr>
          </w:p>
        </w:tc>
        <w:tc>
          <w:tcPr>
            <w:tcW w:w="340" w:type="dxa"/>
            <w:vAlign w:val="bottom"/>
            <w:tcBorders>
              <w:right w:val="single" w:sz="8" w:color="F4F3F3"/>
            </w:tcBorders>
            <w:shd w:val="clear" w:color="auto" w:fill="F4F3F3"/>
          </w:tcPr>
          <w:p>
            <w:pPr>
              <w:spacing w:after="0"/>
              <w:rPr>
                <w:sz w:val="6"/>
                <w:szCs w:val="6"/>
                <w:color w:val="auto"/>
              </w:rPr>
            </w:pPr>
          </w:p>
        </w:tc>
        <w:tc>
          <w:tcPr>
            <w:tcW w:w="260" w:type="dxa"/>
            <w:vAlign w:val="bottom"/>
            <w:tcBorders>
              <w:right w:val="single" w:sz="8" w:color="F4F3F3"/>
            </w:tcBorders>
            <w:shd w:val="clear" w:color="auto" w:fill="F4F3F3"/>
          </w:tcPr>
          <w:p>
            <w:pPr>
              <w:spacing w:after="0"/>
              <w:rPr>
                <w:sz w:val="6"/>
                <w:szCs w:val="6"/>
                <w:color w:val="auto"/>
              </w:rPr>
            </w:pPr>
          </w:p>
        </w:tc>
        <w:tc>
          <w:tcPr>
            <w:tcW w:w="140" w:type="dxa"/>
            <w:vAlign w:val="bottom"/>
            <w:shd w:val="clear" w:color="auto" w:fill="F4F3F3"/>
          </w:tcPr>
          <w:p>
            <w:pPr>
              <w:spacing w:after="0"/>
              <w:rPr>
                <w:sz w:val="6"/>
                <w:szCs w:val="6"/>
                <w:color w:val="auto"/>
              </w:rPr>
            </w:pPr>
          </w:p>
        </w:tc>
        <w:tc>
          <w:tcPr>
            <w:tcW w:w="160" w:type="dxa"/>
            <w:vAlign w:val="bottom"/>
            <w:shd w:val="clear" w:color="auto" w:fill="F4F3F3"/>
          </w:tcPr>
          <w:p>
            <w:pPr>
              <w:spacing w:after="0"/>
              <w:rPr>
                <w:sz w:val="6"/>
                <w:szCs w:val="6"/>
                <w:color w:val="auto"/>
              </w:rPr>
            </w:pPr>
          </w:p>
        </w:tc>
        <w:tc>
          <w:tcPr>
            <w:tcW w:w="280" w:type="dxa"/>
            <w:vAlign w:val="bottom"/>
            <w:tcBorders>
              <w:left w:val="single" w:sz="8" w:color="F4F3F3"/>
              <w:right w:val="single" w:sz="8" w:color="F4F3F3"/>
            </w:tcBorders>
            <w:shd w:val="clear" w:color="auto" w:fill="F4F3F3"/>
          </w:tcPr>
          <w:p>
            <w:pPr>
              <w:spacing w:after="0"/>
              <w:rPr>
                <w:sz w:val="6"/>
                <w:szCs w:val="6"/>
                <w:color w:val="auto"/>
              </w:rPr>
            </w:pPr>
          </w:p>
        </w:tc>
        <w:tc>
          <w:tcPr>
            <w:tcW w:w="260" w:type="dxa"/>
            <w:vAlign w:val="bottom"/>
            <w:shd w:val="clear" w:color="auto" w:fill="F4F3F3"/>
          </w:tcPr>
          <w:p>
            <w:pPr>
              <w:spacing w:after="0"/>
              <w:rPr>
                <w:sz w:val="6"/>
                <w:szCs w:val="6"/>
                <w:color w:val="auto"/>
              </w:rPr>
            </w:pPr>
          </w:p>
        </w:tc>
        <w:tc>
          <w:tcPr>
            <w:tcW w:w="240" w:type="dxa"/>
            <w:vAlign w:val="bottom"/>
            <w:shd w:val="clear" w:color="auto" w:fill="F4F3F3"/>
          </w:tcPr>
          <w:p>
            <w:pPr>
              <w:spacing w:after="0"/>
              <w:rPr>
                <w:sz w:val="6"/>
                <w:szCs w:val="6"/>
                <w:color w:val="auto"/>
              </w:rPr>
            </w:pPr>
          </w:p>
        </w:tc>
        <w:tc>
          <w:tcPr>
            <w:tcW w:w="20" w:type="dxa"/>
            <w:vAlign w:val="bottom"/>
            <w:shd w:val="clear" w:color="auto" w:fill="F4F3F3"/>
          </w:tcPr>
          <w:p>
            <w:pPr>
              <w:spacing w:after="0"/>
              <w:rPr>
                <w:sz w:val="6"/>
                <w:szCs w:val="6"/>
                <w:color w:val="auto"/>
              </w:rPr>
            </w:pPr>
          </w:p>
        </w:tc>
        <w:tc>
          <w:tcPr>
            <w:tcW w:w="100" w:type="dxa"/>
            <w:vAlign w:val="bottom"/>
            <w:shd w:val="clear" w:color="auto" w:fill="F4F3F3"/>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5500" w:type="dxa"/>
            <w:vAlign w:val="bottom"/>
            <w:vMerge w:val="restart"/>
            <w:shd w:val="clear" w:color="auto" w:fill="F4F3F3"/>
          </w:tcPr>
          <w:p>
            <w:pPr>
              <w:ind w:left="180"/>
              <w:spacing w:after="0"/>
              <w:rPr>
                <w:sz w:val="20"/>
                <w:szCs w:val="20"/>
                <w:color w:val="auto"/>
              </w:rPr>
            </w:pPr>
            <w:r>
              <w:rPr>
                <w:rFonts w:ascii="Arial" w:cs="Arial" w:eastAsia="Arial" w:hAnsi="Arial"/>
                <w:sz w:val="14"/>
                <w:szCs w:val="14"/>
                <w:b w:val="1"/>
                <w:bCs w:val="1"/>
                <w:color w:val="998C87"/>
              </w:rPr>
              <w:t>Steven S Reinemund</w:t>
            </w:r>
          </w:p>
        </w:tc>
        <w:tc>
          <w:tcPr>
            <w:tcW w:w="500" w:type="dxa"/>
            <w:vAlign w:val="bottom"/>
            <w:shd w:val="clear" w:color="auto" w:fill="F4F3F3"/>
          </w:tcPr>
          <w:p>
            <w:pPr>
              <w:spacing w:after="0"/>
              <w:rPr>
                <w:sz w:val="12"/>
                <w:szCs w:val="12"/>
                <w:color w:val="auto"/>
              </w:rPr>
            </w:pPr>
          </w:p>
        </w:tc>
        <w:tc>
          <w:tcPr>
            <w:tcW w:w="740" w:type="dxa"/>
            <w:vAlign w:val="bottom"/>
            <w:shd w:val="clear" w:color="auto" w:fill="F4F3F3"/>
          </w:tcPr>
          <w:p>
            <w:pPr>
              <w:spacing w:after="0"/>
              <w:rPr>
                <w:sz w:val="12"/>
                <w:szCs w:val="12"/>
                <w:color w:val="auto"/>
              </w:rPr>
            </w:pPr>
          </w:p>
        </w:tc>
        <w:tc>
          <w:tcPr>
            <w:tcW w:w="1000" w:type="dxa"/>
            <w:vAlign w:val="bottom"/>
            <w:shd w:val="clear" w:color="auto" w:fill="F4F3F3"/>
          </w:tcPr>
          <w:p>
            <w:pPr>
              <w:spacing w:after="0"/>
              <w:rPr>
                <w:sz w:val="12"/>
                <w:szCs w:val="12"/>
                <w:color w:val="auto"/>
              </w:rPr>
            </w:pPr>
          </w:p>
        </w:tc>
        <w:tc>
          <w:tcPr>
            <w:tcW w:w="160" w:type="dxa"/>
            <w:vAlign w:val="bottom"/>
            <w:shd w:val="clear" w:color="auto" w:fill="F4F3F3"/>
          </w:tcPr>
          <w:p>
            <w:pPr>
              <w:spacing w:after="0"/>
              <w:rPr>
                <w:sz w:val="12"/>
                <w:szCs w:val="12"/>
                <w:color w:val="auto"/>
              </w:rPr>
            </w:pPr>
          </w:p>
        </w:tc>
        <w:tc>
          <w:tcPr>
            <w:tcW w:w="240" w:type="dxa"/>
            <w:vAlign w:val="bottom"/>
            <w:tcBorders>
              <w:right w:val="single" w:sz="8" w:color="F4F3F3"/>
            </w:tcBorders>
            <w:shd w:val="clear" w:color="auto" w:fill="F4F3F3"/>
          </w:tcPr>
          <w:p>
            <w:pPr>
              <w:spacing w:after="0"/>
              <w:rPr>
                <w:sz w:val="12"/>
                <w:szCs w:val="12"/>
                <w:color w:val="auto"/>
              </w:rPr>
            </w:pPr>
          </w:p>
        </w:tc>
        <w:tc>
          <w:tcPr>
            <w:tcW w:w="260" w:type="dxa"/>
            <w:vAlign w:val="bottom"/>
            <w:shd w:val="clear" w:color="auto" w:fill="F4F3F3"/>
          </w:tcPr>
          <w:p>
            <w:pPr>
              <w:spacing w:after="0"/>
              <w:rPr>
                <w:sz w:val="12"/>
                <w:szCs w:val="12"/>
                <w:color w:val="auto"/>
              </w:rPr>
            </w:pPr>
          </w:p>
        </w:tc>
        <w:tc>
          <w:tcPr>
            <w:tcW w:w="280" w:type="dxa"/>
            <w:vAlign w:val="bottom"/>
            <w:tcBorders>
              <w:left w:val="single" w:sz="8" w:color="F4F3F3"/>
              <w:right w:val="single" w:sz="8" w:color="F4F3F3"/>
            </w:tcBorders>
            <w:shd w:val="clear" w:color="auto" w:fill="F4F3F3"/>
          </w:tcPr>
          <w:p>
            <w:pPr>
              <w:spacing w:after="0"/>
              <w:rPr>
                <w:sz w:val="12"/>
                <w:szCs w:val="12"/>
                <w:color w:val="auto"/>
              </w:rPr>
            </w:pPr>
          </w:p>
        </w:tc>
        <w:tc>
          <w:tcPr>
            <w:tcW w:w="260" w:type="dxa"/>
            <w:vAlign w:val="bottom"/>
            <w:shd w:val="clear" w:color="auto" w:fill="F4F3F3"/>
          </w:tcPr>
          <w:p>
            <w:pPr>
              <w:spacing w:after="0"/>
              <w:rPr>
                <w:sz w:val="12"/>
                <w:szCs w:val="12"/>
                <w:color w:val="auto"/>
              </w:rPr>
            </w:pPr>
          </w:p>
        </w:tc>
        <w:tc>
          <w:tcPr>
            <w:tcW w:w="260" w:type="dxa"/>
            <w:vAlign w:val="bottom"/>
            <w:tcBorders>
              <w:right w:val="single" w:sz="8" w:color="F4F3F3"/>
            </w:tcBorders>
            <w:shd w:val="clear" w:color="auto" w:fill="F4F3F3"/>
          </w:tcPr>
          <w:p>
            <w:pPr>
              <w:spacing w:after="0"/>
              <w:rPr>
                <w:sz w:val="12"/>
                <w:szCs w:val="12"/>
                <w:color w:val="auto"/>
              </w:rPr>
            </w:pPr>
          </w:p>
        </w:tc>
        <w:tc>
          <w:tcPr>
            <w:tcW w:w="340" w:type="dxa"/>
            <w:vAlign w:val="bottom"/>
            <w:tcBorders>
              <w:right w:val="single" w:sz="8" w:color="F4F3F3"/>
            </w:tcBorders>
            <w:shd w:val="clear" w:color="auto" w:fill="F4F3F3"/>
          </w:tcPr>
          <w:p>
            <w:pPr>
              <w:spacing w:after="0"/>
              <w:rPr>
                <w:sz w:val="12"/>
                <w:szCs w:val="12"/>
                <w:color w:val="auto"/>
              </w:rPr>
            </w:pPr>
          </w:p>
        </w:tc>
        <w:tc>
          <w:tcPr>
            <w:tcW w:w="260" w:type="dxa"/>
            <w:vAlign w:val="bottom"/>
            <w:tcBorders>
              <w:right w:val="single" w:sz="8" w:color="F4F3F3"/>
            </w:tcBorders>
            <w:shd w:val="clear" w:color="auto" w:fill="F4F3F3"/>
          </w:tcPr>
          <w:p>
            <w:pPr>
              <w:spacing w:after="0"/>
              <w:rPr>
                <w:sz w:val="12"/>
                <w:szCs w:val="12"/>
                <w:color w:val="auto"/>
              </w:rPr>
            </w:pPr>
          </w:p>
        </w:tc>
        <w:tc>
          <w:tcPr>
            <w:tcW w:w="140" w:type="dxa"/>
            <w:vAlign w:val="bottom"/>
            <w:shd w:val="clear" w:color="auto" w:fill="F4F3F3"/>
          </w:tcPr>
          <w:p>
            <w:pPr>
              <w:spacing w:after="0"/>
              <w:rPr>
                <w:sz w:val="12"/>
                <w:szCs w:val="12"/>
                <w:color w:val="auto"/>
              </w:rPr>
            </w:pPr>
          </w:p>
        </w:tc>
        <w:tc>
          <w:tcPr>
            <w:tcW w:w="160" w:type="dxa"/>
            <w:vAlign w:val="bottom"/>
            <w:shd w:val="clear" w:color="auto" w:fill="F4F3F3"/>
          </w:tcPr>
          <w:p>
            <w:pPr>
              <w:spacing w:after="0"/>
              <w:rPr>
                <w:sz w:val="12"/>
                <w:szCs w:val="12"/>
                <w:color w:val="auto"/>
              </w:rPr>
            </w:pPr>
          </w:p>
        </w:tc>
        <w:tc>
          <w:tcPr>
            <w:tcW w:w="280" w:type="dxa"/>
            <w:vAlign w:val="bottom"/>
            <w:tcBorders>
              <w:left w:val="single" w:sz="8" w:color="F4F3F3"/>
              <w:right w:val="single" w:sz="8" w:color="F4F3F3"/>
            </w:tcBorders>
            <w:shd w:val="clear" w:color="auto" w:fill="F4F3F3"/>
          </w:tcPr>
          <w:p>
            <w:pPr>
              <w:spacing w:after="0"/>
              <w:rPr>
                <w:sz w:val="12"/>
                <w:szCs w:val="12"/>
                <w:color w:val="auto"/>
              </w:rPr>
            </w:pPr>
          </w:p>
        </w:tc>
        <w:tc>
          <w:tcPr>
            <w:tcW w:w="260" w:type="dxa"/>
            <w:vAlign w:val="bottom"/>
            <w:shd w:val="clear" w:color="auto" w:fill="F4F3F3"/>
          </w:tcPr>
          <w:p>
            <w:pPr>
              <w:spacing w:after="0"/>
              <w:rPr>
                <w:sz w:val="12"/>
                <w:szCs w:val="12"/>
                <w:color w:val="auto"/>
              </w:rPr>
            </w:pPr>
          </w:p>
        </w:tc>
        <w:tc>
          <w:tcPr>
            <w:tcW w:w="240" w:type="dxa"/>
            <w:vAlign w:val="bottom"/>
            <w:shd w:val="clear" w:color="auto" w:fill="F4F3F3"/>
          </w:tcPr>
          <w:p>
            <w:pPr>
              <w:spacing w:after="0"/>
              <w:rPr>
                <w:sz w:val="12"/>
                <w:szCs w:val="12"/>
                <w:color w:val="auto"/>
              </w:rPr>
            </w:pPr>
          </w:p>
        </w:tc>
        <w:tc>
          <w:tcPr>
            <w:tcW w:w="20" w:type="dxa"/>
            <w:vAlign w:val="bottom"/>
            <w:shd w:val="clear" w:color="auto" w:fill="F4F3F3"/>
          </w:tcPr>
          <w:p>
            <w:pPr>
              <w:spacing w:after="0"/>
              <w:rPr>
                <w:sz w:val="12"/>
                <w:szCs w:val="12"/>
                <w:color w:val="auto"/>
              </w:rPr>
            </w:pPr>
          </w:p>
        </w:tc>
        <w:tc>
          <w:tcPr>
            <w:tcW w:w="100" w:type="dxa"/>
            <w:vAlign w:val="bottom"/>
            <w:shd w:val="clear" w:color="auto" w:fill="F4F3F3"/>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5500" w:type="dxa"/>
            <w:vAlign w:val="bottom"/>
            <w:vMerge w:val="continue"/>
            <w:shd w:val="clear" w:color="auto" w:fill="F4F3F3"/>
          </w:tcPr>
          <w:p>
            <w:pPr>
              <w:spacing w:after="0"/>
              <w:rPr>
                <w:sz w:val="7"/>
                <w:szCs w:val="7"/>
                <w:color w:val="auto"/>
              </w:rPr>
            </w:pPr>
          </w:p>
        </w:tc>
        <w:tc>
          <w:tcPr>
            <w:tcW w:w="500" w:type="dxa"/>
            <w:vAlign w:val="bottom"/>
            <w:vMerge w:val="restart"/>
            <w:shd w:val="clear" w:color="auto" w:fill="F4F3F3"/>
          </w:tcPr>
          <w:p>
            <w:pPr>
              <w:jc w:val="center"/>
              <w:ind w:left="28"/>
              <w:spacing w:after="0"/>
              <w:rPr>
                <w:sz w:val="20"/>
                <w:szCs w:val="20"/>
                <w:color w:val="auto"/>
              </w:rPr>
            </w:pPr>
            <w:r>
              <w:rPr>
                <w:rFonts w:ascii="Arial" w:cs="Arial" w:eastAsia="Arial" w:hAnsi="Arial"/>
                <w:sz w:val="14"/>
                <w:szCs w:val="14"/>
                <w:color w:val="auto"/>
              </w:rPr>
              <w:t>70</w:t>
            </w:r>
          </w:p>
        </w:tc>
        <w:tc>
          <w:tcPr>
            <w:tcW w:w="740" w:type="dxa"/>
            <w:vAlign w:val="bottom"/>
            <w:vMerge w:val="restart"/>
            <w:shd w:val="clear" w:color="auto" w:fill="F4F3F3"/>
          </w:tcPr>
          <w:p>
            <w:pPr>
              <w:jc w:val="center"/>
              <w:spacing w:after="0"/>
              <w:rPr>
                <w:sz w:val="20"/>
                <w:szCs w:val="20"/>
                <w:color w:val="auto"/>
              </w:rPr>
            </w:pPr>
            <w:r>
              <w:rPr>
                <w:rFonts w:ascii="Arial" w:cs="Arial" w:eastAsia="Arial" w:hAnsi="Arial"/>
                <w:sz w:val="14"/>
                <w:szCs w:val="14"/>
                <w:color w:val="auto"/>
              </w:rPr>
              <w:t>2007</w:t>
            </w:r>
          </w:p>
        </w:tc>
        <w:tc>
          <w:tcPr>
            <w:tcW w:w="1000" w:type="dxa"/>
            <w:vAlign w:val="bottom"/>
            <w:vMerge w:val="restart"/>
            <w:shd w:val="clear" w:color="auto" w:fill="F4F3F3"/>
          </w:tcPr>
          <w:p>
            <w:pPr>
              <w:jc w:val="center"/>
              <w:spacing w:after="0"/>
              <w:rPr>
                <w:sz w:val="20"/>
                <w:szCs w:val="20"/>
                <w:color w:val="auto"/>
              </w:rPr>
            </w:pPr>
            <w:r>
              <w:rPr>
                <w:rFonts w:ascii="Arial" w:cs="Arial" w:eastAsia="Arial" w:hAnsi="Arial"/>
                <w:sz w:val="14"/>
                <w:szCs w:val="14"/>
                <w:color w:val="auto"/>
                <w:w w:val="90"/>
              </w:rPr>
              <w:t>Yes</w:t>
            </w:r>
          </w:p>
        </w:tc>
        <w:tc>
          <w:tcPr>
            <w:tcW w:w="160" w:type="dxa"/>
            <w:vAlign w:val="bottom"/>
            <w:shd w:val="clear" w:color="auto" w:fill="F4F3F3"/>
          </w:tcPr>
          <w:p>
            <w:pPr>
              <w:spacing w:after="0"/>
              <w:rPr>
                <w:sz w:val="7"/>
                <w:szCs w:val="7"/>
                <w:color w:val="auto"/>
              </w:rPr>
            </w:pPr>
          </w:p>
        </w:tc>
        <w:tc>
          <w:tcPr>
            <w:tcW w:w="240" w:type="dxa"/>
            <w:vAlign w:val="bottom"/>
            <w:tcBorders>
              <w:right w:val="single" w:sz="8" w:color="F4F3F3"/>
            </w:tcBorders>
            <w:shd w:val="clear" w:color="auto" w:fill="F4F3F3"/>
          </w:tcPr>
          <w:p>
            <w:pPr>
              <w:spacing w:after="0"/>
              <w:rPr>
                <w:sz w:val="7"/>
                <w:szCs w:val="7"/>
                <w:color w:val="auto"/>
              </w:rPr>
            </w:pPr>
          </w:p>
        </w:tc>
        <w:tc>
          <w:tcPr>
            <w:tcW w:w="260" w:type="dxa"/>
            <w:vAlign w:val="bottom"/>
            <w:shd w:val="clear" w:color="auto" w:fill="F4F3F3"/>
          </w:tcPr>
          <w:p>
            <w:pPr>
              <w:spacing w:after="0"/>
              <w:rPr>
                <w:sz w:val="7"/>
                <w:szCs w:val="7"/>
                <w:color w:val="auto"/>
              </w:rPr>
            </w:pPr>
          </w:p>
        </w:tc>
        <w:tc>
          <w:tcPr>
            <w:tcW w:w="280" w:type="dxa"/>
            <w:vAlign w:val="bottom"/>
            <w:tcBorders>
              <w:left w:val="single" w:sz="8" w:color="F4F3F3"/>
              <w:right w:val="single" w:sz="8" w:color="F4F3F3"/>
            </w:tcBorders>
            <w:vMerge w:val="restart"/>
            <w:shd w:val="clear" w:color="auto" w:fill="00358E"/>
          </w:tcPr>
          <w:p>
            <w:pPr>
              <w:ind w:left="80"/>
              <w:spacing w:after="0" w:line="182" w:lineRule="exact"/>
              <w:rPr>
                <w:sz w:val="20"/>
                <w:szCs w:val="20"/>
                <w:color w:val="auto"/>
              </w:rPr>
            </w:pPr>
            <w:r>
              <w:rPr>
                <w:rFonts w:ascii="Arial" w:cs="Arial" w:eastAsia="Arial" w:hAnsi="Arial"/>
                <w:sz w:val="18"/>
                <w:szCs w:val="18"/>
                <w:b w:val="1"/>
                <w:bCs w:val="1"/>
                <w:color w:val="FFFFFF"/>
              </w:rPr>
              <w:t>C</w:t>
            </w:r>
          </w:p>
        </w:tc>
        <w:tc>
          <w:tcPr>
            <w:tcW w:w="260" w:type="dxa"/>
            <w:vAlign w:val="bottom"/>
            <w:shd w:val="clear" w:color="auto" w:fill="F4F3F3"/>
          </w:tcPr>
          <w:p>
            <w:pPr>
              <w:spacing w:after="0"/>
              <w:rPr>
                <w:sz w:val="7"/>
                <w:szCs w:val="7"/>
                <w:color w:val="auto"/>
              </w:rPr>
            </w:pPr>
          </w:p>
        </w:tc>
        <w:tc>
          <w:tcPr>
            <w:tcW w:w="260" w:type="dxa"/>
            <w:vAlign w:val="bottom"/>
            <w:tcBorders>
              <w:right w:val="single" w:sz="8" w:color="F4F3F3"/>
            </w:tcBorders>
            <w:shd w:val="clear" w:color="auto" w:fill="F4F3F3"/>
          </w:tcPr>
          <w:p>
            <w:pPr>
              <w:spacing w:after="0"/>
              <w:rPr>
                <w:sz w:val="7"/>
                <w:szCs w:val="7"/>
                <w:color w:val="auto"/>
              </w:rPr>
            </w:pPr>
          </w:p>
        </w:tc>
        <w:tc>
          <w:tcPr>
            <w:tcW w:w="340" w:type="dxa"/>
            <w:vAlign w:val="bottom"/>
            <w:tcBorders>
              <w:right w:val="single" w:sz="8" w:color="7F7F7F"/>
            </w:tcBorders>
            <w:shd w:val="clear" w:color="auto" w:fill="F4F3F3"/>
          </w:tcPr>
          <w:p>
            <w:pPr>
              <w:spacing w:after="0"/>
              <w:rPr>
                <w:sz w:val="7"/>
                <w:szCs w:val="7"/>
                <w:color w:val="auto"/>
              </w:rPr>
            </w:pPr>
          </w:p>
        </w:tc>
        <w:tc>
          <w:tcPr>
            <w:tcW w:w="260" w:type="dxa"/>
            <w:vAlign w:val="bottom"/>
            <w:tcBorders>
              <w:right w:val="single" w:sz="8" w:color="7F7F7F"/>
            </w:tcBorders>
            <w:vMerge w:val="restart"/>
            <w:shd w:val="clear" w:color="auto" w:fill="7F7F7F"/>
          </w:tcPr>
          <w:p>
            <w:pPr>
              <w:ind w:left="40"/>
              <w:spacing w:after="0" w:line="182" w:lineRule="exact"/>
              <w:rPr>
                <w:sz w:val="20"/>
                <w:szCs w:val="20"/>
                <w:color w:val="auto"/>
              </w:rPr>
            </w:pPr>
            <w:r>
              <w:rPr>
                <w:rFonts w:ascii="Arial" w:cs="Arial" w:eastAsia="Arial" w:hAnsi="Arial"/>
                <w:sz w:val="18"/>
                <w:szCs w:val="18"/>
                <w:b w:val="1"/>
                <w:bCs w:val="1"/>
                <w:color w:val="FFFFFF"/>
              </w:rPr>
              <w:t>M</w:t>
            </w:r>
          </w:p>
        </w:tc>
        <w:tc>
          <w:tcPr>
            <w:tcW w:w="140" w:type="dxa"/>
            <w:vAlign w:val="bottom"/>
            <w:shd w:val="clear" w:color="auto" w:fill="F4F3F3"/>
          </w:tcPr>
          <w:p>
            <w:pPr>
              <w:spacing w:after="0"/>
              <w:rPr>
                <w:sz w:val="7"/>
                <w:szCs w:val="7"/>
                <w:color w:val="auto"/>
              </w:rPr>
            </w:pPr>
          </w:p>
        </w:tc>
        <w:tc>
          <w:tcPr>
            <w:tcW w:w="160" w:type="dxa"/>
            <w:vAlign w:val="bottom"/>
            <w:shd w:val="clear" w:color="auto" w:fill="F4F3F3"/>
          </w:tcPr>
          <w:p>
            <w:pPr>
              <w:spacing w:after="0"/>
              <w:rPr>
                <w:sz w:val="7"/>
                <w:szCs w:val="7"/>
                <w:color w:val="auto"/>
              </w:rPr>
            </w:pPr>
          </w:p>
        </w:tc>
        <w:tc>
          <w:tcPr>
            <w:tcW w:w="280" w:type="dxa"/>
            <w:vAlign w:val="bottom"/>
            <w:tcBorders>
              <w:left w:val="single" w:sz="8" w:color="F4F3F3"/>
              <w:right w:val="single" w:sz="8" w:color="F4F3F3"/>
            </w:tcBorders>
            <w:shd w:val="clear" w:color="auto" w:fill="F4F3F3"/>
          </w:tcPr>
          <w:p>
            <w:pPr>
              <w:spacing w:after="0"/>
              <w:rPr>
                <w:sz w:val="7"/>
                <w:szCs w:val="7"/>
                <w:color w:val="auto"/>
              </w:rPr>
            </w:pPr>
          </w:p>
        </w:tc>
        <w:tc>
          <w:tcPr>
            <w:tcW w:w="260" w:type="dxa"/>
            <w:vAlign w:val="bottom"/>
            <w:shd w:val="clear" w:color="auto" w:fill="F4F3F3"/>
          </w:tcPr>
          <w:p>
            <w:pPr>
              <w:spacing w:after="0"/>
              <w:rPr>
                <w:sz w:val="7"/>
                <w:szCs w:val="7"/>
                <w:color w:val="auto"/>
              </w:rPr>
            </w:pPr>
          </w:p>
        </w:tc>
        <w:tc>
          <w:tcPr>
            <w:tcW w:w="260" w:type="dxa"/>
            <w:vAlign w:val="bottom"/>
            <w:gridSpan w:val="2"/>
            <w:vMerge w:val="restart"/>
            <w:shd w:val="clear" w:color="auto" w:fill="7F7F7F"/>
          </w:tcPr>
          <w:p>
            <w:pPr>
              <w:jc w:val="right"/>
              <w:ind w:right="60"/>
              <w:spacing w:after="0" w:line="182" w:lineRule="exact"/>
              <w:rPr>
                <w:sz w:val="20"/>
                <w:szCs w:val="20"/>
                <w:color w:val="auto"/>
              </w:rPr>
            </w:pPr>
            <w:r>
              <w:rPr>
                <w:rFonts w:ascii="Arial" w:cs="Arial" w:eastAsia="Arial" w:hAnsi="Arial"/>
                <w:sz w:val="18"/>
                <w:szCs w:val="18"/>
                <w:b w:val="1"/>
                <w:bCs w:val="1"/>
                <w:color w:val="FFFFFF"/>
              </w:rPr>
              <w:t>M</w:t>
            </w:r>
          </w:p>
        </w:tc>
        <w:tc>
          <w:tcPr>
            <w:tcW w:w="100" w:type="dxa"/>
            <w:vAlign w:val="bottom"/>
            <w:shd w:val="clear" w:color="auto" w:fill="F4F3F3"/>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5500" w:type="dxa"/>
            <w:vAlign w:val="bottom"/>
            <w:vMerge w:val="restart"/>
            <w:shd w:val="clear" w:color="auto" w:fill="F4F3F3"/>
          </w:tcPr>
          <w:p>
            <w:pPr>
              <w:ind w:left="180"/>
              <w:spacing w:after="0"/>
              <w:rPr>
                <w:sz w:val="20"/>
                <w:szCs w:val="20"/>
                <w:color w:val="auto"/>
              </w:rPr>
            </w:pPr>
            <w:r>
              <w:rPr>
                <w:rFonts w:ascii="Arial" w:cs="Arial" w:eastAsia="Arial" w:hAnsi="Arial"/>
                <w:sz w:val="14"/>
                <w:szCs w:val="14"/>
                <w:i w:val="1"/>
                <w:iCs w:val="1"/>
                <w:color w:val="auto"/>
              </w:rPr>
              <w:t>Former Dean of Business, Wake Forest University</w:t>
            </w:r>
          </w:p>
        </w:tc>
        <w:tc>
          <w:tcPr>
            <w:tcW w:w="500" w:type="dxa"/>
            <w:vAlign w:val="bottom"/>
            <w:vMerge w:val="continue"/>
            <w:shd w:val="clear" w:color="auto" w:fill="F4F3F3"/>
          </w:tcPr>
          <w:p>
            <w:pPr>
              <w:spacing w:after="0"/>
              <w:rPr>
                <w:sz w:val="10"/>
                <w:szCs w:val="10"/>
                <w:color w:val="auto"/>
              </w:rPr>
            </w:pPr>
          </w:p>
        </w:tc>
        <w:tc>
          <w:tcPr>
            <w:tcW w:w="740" w:type="dxa"/>
            <w:vAlign w:val="bottom"/>
            <w:vMerge w:val="continue"/>
            <w:shd w:val="clear" w:color="auto" w:fill="F4F3F3"/>
          </w:tcPr>
          <w:p>
            <w:pPr>
              <w:spacing w:after="0"/>
              <w:rPr>
                <w:sz w:val="10"/>
                <w:szCs w:val="10"/>
                <w:color w:val="auto"/>
              </w:rPr>
            </w:pPr>
          </w:p>
        </w:tc>
        <w:tc>
          <w:tcPr>
            <w:tcW w:w="1000" w:type="dxa"/>
            <w:vAlign w:val="bottom"/>
            <w:vMerge w:val="continue"/>
            <w:shd w:val="clear" w:color="auto" w:fill="F4F3F3"/>
          </w:tcPr>
          <w:p>
            <w:pPr>
              <w:spacing w:after="0"/>
              <w:rPr>
                <w:sz w:val="10"/>
                <w:szCs w:val="10"/>
                <w:color w:val="auto"/>
              </w:rPr>
            </w:pPr>
          </w:p>
        </w:tc>
        <w:tc>
          <w:tcPr>
            <w:tcW w:w="160" w:type="dxa"/>
            <w:vAlign w:val="bottom"/>
            <w:shd w:val="clear" w:color="auto" w:fill="F4F3F3"/>
          </w:tcPr>
          <w:p>
            <w:pPr>
              <w:spacing w:after="0"/>
              <w:rPr>
                <w:sz w:val="10"/>
                <w:szCs w:val="10"/>
                <w:color w:val="auto"/>
              </w:rPr>
            </w:pPr>
          </w:p>
        </w:tc>
        <w:tc>
          <w:tcPr>
            <w:tcW w:w="240" w:type="dxa"/>
            <w:vAlign w:val="bottom"/>
            <w:tcBorders>
              <w:right w:val="single" w:sz="8" w:color="F4F3F3"/>
            </w:tcBorders>
            <w:shd w:val="clear" w:color="auto" w:fill="F4F3F3"/>
          </w:tcPr>
          <w:p>
            <w:pPr>
              <w:spacing w:after="0"/>
              <w:rPr>
                <w:sz w:val="10"/>
                <w:szCs w:val="10"/>
                <w:color w:val="auto"/>
              </w:rPr>
            </w:pPr>
          </w:p>
        </w:tc>
        <w:tc>
          <w:tcPr>
            <w:tcW w:w="260" w:type="dxa"/>
            <w:vAlign w:val="bottom"/>
            <w:shd w:val="clear" w:color="auto" w:fill="F4F3F3"/>
          </w:tcPr>
          <w:p>
            <w:pPr>
              <w:spacing w:after="0"/>
              <w:rPr>
                <w:sz w:val="10"/>
                <w:szCs w:val="10"/>
                <w:color w:val="auto"/>
              </w:rPr>
            </w:pPr>
          </w:p>
        </w:tc>
        <w:tc>
          <w:tcPr>
            <w:tcW w:w="280" w:type="dxa"/>
            <w:vAlign w:val="bottom"/>
            <w:tcBorders>
              <w:left w:val="single" w:sz="8" w:color="F4F3F3"/>
              <w:right w:val="single" w:sz="8" w:color="F4F3F3"/>
            </w:tcBorders>
            <w:vMerge w:val="continue"/>
            <w:shd w:val="clear" w:color="auto" w:fill="00358E"/>
          </w:tcPr>
          <w:p>
            <w:pPr>
              <w:spacing w:after="0"/>
              <w:rPr>
                <w:sz w:val="10"/>
                <w:szCs w:val="10"/>
                <w:color w:val="auto"/>
              </w:rPr>
            </w:pPr>
          </w:p>
        </w:tc>
        <w:tc>
          <w:tcPr>
            <w:tcW w:w="260" w:type="dxa"/>
            <w:vAlign w:val="bottom"/>
            <w:shd w:val="clear" w:color="auto" w:fill="F4F3F3"/>
          </w:tcPr>
          <w:p>
            <w:pPr>
              <w:spacing w:after="0"/>
              <w:rPr>
                <w:sz w:val="10"/>
                <w:szCs w:val="10"/>
                <w:color w:val="auto"/>
              </w:rPr>
            </w:pPr>
          </w:p>
        </w:tc>
        <w:tc>
          <w:tcPr>
            <w:tcW w:w="260" w:type="dxa"/>
            <w:vAlign w:val="bottom"/>
            <w:tcBorders>
              <w:right w:val="single" w:sz="8" w:color="F4F3F3"/>
            </w:tcBorders>
            <w:shd w:val="clear" w:color="auto" w:fill="F4F3F3"/>
          </w:tcPr>
          <w:p>
            <w:pPr>
              <w:spacing w:after="0"/>
              <w:rPr>
                <w:sz w:val="10"/>
                <w:szCs w:val="10"/>
                <w:color w:val="auto"/>
              </w:rPr>
            </w:pPr>
          </w:p>
        </w:tc>
        <w:tc>
          <w:tcPr>
            <w:tcW w:w="340" w:type="dxa"/>
            <w:vAlign w:val="bottom"/>
            <w:tcBorders>
              <w:right w:val="single" w:sz="8" w:color="7F7F7F"/>
            </w:tcBorders>
            <w:shd w:val="clear" w:color="auto" w:fill="F4F3F3"/>
          </w:tcPr>
          <w:p>
            <w:pPr>
              <w:spacing w:after="0"/>
              <w:rPr>
                <w:sz w:val="10"/>
                <w:szCs w:val="10"/>
                <w:color w:val="auto"/>
              </w:rPr>
            </w:pPr>
          </w:p>
        </w:tc>
        <w:tc>
          <w:tcPr>
            <w:tcW w:w="260" w:type="dxa"/>
            <w:vAlign w:val="bottom"/>
            <w:tcBorders>
              <w:right w:val="single" w:sz="8" w:color="7F7F7F"/>
            </w:tcBorders>
            <w:vMerge w:val="continue"/>
            <w:shd w:val="clear" w:color="auto" w:fill="7F7F7F"/>
          </w:tcPr>
          <w:p>
            <w:pPr>
              <w:spacing w:after="0"/>
              <w:rPr>
                <w:sz w:val="10"/>
                <w:szCs w:val="10"/>
                <w:color w:val="auto"/>
              </w:rPr>
            </w:pPr>
          </w:p>
        </w:tc>
        <w:tc>
          <w:tcPr>
            <w:tcW w:w="140" w:type="dxa"/>
            <w:vAlign w:val="bottom"/>
            <w:vMerge w:val="restart"/>
            <w:shd w:val="clear" w:color="auto" w:fill="F4F3F3"/>
          </w:tcPr>
          <w:p>
            <w:pPr>
              <w:spacing w:after="0"/>
              <w:rPr>
                <w:sz w:val="10"/>
                <w:szCs w:val="10"/>
                <w:color w:val="auto"/>
              </w:rPr>
            </w:pPr>
          </w:p>
        </w:tc>
        <w:tc>
          <w:tcPr>
            <w:tcW w:w="160" w:type="dxa"/>
            <w:vAlign w:val="bottom"/>
            <w:shd w:val="clear" w:color="auto" w:fill="F4F3F3"/>
          </w:tcPr>
          <w:p>
            <w:pPr>
              <w:spacing w:after="0"/>
              <w:rPr>
                <w:sz w:val="10"/>
                <w:szCs w:val="10"/>
                <w:color w:val="auto"/>
              </w:rPr>
            </w:pPr>
          </w:p>
        </w:tc>
        <w:tc>
          <w:tcPr>
            <w:tcW w:w="280" w:type="dxa"/>
            <w:vAlign w:val="bottom"/>
            <w:tcBorders>
              <w:left w:val="single" w:sz="8" w:color="F4F3F3"/>
              <w:right w:val="single" w:sz="8" w:color="F4F3F3"/>
            </w:tcBorders>
            <w:shd w:val="clear" w:color="auto" w:fill="F4F3F3"/>
          </w:tcPr>
          <w:p>
            <w:pPr>
              <w:spacing w:after="0"/>
              <w:rPr>
                <w:sz w:val="10"/>
                <w:szCs w:val="10"/>
                <w:color w:val="auto"/>
              </w:rPr>
            </w:pPr>
          </w:p>
        </w:tc>
        <w:tc>
          <w:tcPr>
            <w:tcW w:w="260" w:type="dxa"/>
            <w:vAlign w:val="bottom"/>
            <w:shd w:val="clear" w:color="auto" w:fill="F4F3F3"/>
          </w:tcPr>
          <w:p>
            <w:pPr>
              <w:spacing w:after="0"/>
              <w:rPr>
                <w:sz w:val="10"/>
                <w:szCs w:val="10"/>
                <w:color w:val="auto"/>
              </w:rPr>
            </w:pPr>
          </w:p>
        </w:tc>
        <w:tc>
          <w:tcPr>
            <w:tcW w:w="260" w:type="dxa"/>
            <w:vAlign w:val="bottom"/>
            <w:gridSpan w:val="2"/>
            <w:vMerge w:val="continue"/>
            <w:shd w:val="clear" w:color="auto" w:fill="7F7F7F"/>
          </w:tcPr>
          <w:p>
            <w:pPr>
              <w:spacing w:after="0"/>
              <w:rPr>
                <w:sz w:val="10"/>
                <w:szCs w:val="10"/>
                <w:color w:val="auto"/>
              </w:rPr>
            </w:pPr>
          </w:p>
        </w:tc>
        <w:tc>
          <w:tcPr>
            <w:tcW w:w="100" w:type="dxa"/>
            <w:vAlign w:val="bottom"/>
            <w:vMerge w:val="restart"/>
            <w:shd w:val="clear" w:color="auto" w:fill="F4F3F3"/>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5500" w:type="dxa"/>
            <w:vAlign w:val="bottom"/>
            <w:vMerge w:val="continue"/>
            <w:shd w:val="clear" w:color="auto" w:fill="F4F3F3"/>
          </w:tcPr>
          <w:p>
            <w:pPr>
              <w:spacing w:after="0"/>
              <w:rPr>
                <w:sz w:val="6"/>
                <w:szCs w:val="6"/>
                <w:color w:val="auto"/>
              </w:rPr>
            </w:pPr>
          </w:p>
        </w:tc>
        <w:tc>
          <w:tcPr>
            <w:tcW w:w="500" w:type="dxa"/>
            <w:vAlign w:val="bottom"/>
            <w:shd w:val="clear" w:color="auto" w:fill="F4F3F3"/>
          </w:tcPr>
          <w:p>
            <w:pPr>
              <w:spacing w:after="0"/>
              <w:rPr>
                <w:sz w:val="6"/>
                <w:szCs w:val="6"/>
                <w:color w:val="auto"/>
              </w:rPr>
            </w:pPr>
          </w:p>
        </w:tc>
        <w:tc>
          <w:tcPr>
            <w:tcW w:w="740" w:type="dxa"/>
            <w:vAlign w:val="bottom"/>
            <w:shd w:val="clear" w:color="auto" w:fill="F4F3F3"/>
          </w:tcPr>
          <w:p>
            <w:pPr>
              <w:spacing w:after="0"/>
              <w:rPr>
                <w:sz w:val="6"/>
                <w:szCs w:val="6"/>
                <w:color w:val="auto"/>
              </w:rPr>
            </w:pPr>
          </w:p>
        </w:tc>
        <w:tc>
          <w:tcPr>
            <w:tcW w:w="1000" w:type="dxa"/>
            <w:vAlign w:val="bottom"/>
            <w:shd w:val="clear" w:color="auto" w:fill="F4F3F3"/>
          </w:tcPr>
          <w:p>
            <w:pPr>
              <w:spacing w:after="0"/>
              <w:rPr>
                <w:sz w:val="6"/>
                <w:szCs w:val="6"/>
                <w:color w:val="auto"/>
              </w:rPr>
            </w:pPr>
          </w:p>
        </w:tc>
        <w:tc>
          <w:tcPr>
            <w:tcW w:w="160" w:type="dxa"/>
            <w:vAlign w:val="bottom"/>
            <w:shd w:val="clear" w:color="auto" w:fill="F4F3F3"/>
          </w:tcPr>
          <w:p>
            <w:pPr>
              <w:spacing w:after="0"/>
              <w:rPr>
                <w:sz w:val="6"/>
                <w:szCs w:val="6"/>
                <w:color w:val="auto"/>
              </w:rPr>
            </w:pPr>
          </w:p>
        </w:tc>
        <w:tc>
          <w:tcPr>
            <w:tcW w:w="240" w:type="dxa"/>
            <w:vAlign w:val="bottom"/>
            <w:tcBorders>
              <w:right w:val="single" w:sz="8" w:color="F4F3F3"/>
            </w:tcBorders>
            <w:shd w:val="clear" w:color="auto" w:fill="F4F3F3"/>
          </w:tcPr>
          <w:p>
            <w:pPr>
              <w:spacing w:after="0"/>
              <w:rPr>
                <w:sz w:val="6"/>
                <w:szCs w:val="6"/>
                <w:color w:val="auto"/>
              </w:rPr>
            </w:pPr>
          </w:p>
        </w:tc>
        <w:tc>
          <w:tcPr>
            <w:tcW w:w="260" w:type="dxa"/>
            <w:vAlign w:val="bottom"/>
            <w:shd w:val="clear" w:color="auto" w:fill="F4F3F3"/>
          </w:tcPr>
          <w:p>
            <w:pPr>
              <w:spacing w:after="0"/>
              <w:rPr>
                <w:sz w:val="6"/>
                <w:szCs w:val="6"/>
                <w:color w:val="auto"/>
              </w:rPr>
            </w:pPr>
          </w:p>
        </w:tc>
        <w:tc>
          <w:tcPr>
            <w:tcW w:w="280" w:type="dxa"/>
            <w:vAlign w:val="bottom"/>
            <w:tcBorders>
              <w:left w:val="single" w:sz="8" w:color="F4F3F3"/>
              <w:right w:val="single" w:sz="8" w:color="F4F3F3"/>
            </w:tcBorders>
            <w:shd w:val="clear" w:color="auto" w:fill="F4F3F3"/>
          </w:tcPr>
          <w:p>
            <w:pPr>
              <w:spacing w:after="0"/>
              <w:rPr>
                <w:sz w:val="6"/>
                <w:szCs w:val="6"/>
                <w:color w:val="auto"/>
              </w:rPr>
            </w:pPr>
          </w:p>
        </w:tc>
        <w:tc>
          <w:tcPr>
            <w:tcW w:w="260" w:type="dxa"/>
            <w:vAlign w:val="bottom"/>
            <w:shd w:val="clear" w:color="auto" w:fill="F4F3F3"/>
          </w:tcPr>
          <w:p>
            <w:pPr>
              <w:spacing w:after="0"/>
              <w:rPr>
                <w:sz w:val="6"/>
                <w:szCs w:val="6"/>
                <w:color w:val="auto"/>
              </w:rPr>
            </w:pPr>
          </w:p>
        </w:tc>
        <w:tc>
          <w:tcPr>
            <w:tcW w:w="260" w:type="dxa"/>
            <w:vAlign w:val="bottom"/>
            <w:tcBorders>
              <w:right w:val="single" w:sz="8" w:color="F4F3F3"/>
            </w:tcBorders>
            <w:shd w:val="clear" w:color="auto" w:fill="F4F3F3"/>
          </w:tcPr>
          <w:p>
            <w:pPr>
              <w:spacing w:after="0"/>
              <w:rPr>
                <w:sz w:val="6"/>
                <w:szCs w:val="6"/>
                <w:color w:val="auto"/>
              </w:rPr>
            </w:pPr>
          </w:p>
        </w:tc>
        <w:tc>
          <w:tcPr>
            <w:tcW w:w="340" w:type="dxa"/>
            <w:vAlign w:val="bottom"/>
            <w:tcBorders>
              <w:right w:val="single" w:sz="8" w:color="F4F3F3"/>
            </w:tcBorders>
            <w:shd w:val="clear" w:color="auto" w:fill="F4F3F3"/>
          </w:tcPr>
          <w:p>
            <w:pPr>
              <w:spacing w:after="0"/>
              <w:rPr>
                <w:sz w:val="6"/>
                <w:szCs w:val="6"/>
                <w:color w:val="auto"/>
              </w:rPr>
            </w:pPr>
          </w:p>
        </w:tc>
        <w:tc>
          <w:tcPr>
            <w:tcW w:w="260" w:type="dxa"/>
            <w:vAlign w:val="bottom"/>
            <w:tcBorders>
              <w:right w:val="single" w:sz="8" w:color="F4F3F3"/>
            </w:tcBorders>
            <w:shd w:val="clear" w:color="auto" w:fill="F4F3F3"/>
          </w:tcPr>
          <w:p>
            <w:pPr>
              <w:spacing w:after="0"/>
              <w:rPr>
                <w:sz w:val="6"/>
                <w:szCs w:val="6"/>
                <w:color w:val="auto"/>
              </w:rPr>
            </w:pPr>
          </w:p>
        </w:tc>
        <w:tc>
          <w:tcPr>
            <w:tcW w:w="140" w:type="dxa"/>
            <w:vAlign w:val="bottom"/>
            <w:vMerge w:val="continue"/>
            <w:shd w:val="clear" w:color="auto" w:fill="F4F3F3"/>
          </w:tcPr>
          <w:p>
            <w:pPr>
              <w:spacing w:after="0"/>
              <w:rPr>
                <w:sz w:val="6"/>
                <w:szCs w:val="6"/>
                <w:color w:val="auto"/>
              </w:rPr>
            </w:pPr>
          </w:p>
        </w:tc>
        <w:tc>
          <w:tcPr>
            <w:tcW w:w="160" w:type="dxa"/>
            <w:vAlign w:val="bottom"/>
            <w:shd w:val="clear" w:color="auto" w:fill="F4F3F3"/>
          </w:tcPr>
          <w:p>
            <w:pPr>
              <w:spacing w:after="0"/>
              <w:rPr>
                <w:sz w:val="6"/>
                <w:szCs w:val="6"/>
                <w:color w:val="auto"/>
              </w:rPr>
            </w:pPr>
          </w:p>
        </w:tc>
        <w:tc>
          <w:tcPr>
            <w:tcW w:w="280" w:type="dxa"/>
            <w:vAlign w:val="bottom"/>
            <w:tcBorders>
              <w:left w:val="single" w:sz="8" w:color="F4F3F3"/>
              <w:right w:val="single" w:sz="8" w:color="F4F3F3"/>
            </w:tcBorders>
            <w:shd w:val="clear" w:color="auto" w:fill="F4F3F3"/>
          </w:tcPr>
          <w:p>
            <w:pPr>
              <w:spacing w:after="0"/>
              <w:rPr>
                <w:sz w:val="6"/>
                <w:szCs w:val="6"/>
                <w:color w:val="auto"/>
              </w:rPr>
            </w:pPr>
          </w:p>
        </w:tc>
        <w:tc>
          <w:tcPr>
            <w:tcW w:w="260" w:type="dxa"/>
            <w:vAlign w:val="bottom"/>
            <w:shd w:val="clear" w:color="auto" w:fill="F4F3F3"/>
          </w:tcPr>
          <w:p>
            <w:pPr>
              <w:spacing w:after="0"/>
              <w:rPr>
                <w:sz w:val="6"/>
                <w:szCs w:val="6"/>
                <w:color w:val="auto"/>
              </w:rPr>
            </w:pPr>
          </w:p>
        </w:tc>
        <w:tc>
          <w:tcPr>
            <w:tcW w:w="260" w:type="dxa"/>
            <w:vAlign w:val="bottom"/>
            <w:gridSpan w:val="2"/>
            <w:shd w:val="clear" w:color="auto" w:fill="F4F3F3"/>
          </w:tcPr>
          <w:p>
            <w:pPr>
              <w:spacing w:after="0"/>
              <w:rPr>
                <w:sz w:val="6"/>
                <w:szCs w:val="6"/>
                <w:color w:val="auto"/>
              </w:rPr>
            </w:pPr>
          </w:p>
        </w:tc>
        <w:tc>
          <w:tcPr>
            <w:tcW w:w="100" w:type="dxa"/>
            <w:vAlign w:val="bottom"/>
            <w:vMerge w:val="continue"/>
            <w:shd w:val="clear" w:color="auto" w:fill="F4F3F3"/>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5500" w:type="dxa"/>
            <w:vAlign w:val="bottom"/>
            <w:vMerge w:val="restart"/>
            <w:shd w:val="clear" w:color="auto" w:fill="F4F3F3"/>
          </w:tcPr>
          <w:p>
            <w:pPr>
              <w:ind w:left="180"/>
              <w:spacing w:after="0"/>
              <w:rPr>
                <w:sz w:val="20"/>
                <w:szCs w:val="20"/>
                <w:color w:val="auto"/>
              </w:rPr>
            </w:pPr>
            <w:r>
              <w:rPr>
                <w:rFonts w:ascii="Arial" w:cs="Arial" w:eastAsia="Arial" w:hAnsi="Arial"/>
                <w:sz w:val="14"/>
                <w:szCs w:val="14"/>
                <w:b w:val="1"/>
                <w:bCs w:val="1"/>
                <w:color w:val="998C87"/>
              </w:rPr>
              <w:t>W. Mitt Romney</w:t>
            </w:r>
          </w:p>
        </w:tc>
        <w:tc>
          <w:tcPr>
            <w:tcW w:w="500" w:type="dxa"/>
            <w:vAlign w:val="bottom"/>
            <w:shd w:val="clear" w:color="auto" w:fill="F4F3F3"/>
          </w:tcPr>
          <w:p>
            <w:pPr>
              <w:spacing w:after="0"/>
              <w:rPr>
                <w:sz w:val="12"/>
                <w:szCs w:val="12"/>
                <w:color w:val="auto"/>
              </w:rPr>
            </w:pPr>
          </w:p>
        </w:tc>
        <w:tc>
          <w:tcPr>
            <w:tcW w:w="740" w:type="dxa"/>
            <w:vAlign w:val="bottom"/>
            <w:shd w:val="clear" w:color="auto" w:fill="F4F3F3"/>
          </w:tcPr>
          <w:p>
            <w:pPr>
              <w:spacing w:after="0"/>
              <w:rPr>
                <w:sz w:val="12"/>
                <w:szCs w:val="12"/>
                <w:color w:val="auto"/>
              </w:rPr>
            </w:pPr>
          </w:p>
        </w:tc>
        <w:tc>
          <w:tcPr>
            <w:tcW w:w="1000" w:type="dxa"/>
            <w:vAlign w:val="bottom"/>
            <w:shd w:val="clear" w:color="auto" w:fill="F4F3F3"/>
          </w:tcPr>
          <w:p>
            <w:pPr>
              <w:spacing w:after="0"/>
              <w:rPr>
                <w:sz w:val="12"/>
                <w:szCs w:val="12"/>
                <w:color w:val="auto"/>
              </w:rPr>
            </w:pPr>
          </w:p>
        </w:tc>
        <w:tc>
          <w:tcPr>
            <w:tcW w:w="160" w:type="dxa"/>
            <w:vAlign w:val="bottom"/>
            <w:shd w:val="clear" w:color="auto" w:fill="F4F3F3"/>
          </w:tcPr>
          <w:p>
            <w:pPr>
              <w:spacing w:after="0"/>
              <w:rPr>
                <w:sz w:val="12"/>
                <w:szCs w:val="12"/>
                <w:color w:val="auto"/>
              </w:rPr>
            </w:pPr>
          </w:p>
        </w:tc>
        <w:tc>
          <w:tcPr>
            <w:tcW w:w="240" w:type="dxa"/>
            <w:vAlign w:val="bottom"/>
            <w:tcBorders>
              <w:right w:val="single" w:sz="8" w:color="F4F3F3"/>
            </w:tcBorders>
            <w:shd w:val="clear" w:color="auto" w:fill="F4F3F3"/>
          </w:tcPr>
          <w:p>
            <w:pPr>
              <w:spacing w:after="0"/>
              <w:rPr>
                <w:sz w:val="12"/>
                <w:szCs w:val="12"/>
                <w:color w:val="auto"/>
              </w:rPr>
            </w:pPr>
          </w:p>
        </w:tc>
        <w:tc>
          <w:tcPr>
            <w:tcW w:w="260" w:type="dxa"/>
            <w:vAlign w:val="bottom"/>
            <w:shd w:val="clear" w:color="auto" w:fill="F4F3F3"/>
          </w:tcPr>
          <w:p>
            <w:pPr>
              <w:spacing w:after="0"/>
              <w:rPr>
                <w:sz w:val="12"/>
                <w:szCs w:val="12"/>
                <w:color w:val="auto"/>
              </w:rPr>
            </w:pPr>
          </w:p>
        </w:tc>
        <w:tc>
          <w:tcPr>
            <w:tcW w:w="280" w:type="dxa"/>
            <w:vAlign w:val="bottom"/>
            <w:tcBorders>
              <w:left w:val="single" w:sz="8" w:color="F4F3F3"/>
              <w:right w:val="single" w:sz="8" w:color="F4F3F3"/>
            </w:tcBorders>
            <w:shd w:val="clear" w:color="auto" w:fill="F4F3F3"/>
          </w:tcPr>
          <w:p>
            <w:pPr>
              <w:spacing w:after="0"/>
              <w:rPr>
                <w:sz w:val="12"/>
                <w:szCs w:val="12"/>
                <w:color w:val="auto"/>
              </w:rPr>
            </w:pPr>
          </w:p>
        </w:tc>
        <w:tc>
          <w:tcPr>
            <w:tcW w:w="260" w:type="dxa"/>
            <w:vAlign w:val="bottom"/>
            <w:shd w:val="clear" w:color="auto" w:fill="F4F3F3"/>
          </w:tcPr>
          <w:p>
            <w:pPr>
              <w:spacing w:after="0"/>
              <w:rPr>
                <w:sz w:val="12"/>
                <w:szCs w:val="12"/>
                <w:color w:val="auto"/>
              </w:rPr>
            </w:pPr>
          </w:p>
        </w:tc>
        <w:tc>
          <w:tcPr>
            <w:tcW w:w="260" w:type="dxa"/>
            <w:vAlign w:val="bottom"/>
            <w:tcBorders>
              <w:right w:val="single" w:sz="8" w:color="F4F3F3"/>
            </w:tcBorders>
            <w:shd w:val="clear" w:color="auto" w:fill="F4F3F3"/>
          </w:tcPr>
          <w:p>
            <w:pPr>
              <w:spacing w:after="0"/>
              <w:rPr>
                <w:sz w:val="12"/>
                <w:szCs w:val="12"/>
                <w:color w:val="auto"/>
              </w:rPr>
            </w:pPr>
          </w:p>
        </w:tc>
        <w:tc>
          <w:tcPr>
            <w:tcW w:w="340" w:type="dxa"/>
            <w:vAlign w:val="bottom"/>
            <w:tcBorders>
              <w:right w:val="single" w:sz="8" w:color="F4F3F3"/>
            </w:tcBorders>
            <w:shd w:val="clear" w:color="auto" w:fill="F4F3F3"/>
          </w:tcPr>
          <w:p>
            <w:pPr>
              <w:spacing w:after="0"/>
              <w:rPr>
                <w:sz w:val="12"/>
                <w:szCs w:val="12"/>
                <w:color w:val="auto"/>
              </w:rPr>
            </w:pPr>
          </w:p>
        </w:tc>
        <w:tc>
          <w:tcPr>
            <w:tcW w:w="260" w:type="dxa"/>
            <w:vAlign w:val="bottom"/>
            <w:tcBorders>
              <w:right w:val="single" w:sz="8" w:color="F4F3F3"/>
            </w:tcBorders>
            <w:shd w:val="clear" w:color="auto" w:fill="F4F3F3"/>
          </w:tcPr>
          <w:p>
            <w:pPr>
              <w:spacing w:after="0"/>
              <w:rPr>
                <w:sz w:val="12"/>
                <w:szCs w:val="12"/>
                <w:color w:val="auto"/>
              </w:rPr>
            </w:pPr>
          </w:p>
        </w:tc>
        <w:tc>
          <w:tcPr>
            <w:tcW w:w="140" w:type="dxa"/>
            <w:vAlign w:val="bottom"/>
            <w:shd w:val="clear" w:color="auto" w:fill="F4F3F3"/>
          </w:tcPr>
          <w:p>
            <w:pPr>
              <w:spacing w:after="0"/>
              <w:rPr>
                <w:sz w:val="12"/>
                <w:szCs w:val="12"/>
                <w:color w:val="auto"/>
              </w:rPr>
            </w:pPr>
          </w:p>
        </w:tc>
        <w:tc>
          <w:tcPr>
            <w:tcW w:w="160" w:type="dxa"/>
            <w:vAlign w:val="bottom"/>
            <w:shd w:val="clear" w:color="auto" w:fill="F4F3F3"/>
          </w:tcPr>
          <w:p>
            <w:pPr>
              <w:spacing w:after="0"/>
              <w:rPr>
                <w:sz w:val="12"/>
                <w:szCs w:val="12"/>
                <w:color w:val="auto"/>
              </w:rPr>
            </w:pPr>
          </w:p>
        </w:tc>
        <w:tc>
          <w:tcPr>
            <w:tcW w:w="280" w:type="dxa"/>
            <w:vAlign w:val="bottom"/>
            <w:tcBorders>
              <w:left w:val="single" w:sz="8" w:color="F4F3F3"/>
              <w:right w:val="single" w:sz="8" w:color="F4F3F3"/>
            </w:tcBorders>
            <w:shd w:val="clear" w:color="auto" w:fill="F4F3F3"/>
          </w:tcPr>
          <w:p>
            <w:pPr>
              <w:spacing w:after="0"/>
              <w:rPr>
                <w:sz w:val="12"/>
                <w:szCs w:val="12"/>
                <w:color w:val="auto"/>
              </w:rPr>
            </w:pPr>
          </w:p>
        </w:tc>
        <w:tc>
          <w:tcPr>
            <w:tcW w:w="260" w:type="dxa"/>
            <w:vAlign w:val="bottom"/>
            <w:shd w:val="clear" w:color="auto" w:fill="F4F3F3"/>
          </w:tcPr>
          <w:p>
            <w:pPr>
              <w:spacing w:after="0"/>
              <w:rPr>
                <w:sz w:val="12"/>
                <w:szCs w:val="12"/>
                <w:color w:val="auto"/>
              </w:rPr>
            </w:pPr>
          </w:p>
        </w:tc>
        <w:tc>
          <w:tcPr>
            <w:tcW w:w="240" w:type="dxa"/>
            <w:vAlign w:val="bottom"/>
            <w:shd w:val="clear" w:color="auto" w:fill="F4F3F3"/>
          </w:tcPr>
          <w:p>
            <w:pPr>
              <w:spacing w:after="0"/>
              <w:rPr>
                <w:sz w:val="12"/>
                <w:szCs w:val="12"/>
                <w:color w:val="auto"/>
              </w:rPr>
            </w:pPr>
          </w:p>
        </w:tc>
        <w:tc>
          <w:tcPr>
            <w:tcW w:w="20" w:type="dxa"/>
            <w:vAlign w:val="bottom"/>
            <w:shd w:val="clear" w:color="auto" w:fill="F4F3F3"/>
          </w:tcPr>
          <w:p>
            <w:pPr>
              <w:spacing w:after="0"/>
              <w:rPr>
                <w:sz w:val="12"/>
                <w:szCs w:val="12"/>
                <w:color w:val="auto"/>
              </w:rPr>
            </w:pPr>
          </w:p>
        </w:tc>
        <w:tc>
          <w:tcPr>
            <w:tcW w:w="100" w:type="dxa"/>
            <w:vAlign w:val="bottom"/>
            <w:shd w:val="clear" w:color="auto" w:fill="F4F3F3"/>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5500" w:type="dxa"/>
            <w:vAlign w:val="bottom"/>
            <w:vMerge w:val="continue"/>
            <w:shd w:val="clear" w:color="auto" w:fill="F4F3F3"/>
          </w:tcPr>
          <w:p>
            <w:pPr>
              <w:spacing w:after="0"/>
              <w:rPr>
                <w:sz w:val="7"/>
                <w:szCs w:val="7"/>
                <w:color w:val="auto"/>
              </w:rPr>
            </w:pPr>
          </w:p>
        </w:tc>
        <w:tc>
          <w:tcPr>
            <w:tcW w:w="500" w:type="dxa"/>
            <w:vAlign w:val="bottom"/>
            <w:vMerge w:val="restart"/>
            <w:shd w:val="clear" w:color="auto" w:fill="F4F3F3"/>
          </w:tcPr>
          <w:p>
            <w:pPr>
              <w:jc w:val="center"/>
              <w:ind w:left="28"/>
              <w:spacing w:after="0"/>
              <w:rPr>
                <w:sz w:val="20"/>
                <w:szCs w:val="20"/>
                <w:color w:val="auto"/>
              </w:rPr>
            </w:pPr>
            <w:r>
              <w:rPr>
                <w:rFonts w:ascii="Arial" w:cs="Arial" w:eastAsia="Arial" w:hAnsi="Arial"/>
                <w:sz w:val="14"/>
                <w:szCs w:val="14"/>
                <w:color w:val="auto"/>
              </w:rPr>
              <w:t>71</w:t>
            </w:r>
          </w:p>
        </w:tc>
        <w:tc>
          <w:tcPr>
            <w:tcW w:w="740" w:type="dxa"/>
            <w:vAlign w:val="bottom"/>
            <w:vMerge w:val="restart"/>
            <w:shd w:val="clear" w:color="auto" w:fill="F4F3F3"/>
          </w:tcPr>
          <w:p>
            <w:pPr>
              <w:jc w:val="center"/>
              <w:spacing w:after="0"/>
              <w:rPr>
                <w:sz w:val="20"/>
                <w:szCs w:val="20"/>
                <w:color w:val="auto"/>
              </w:rPr>
            </w:pPr>
            <w:r>
              <w:rPr>
                <w:rFonts w:ascii="Arial" w:cs="Arial" w:eastAsia="Arial" w:hAnsi="Arial"/>
                <w:sz w:val="14"/>
                <w:szCs w:val="14"/>
                <w:color w:val="auto"/>
              </w:rPr>
              <w:t>2012</w:t>
            </w:r>
          </w:p>
        </w:tc>
        <w:tc>
          <w:tcPr>
            <w:tcW w:w="1000" w:type="dxa"/>
            <w:vAlign w:val="bottom"/>
            <w:vMerge w:val="restart"/>
            <w:shd w:val="clear" w:color="auto" w:fill="F4F3F3"/>
          </w:tcPr>
          <w:p>
            <w:pPr>
              <w:jc w:val="center"/>
              <w:spacing w:after="0"/>
              <w:rPr>
                <w:sz w:val="20"/>
                <w:szCs w:val="20"/>
                <w:color w:val="auto"/>
              </w:rPr>
            </w:pPr>
            <w:r>
              <w:rPr>
                <w:rFonts w:ascii="Arial" w:cs="Arial" w:eastAsia="Arial" w:hAnsi="Arial"/>
                <w:sz w:val="14"/>
                <w:szCs w:val="14"/>
                <w:color w:val="auto"/>
                <w:w w:val="90"/>
              </w:rPr>
              <w:t>Yes</w:t>
            </w:r>
          </w:p>
        </w:tc>
        <w:tc>
          <w:tcPr>
            <w:tcW w:w="160" w:type="dxa"/>
            <w:vAlign w:val="bottom"/>
            <w:shd w:val="clear" w:color="auto" w:fill="F4F3F3"/>
          </w:tcPr>
          <w:p>
            <w:pPr>
              <w:spacing w:after="0"/>
              <w:rPr>
                <w:sz w:val="7"/>
                <w:szCs w:val="7"/>
                <w:color w:val="auto"/>
              </w:rPr>
            </w:pPr>
          </w:p>
        </w:tc>
        <w:tc>
          <w:tcPr>
            <w:tcW w:w="240" w:type="dxa"/>
            <w:vAlign w:val="bottom"/>
            <w:tcBorders>
              <w:right w:val="single" w:sz="8" w:color="F4F3F3"/>
            </w:tcBorders>
            <w:shd w:val="clear" w:color="auto" w:fill="F4F3F3"/>
          </w:tcPr>
          <w:p>
            <w:pPr>
              <w:spacing w:after="0"/>
              <w:rPr>
                <w:sz w:val="7"/>
                <w:szCs w:val="7"/>
                <w:color w:val="auto"/>
              </w:rPr>
            </w:pPr>
          </w:p>
        </w:tc>
        <w:tc>
          <w:tcPr>
            <w:tcW w:w="260" w:type="dxa"/>
            <w:vAlign w:val="bottom"/>
            <w:shd w:val="clear" w:color="auto" w:fill="F4F3F3"/>
          </w:tcPr>
          <w:p>
            <w:pPr>
              <w:spacing w:after="0"/>
              <w:rPr>
                <w:sz w:val="7"/>
                <w:szCs w:val="7"/>
                <w:color w:val="auto"/>
              </w:rPr>
            </w:pPr>
          </w:p>
        </w:tc>
        <w:tc>
          <w:tcPr>
            <w:tcW w:w="280" w:type="dxa"/>
            <w:vAlign w:val="bottom"/>
            <w:tcBorders>
              <w:left w:val="single" w:sz="8" w:color="F4F3F3"/>
              <w:right w:val="single" w:sz="8" w:color="F4F3F3"/>
            </w:tcBorders>
            <w:shd w:val="clear" w:color="auto" w:fill="F4F3F3"/>
          </w:tcPr>
          <w:p>
            <w:pPr>
              <w:spacing w:after="0"/>
              <w:rPr>
                <w:sz w:val="7"/>
                <w:szCs w:val="7"/>
                <w:color w:val="auto"/>
              </w:rPr>
            </w:pPr>
          </w:p>
        </w:tc>
        <w:tc>
          <w:tcPr>
            <w:tcW w:w="260" w:type="dxa"/>
            <w:vAlign w:val="bottom"/>
            <w:shd w:val="clear" w:color="auto" w:fill="F4F3F3"/>
          </w:tcPr>
          <w:p>
            <w:pPr>
              <w:spacing w:after="0"/>
              <w:rPr>
                <w:sz w:val="7"/>
                <w:szCs w:val="7"/>
                <w:color w:val="auto"/>
              </w:rPr>
            </w:pPr>
          </w:p>
        </w:tc>
        <w:tc>
          <w:tcPr>
            <w:tcW w:w="260" w:type="dxa"/>
            <w:vAlign w:val="bottom"/>
            <w:tcBorders>
              <w:right w:val="single" w:sz="8" w:color="F4F3F3"/>
            </w:tcBorders>
            <w:vMerge w:val="restart"/>
            <w:shd w:val="clear" w:color="auto" w:fill="00358E"/>
          </w:tcPr>
          <w:p>
            <w:pPr>
              <w:jc w:val="right"/>
              <w:spacing w:after="0" w:line="182" w:lineRule="exact"/>
              <w:rPr>
                <w:sz w:val="20"/>
                <w:szCs w:val="20"/>
                <w:color w:val="auto"/>
              </w:rPr>
            </w:pPr>
            <w:r>
              <w:rPr>
                <w:rFonts w:ascii="Arial" w:cs="Arial" w:eastAsia="Arial" w:hAnsi="Arial"/>
                <w:sz w:val="18"/>
                <w:szCs w:val="18"/>
                <w:b w:val="1"/>
                <w:bCs w:val="1"/>
                <w:color w:val="FFFFFF"/>
              </w:rPr>
              <w:t>C</w:t>
            </w:r>
          </w:p>
        </w:tc>
        <w:tc>
          <w:tcPr>
            <w:tcW w:w="340" w:type="dxa"/>
            <w:vAlign w:val="bottom"/>
            <w:tcBorders>
              <w:right w:val="single" w:sz="8" w:color="F4F3F3"/>
            </w:tcBorders>
            <w:shd w:val="clear" w:color="auto" w:fill="F4F3F3"/>
          </w:tcPr>
          <w:p>
            <w:pPr>
              <w:spacing w:after="0"/>
              <w:rPr>
                <w:sz w:val="7"/>
                <w:szCs w:val="7"/>
                <w:color w:val="auto"/>
              </w:rPr>
            </w:pPr>
          </w:p>
        </w:tc>
        <w:tc>
          <w:tcPr>
            <w:tcW w:w="260" w:type="dxa"/>
            <w:vAlign w:val="bottom"/>
            <w:tcBorders>
              <w:right w:val="single" w:sz="8" w:color="F4F3F3"/>
            </w:tcBorders>
            <w:shd w:val="clear" w:color="auto" w:fill="F4F3F3"/>
          </w:tcPr>
          <w:p>
            <w:pPr>
              <w:spacing w:after="0"/>
              <w:rPr>
                <w:sz w:val="7"/>
                <w:szCs w:val="7"/>
                <w:color w:val="auto"/>
              </w:rPr>
            </w:pPr>
          </w:p>
        </w:tc>
        <w:tc>
          <w:tcPr>
            <w:tcW w:w="140" w:type="dxa"/>
            <w:vAlign w:val="bottom"/>
            <w:shd w:val="clear" w:color="auto" w:fill="F4F3F3"/>
          </w:tcPr>
          <w:p>
            <w:pPr>
              <w:spacing w:after="0"/>
              <w:rPr>
                <w:sz w:val="7"/>
                <w:szCs w:val="7"/>
                <w:color w:val="auto"/>
              </w:rPr>
            </w:pPr>
          </w:p>
        </w:tc>
        <w:tc>
          <w:tcPr>
            <w:tcW w:w="160" w:type="dxa"/>
            <w:vAlign w:val="bottom"/>
            <w:shd w:val="clear" w:color="auto" w:fill="F4F3F3"/>
          </w:tcPr>
          <w:p>
            <w:pPr>
              <w:spacing w:after="0"/>
              <w:rPr>
                <w:sz w:val="7"/>
                <w:szCs w:val="7"/>
                <w:color w:val="auto"/>
              </w:rPr>
            </w:pPr>
          </w:p>
        </w:tc>
        <w:tc>
          <w:tcPr>
            <w:tcW w:w="280" w:type="dxa"/>
            <w:vAlign w:val="bottom"/>
            <w:tcBorders>
              <w:left w:val="single" w:sz="8" w:color="F4F3F3"/>
              <w:right w:val="single" w:sz="8" w:color="F4F3F3"/>
            </w:tcBorders>
            <w:shd w:val="clear" w:color="auto" w:fill="F4F3F3"/>
          </w:tcPr>
          <w:p>
            <w:pPr>
              <w:spacing w:after="0"/>
              <w:rPr>
                <w:sz w:val="7"/>
                <w:szCs w:val="7"/>
                <w:color w:val="auto"/>
              </w:rPr>
            </w:pPr>
          </w:p>
        </w:tc>
        <w:tc>
          <w:tcPr>
            <w:tcW w:w="260" w:type="dxa"/>
            <w:vAlign w:val="bottom"/>
            <w:shd w:val="clear" w:color="auto" w:fill="F4F3F3"/>
          </w:tcPr>
          <w:p>
            <w:pPr>
              <w:spacing w:after="0"/>
              <w:rPr>
                <w:sz w:val="7"/>
                <w:szCs w:val="7"/>
                <w:color w:val="auto"/>
              </w:rPr>
            </w:pPr>
          </w:p>
        </w:tc>
        <w:tc>
          <w:tcPr>
            <w:tcW w:w="240" w:type="dxa"/>
            <w:vAlign w:val="bottom"/>
            <w:shd w:val="clear" w:color="auto" w:fill="F4F3F3"/>
          </w:tcPr>
          <w:p>
            <w:pPr>
              <w:spacing w:after="0"/>
              <w:rPr>
                <w:sz w:val="7"/>
                <w:szCs w:val="7"/>
                <w:color w:val="auto"/>
              </w:rPr>
            </w:pPr>
          </w:p>
        </w:tc>
        <w:tc>
          <w:tcPr>
            <w:tcW w:w="20" w:type="dxa"/>
            <w:vAlign w:val="bottom"/>
            <w:shd w:val="clear" w:color="auto" w:fill="F4F3F3"/>
          </w:tcPr>
          <w:p>
            <w:pPr>
              <w:spacing w:after="0"/>
              <w:rPr>
                <w:sz w:val="7"/>
                <w:szCs w:val="7"/>
                <w:color w:val="auto"/>
              </w:rPr>
            </w:pPr>
          </w:p>
        </w:tc>
        <w:tc>
          <w:tcPr>
            <w:tcW w:w="100" w:type="dxa"/>
            <w:vAlign w:val="bottom"/>
            <w:shd w:val="clear" w:color="auto" w:fill="F4F3F3"/>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5500" w:type="dxa"/>
            <w:vAlign w:val="bottom"/>
            <w:vMerge w:val="restart"/>
            <w:shd w:val="clear" w:color="auto" w:fill="F4F3F3"/>
          </w:tcPr>
          <w:p>
            <w:pPr>
              <w:ind w:left="180"/>
              <w:spacing w:after="0"/>
              <w:rPr>
                <w:sz w:val="20"/>
                <w:szCs w:val="20"/>
                <w:color w:val="auto"/>
              </w:rPr>
            </w:pPr>
            <w:r>
              <w:rPr>
                <w:rFonts w:ascii="Arial" w:cs="Arial" w:eastAsia="Arial" w:hAnsi="Arial"/>
                <w:sz w:val="14"/>
                <w:szCs w:val="14"/>
                <w:i w:val="1"/>
                <w:iCs w:val="1"/>
                <w:color w:val="auto"/>
              </w:rPr>
              <w:t>Executive Partner and Group Chairman, Solamere Capital LLC</w:t>
            </w:r>
          </w:p>
        </w:tc>
        <w:tc>
          <w:tcPr>
            <w:tcW w:w="500" w:type="dxa"/>
            <w:vAlign w:val="bottom"/>
            <w:vMerge w:val="continue"/>
            <w:shd w:val="clear" w:color="auto" w:fill="F4F3F3"/>
          </w:tcPr>
          <w:p>
            <w:pPr>
              <w:spacing w:after="0"/>
              <w:rPr>
                <w:sz w:val="10"/>
                <w:szCs w:val="10"/>
                <w:color w:val="auto"/>
              </w:rPr>
            </w:pPr>
          </w:p>
        </w:tc>
        <w:tc>
          <w:tcPr>
            <w:tcW w:w="740" w:type="dxa"/>
            <w:vAlign w:val="bottom"/>
            <w:vMerge w:val="continue"/>
            <w:shd w:val="clear" w:color="auto" w:fill="F4F3F3"/>
          </w:tcPr>
          <w:p>
            <w:pPr>
              <w:spacing w:after="0"/>
              <w:rPr>
                <w:sz w:val="10"/>
                <w:szCs w:val="10"/>
                <w:color w:val="auto"/>
              </w:rPr>
            </w:pPr>
          </w:p>
        </w:tc>
        <w:tc>
          <w:tcPr>
            <w:tcW w:w="1000" w:type="dxa"/>
            <w:vAlign w:val="bottom"/>
            <w:vMerge w:val="continue"/>
            <w:shd w:val="clear" w:color="auto" w:fill="F4F3F3"/>
          </w:tcPr>
          <w:p>
            <w:pPr>
              <w:spacing w:after="0"/>
              <w:rPr>
                <w:sz w:val="10"/>
                <w:szCs w:val="10"/>
                <w:color w:val="auto"/>
              </w:rPr>
            </w:pPr>
          </w:p>
        </w:tc>
        <w:tc>
          <w:tcPr>
            <w:tcW w:w="160" w:type="dxa"/>
            <w:vAlign w:val="bottom"/>
            <w:shd w:val="clear" w:color="auto" w:fill="F4F3F3"/>
          </w:tcPr>
          <w:p>
            <w:pPr>
              <w:spacing w:after="0"/>
              <w:rPr>
                <w:sz w:val="10"/>
                <w:szCs w:val="10"/>
                <w:color w:val="auto"/>
              </w:rPr>
            </w:pPr>
          </w:p>
        </w:tc>
        <w:tc>
          <w:tcPr>
            <w:tcW w:w="240" w:type="dxa"/>
            <w:vAlign w:val="bottom"/>
            <w:tcBorders>
              <w:right w:val="single" w:sz="8" w:color="F4F3F3"/>
            </w:tcBorders>
            <w:shd w:val="clear" w:color="auto" w:fill="F4F3F3"/>
          </w:tcPr>
          <w:p>
            <w:pPr>
              <w:spacing w:after="0"/>
              <w:rPr>
                <w:sz w:val="10"/>
                <w:szCs w:val="10"/>
                <w:color w:val="auto"/>
              </w:rPr>
            </w:pPr>
          </w:p>
        </w:tc>
        <w:tc>
          <w:tcPr>
            <w:tcW w:w="260" w:type="dxa"/>
            <w:vAlign w:val="bottom"/>
            <w:shd w:val="clear" w:color="auto" w:fill="F4F3F3"/>
          </w:tcPr>
          <w:p>
            <w:pPr>
              <w:spacing w:after="0"/>
              <w:rPr>
                <w:sz w:val="10"/>
                <w:szCs w:val="10"/>
                <w:color w:val="auto"/>
              </w:rPr>
            </w:pPr>
          </w:p>
        </w:tc>
        <w:tc>
          <w:tcPr>
            <w:tcW w:w="280" w:type="dxa"/>
            <w:vAlign w:val="bottom"/>
            <w:tcBorders>
              <w:left w:val="single" w:sz="8" w:color="F4F3F3"/>
              <w:right w:val="single" w:sz="8" w:color="F4F3F3"/>
            </w:tcBorders>
            <w:shd w:val="clear" w:color="auto" w:fill="F4F3F3"/>
          </w:tcPr>
          <w:p>
            <w:pPr>
              <w:spacing w:after="0"/>
              <w:rPr>
                <w:sz w:val="10"/>
                <w:szCs w:val="10"/>
                <w:color w:val="auto"/>
              </w:rPr>
            </w:pPr>
          </w:p>
        </w:tc>
        <w:tc>
          <w:tcPr>
            <w:tcW w:w="260" w:type="dxa"/>
            <w:vAlign w:val="bottom"/>
            <w:shd w:val="clear" w:color="auto" w:fill="F4F3F3"/>
          </w:tcPr>
          <w:p>
            <w:pPr>
              <w:spacing w:after="0"/>
              <w:rPr>
                <w:sz w:val="10"/>
                <w:szCs w:val="10"/>
                <w:color w:val="auto"/>
              </w:rPr>
            </w:pPr>
          </w:p>
        </w:tc>
        <w:tc>
          <w:tcPr>
            <w:tcW w:w="260" w:type="dxa"/>
            <w:vAlign w:val="bottom"/>
            <w:tcBorders>
              <w:right w:val="single" w:sz="8" w:color="F4F3F3"/>
            </w:tcBorders>
            <w:vMerge w:val="continue"/>
            <w:shd w:val="clear" w:color="auto" w:fill="00358E"/>
          </w:tcPr>
          <w:p>
            <w:pPr>
              <w:spacing w:after="0"/>
              <w:rPr>
                <w:sz w:val="10"/>
                <w:szCs w:val="10"/>
                <w:color w:val="auto"/>
              </w:rPr>
            </w:pPr>
          </w:p>
        </w:tc>
        <w:tc>
          <w:tcPr>
            <w:tcW w:w="340" w:type="dxa"/>
            <w:vAlign w:val="bottom"/>
            <w:tcBorders>
              <w:right w:val="single" w:sz="8" w:color="F4F3F3"/>
            </w:tcBorders>
            <w:shd w:val="clear" w:color="auto" w:fill="F4F3F3"/>
          </w:tcPr>
          <w:p>
            <w:pPr>
              <w:spacing w:after="0"/>
              <w:rPr>
                <w:sz w:val="10"/>
                <w:szCs w:val="10"/>
                <w:color w:val="auto"/>
              </w:rPr>
            </w:pPr>
          </w:p>
        </w:tc>
        <w:tc>
          <w:tcPr>
            <w:tcW w:w="260" w:type="dxa"/>
            <w:vAlign w:val="bottom"/>
            <w:tcBorders>
              <w:right w:val="single" w:sz="8" w:color="F4F3F3"/>
            </w:tcBorders>
            <w:shd w:val="clear" w:color="auto" w:fill="F4F3F3"/>
          </w:tcPr>
          <w:p>
            <w:pPr>
              <w:spacing w:after="0"/>
              <w:rPr>
                <w:sz w:val="10"/>
                <w:szCs w:val="10"/>
                <w:color w:val="auto"/>
              </w:rPr>
            </w:pPr>
          </w:p>
        </w:tc>
        <w:tc>
          <w:tcPr>
            <w:tcW w:w="140" w:type="dxa"/>
            <w:vAlign w:val="bottom"/>
            <w:shd w:val="clear" w:color="auto" w:fill="F4F3F3"/>
          </w:tcPr>
          <w:p>
            <w:pPr>
              <w:spacing w:after="0"/>
              <w:rPr>
                <w:sz w:val="10"/>
                <w:szCs w:val="10"/>
                <w:color w:val="auto"/>
              </w:rPr>
            </w:pPr>
          </w:p>
        </w:tc>
        <w:tc>
          <w:tcPr>
            <w:tcW w:w="160" w:type="dxa"/>
            <w:vAlign w:val="bottom"/>
            <w:shd w:val="clear" w:color="auto" w:fill="F4F3F3"/>
          </w:tcPr>
          <w:p>
            <w:pPr>
              <w:spacing w:after="0"/>
              <w:rPr>
                <w:sz w:val="10"/>
                <w:szCs w:val="10"/>
                <w:color w:val="auto"/>
              </w:rPr>
            </w:pPr>
          </w:p>
        </w:tc>
        <w:tc>
          <w:tcPr>
            <w:tcW w:w="280" w:type="dxa"/>
            <w:vAlign w:val="bottom"/>
            <w:tcBorders>
              <w:left w:val="single" w:sz="8" w:color="F4F3F3"/>
              <w:right w:val="single" w:sz="8" w:color="F4F3F3"/>
            </w:tcBorders>
            <w:shd w:val="clear" w:color="auto" w:fill="F4F3F3"/>
          </w:tcPr>
          <w:p>
            <w:pPr>
              <w:spacing w:after="0"/>
              <w:rPr>
                <w:sz w:val="10"/>
                <w:szCs w:val="10"/>
                <w:color w:val="auto"/>
              </w:rPr>
            </w:pPr>
          </w:p>
        </w:tc>
        <w:tc>
          <w:tcPr>
            <w:tcW w:w="260" w:type="dxa"/>
            <w:vAlign w:val="bottom"/>
            <w:shd w:val="clear" w:color="auto" w:fill="F4F3F3"/>
          </w:tcPr>
          <w:p>
            <w:pPr>
              <w:spacing w:after="0"/>
              <w:rPr>
                <w:sz w:val="10"/>
                <w:szCs w:val="10"/>
                <w:color w:val="auto"/>
              </w:rPr>
            </w:pPr>
          </w:p>
        </w:tc>
        <w:tc>
          <w:tcPr>
            <w:tcW w:w="240" w:type="dxa"/>
            <w:vAlign w:val="bottom"/>
            <w:shd w:val="clear" w:color="auto" w:fill="F4F3F3"/>
          </w:tcPr>
          <w:p>
            <w:pPr>
              <w:spacing w:after="0"/>
              <w:rPr>
                <w:sz w:val="10"/>
                <w:szCs w:val="10"/>
                <w:color w:val="auto"/>
              </w:rPr>
            </w:pPr>
          </w:p>
        </w:tc>
        <w:tc>
          <w:tcPr>
            <w:tcW w:w="20" w:type="dxa"/>
            <w:vAlign w:val="bottom"/>
            <w:shd w:val="clear" w:color="auto" w:fill="F4F3F3"/>
          </w:tcPr>
          <w:p>
            <w:pPr>
              <w:spacing w:after="0"/>
              <w:rPr>
                <w:sz w:val="10"/>
                <w:szCs w:val="10"/>
                <w:color w:val="auto"/>
              </w:rPr>
            </w:pPr>
          </w:p>
        </w:tc>
        <w:tc>
          <w:tcPr>
            <w:tcW w:w="100" w:type="dxa"/>
            <w:vAlign w:val="bottom"/>
            <w:shd w:val="clear" w:color="auto" w:fill="F4F3F3"/>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5500" w:type="dxa"/>
            <w:vAlign w:val="bottom"/>
            <w:vMerge w:val="continue"/>
            <w:shd w:val="clear" w:color="auto" w:fill="F4F3F3"/>
          </w:tcPr>
          <w:p>
            <w:pPr>
              <w:spacing w:after="0"/>
              <w:rPr>
                <w:sz w:val="6"/>
                <w:szCs w:val="6"/>
                <w:color w:val="auto"/>
              </w:rPr>
            </w:pPr>
          </w:p>
        </w:tc>
        <w:tc>
          <w:tcPr>
            <w:tcW w:w="500" w:type="dxa"/>
            <w:vAlign w:val="bottom"/>
            <w:shd w:val="clear" w:color="auto" w:fill="F4F3F3"/>
          </w:tcPr>
          <w:p>
            <w:pPr>
              <w:spacing w:after="0"/>
              <w:rPr>
                <w:sz w:val="6"/>
                <w:szCs w:val="6"/>
                <w:color w:val="auto"/>
              </w:rPr>
            </w:pPr>
          </w:p>
        </w:tc>
        <w:tc>
          <w:tcPr>
            <w:tcW w:w="740" w:type="dxa"/>
            <w:vAlign w:val="bottom"/>
            <w:shd w:val="clear" w:color="auto" w:fill="F4F3F3"/>
          </w:tcPr>
          <w:p>
            <w:pPr>
              <w:spacing w:after="0"/>
              <w:rPr>
                <w:sz w:val="6"/>
                <w:szCs w:val="6"/>
                <w:color w:val="auto"/>
              </w:rPr>
            </w:pPr>
          </w:p>
        </w:tc>
        <w:tc>
          <w:tcPr>
            <w:tcW w:w="1000" w:type="dxa"/>
            <w:vAlign w:val="bottom"/>
            <w:shd w:val="clear" w:color="auto" w:fill="F4F3F3"/>
          </w:tcPr>
          <w:p>
            <w:pPr>
              <w:spacing w:after="0"/>
              <w:rPr>
                <w:sz w:val="6"/>
                <w:szCs w:val="6"/>
                <w:color w:val="auto"/>
              </w:rPr>
            </w:pPr>
          </w:p>
        </w:tc>
        <w:tc>
          <w:tcPr>
            <w:tcW w:w="160" w:type="dxa"/>
            <w:vAlign w:val="bottom"/>
            <w:shd w:val="clear" w:color="auto" w:fill="F4F3F3"/>
          </w:tcPr>
          <w:p>
            <w:pPr>
              <w:spacing w:after="0"/>
              <w:rPr>
                <w:sz w:val="6"/>
                <w:szCs w:val="6"/>
                <w:color w:val="auto"/>
              </w:rPr>
            </w:pPr>
          </w:p>
        </w:tc>
        <w:tc>
          <w:tcPr>
            <w:tcW w:w="240" w:type="dxa"/>
            <w:vAlign w:val="bottom"/>
            <w:tcBorders>
              <w:right w:val="single" w:sz="8" w:color="F4F3F3"/>
            </w:tcBorders>
            <w:shd w:val="clear" w:color="auto" w:fill="F4F3F3"/>
          </w:tcPr>
          <w:p>
            <w:pPr>
              <w:spacing w:after="0"/>
              <w:rPr>
                <w:sz w:val="6"/>
                <w:szCs w:val="6"/>
                <w:color w:val="auto"/>
              </w:rPr>
            </w:pPr>
          </w:p>
        </w:tc>
        <w:tc>
          <w:tcPr>
            <w:tcW w:w="260" w:type="dxa"/>
            <w:vAlign w:val="bottom"/>
            <w:shd w:val="clear" w:color="auto" w:fill="F4F3F3"/>
          </w:tcPr>
          <w:p>
            <w:pPr>
              <w:spacing w:after="0"/>
              <w:rPr>
                <w:sz w:val="6"/>
                <w:szCs w:val="6"/>
                <w:color w:val="auto"/>
              </w:rPr>
            </w:pPr>
          </w:p>
        </w:tc>
        <w:tc>
          <w:tcPr>
            <w:tcW w:w="280" w:type="dxa"/>
            <w:vAlign w:val="bottom"/>
            <w:tcBorders>
              <w:left w:val="single" w:sz="8" w:color="F4F3F3"/>
              <w:right w:val="single" w:sz="8" w:color="F4F3F3"/>
            </w:tcBorders>
            <w:shd w:val="clear" w:color="auto" w:fill="F4F3F3"/>
          </w:tcPr>
          <w:p>
            <w:pPr>
              <w:spacing w:after="0"/>
              <w:rPr>
                <w:sz w:val="6"/>
                <w:szCs w:val="6"/>
                <w:color w:val="auto"/>
              </w:rPr>
            </w:pPr>
          </w:p>
        </w:tc>
        <w:tc>
          <w:tcPr>
            <w:tcW w:w="260" w:type="dxa"/>
            <w:vAlign w:val="bottom"/>
            <w:shd w:val="clear" w:color="auto" w:fill="F4F3F3"/>
          </w:tcPr>
          <w:p>
            <w:pPr>
              <w:spacing w:after="0"/>
              <w:rPr>
                <w:sz w:val="6"/>
                <w:szCs w:val="6"/>
                <w:color w:val="auto"/>
              </w:rPr>
            </w:pPr>
          </w:p>
        </w:tc>
        <w:tc>
          <w:tcPr>
            <w:tcW w:w="260" w:type="dxa"/>
            <w:vAlign w:val="bottom"/>
            <w:tcBorders>
              <w:right w:val="single" w:sz="8" w:color="F4F3F3"/>
            </w:tcBorders>
            <w:shd w:val="clear" w:color="auto" w:fill="F4F3F3"/>
          </w:tcPr>
          <w:p>
            <w:pPr>
              <w:spacing w:after="0"/>
              <w:rPr>
                <w:sz w:val="6"/>
                <w:szCs w:val="6"/>
                <w:color w:val="auto"/>
              </w:rPr>
            </w:pPr>
          </w:p>
        </w:tc>
        <w:tc>
          <w:tcPr>
            <w:tcW w:w="340" w:type="dxa"/>
            <w:vAlign w:val="bottom"/>
            <w:tcBorders>
              <w:right w:val="single" w:sz="8" w:color="F4F3F3"/>
            </w:tcBorders>
            <w:shd w:val="clear" w:color="auto" w:fill="F4F3F3"/>
          </w:tcPr>
          <w:p>
            <w:pPr>
              <w:spacing w:after="0"/>
              <w:rPr>
                <w:sz w:val="6"/>
                <w:szCs w:val="6"/>
                <w:color w:val="auto"/>
              </w:rPr>
            </w:pPr>
          </w:p>
        </w:tc>
        <w:tc>
          <w:tcPr>
            <w:tcW w:w="260" w:type="dxa"/>
            <w:vAlign w:val="bottom"/>
            <w:tcBorders>
              <w:right w:val="single" w:sz="8" w:color="F4F3F3"/>
            </w:tcBorders>
            <w:shd w:val="clear" w:color="auto" w:fill="F4F3F3"/>
          </w:tcPr>
          <w:p>
            <w:pPr>
              <w:spacing w:after="0"/>
              <w:rPr>
                <w:sz w:val="6"/>
                <w:szCs w:val="6"/>
                <w:color w:val="auto"/>
              </w:rPr>
            </w:pPr>
          </w:p>
        </w:tc>
        <w:tc>
          <w:tcPr>
            <w:tcW w:w="140" w:type="dxa"/>
            <w:vAlign w:val="bottom"/>
            <w:shd w:val="clear" w:color="auto" w:fill="F4F3F3"/>
          </w:tcPr>
          <w:p>
            <w:pPr>
              <w:spacing w:after="0"/>
              <w:rPr>
                <w:sz w:val="6"/>
                <w:szCs w:val="6"/>
                <w:color w:val="auto"/>
              </w:rPr>
            </w:pPr>
          </w:p>
        </w:tc>
        <w:tc>
          <w:tcPr>
            <w:tcW w:w="160" w:type="dxa"/>
            <w:vAlign w:val="bottom"/>
            <w:shd w:val="clear" w:color="auto" w:fill="F4F3F3"/>
          </w:tcPr>
          <w:p>
            <w:pPr>
              <w:spacing w:after="0"/>
              <w:rPr>
                <w:sz w:val="6"/>
                <w:szCs w:val="6"/>
                <w:color w:val="auto"/>
              </w:rPr>
            </w:pPr>
          </w:p>
        </w:tc>
        <w:tc>
          <w:tcPr>
            <w:tcW w:w="280" w:type="dxa"/>
            <w:vAlign w:val="bottom"/>
            <w:tcBorders>
              <w:left w:val="single" w:sz="8" w:color="F4F3F3"/>
              <w:right w:val="single" w:sz="8" w:color="F4F3F3"/>
            </w:tcBorders>
            <w:shd w:val="clear" w:color="auto" w:fill="F4F3F3"/>
          </w:tcPr>
          <w:p>
            <w:pPr>
              <w:spacing w:after="0"/>
              <w:rPr>
                <w:sz w:val="6"/>
                <w:szCs w:val="6"/>
                <w:color w:val="auto"/>
              </w:rPr>
            </w:pPr>
          </w:p>
        </w:tc>
        <w:tc>
          <w:tcPr>
            <w:tcW w:w="260" w:type="dxa"/>
            <w:vAlign w:val="bottom"/>
            <w:shd w:val="clear" w:color="auto" w:fill="F4F3F3"/>
          </w:tcPr>
          <w:p>
            <w:pPr>
              <w:spacing w:after="0"/>
              <w:rPr>
                <w:sz w:val="6"/>
                <w:szCs w:val="6"/>
                <w:color w:val="auto"/>
              </w:rPr>
            </w:pPr>
          </w:p>
        </w:tc>
        <w:tc>
          <w:tcPr>
            <w:tcW w:w="240" w:type="dxa"/>
            <w:vAlign w:val="bottom"/>
            <w:shd w:val="clear" w:color="auto" w:fill="F4F3F3"/>
          </w:tcPr>
          <w:p>
            <w:pPr>
              <w:spacing w:after="0"/>
              <w:rPr>
                <w:sz w:val="6"/>
                <w:szCs w:val="6"/>
                <w:color w:val="auto"/>
              </w:rPr>
            </w:pPr>
          </w:p>
        </w:tc>
        <w:tc>
          <w:tcPr>
            <w:tcW w:w="20" w:type="dxa"/>
            <w:vAlign w:val="bottom"/>
            <w:shd w:val="clear" w:color="auto" w:fill="F4F3F3"/>
          </w:tcPr>
          <w:p>
            <w:pPr>
              <w:spacing w:after="0"/>
              <w:rPr>
                <w:sz w:val="6"/>
                <w:szCs w:val="6"/>
                <w:color w:val="auto"/>
              </w:rPr>
            </w:pPr>
          </w:p>
        </w:tc>
        <w:tc>
          <w:tcPr>
            <w:tcW w:w="100" w:type="dxa"/>
            <w:vAlign w:val="bottom"/>
            <w:shd w:val="clear" w:color="auto" w:fill="F4F3F3"/>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5500" w:type="dxa"/>
            <w:vAlign w:val="bottom"/>
            <w:vMerge w:val="restart"/>
            <w:shd w:val="clear" w:color="auto" w:fill="F4F3F3"/>
          </w:tcPr>
          <w:p>
            <w:pPr>
              <w:ind w:left="180"/>
              <w:spacing w:after="0"/>
              <w:rPr>
                <w:sz w:val="20"/>
                <w:szCs w:val="20"/>
                <w:color w:val="auto"/>
              </w:rPr>
            </w:pPr>
            <w:r>
              <w:rPr>
                <w:rFonts w:ascii="Arial" w:cs="Arial" w:eastAsia="Arial" w:hAnsi="Arial"/>
                <w:sz w:val="14"/>
                <w:szCs w:val="14"/>
                <w:b w:val="1"/>
                <w:bCs w:val="1"/>
                <w:color w:val="998C87"/>
              </w:rPr>
              <w:t>Susan C. Schwab</w:t>
            </w:r>
          </w:p>
        </w:tc>
        <w:tc>
          <w:tcPr>
            <w:tcW w:w="500" w:type="dxa"/>
            <w:vAlign w:val="bottom"/>
            <w:shd w:val="clear" w:color="auto" w:fill="F4F3F3"/>
          </w:tcPr>
          <w:p>
            <w:pPr>
              <w:spacing w:after="0"/>
              <w:rPr>
                <w:sz w:val="12"/>
                <w:szCs w:val="12"/>
                <w:color w:val="auto"/>
              </w:rPr>
            </w:pPr>
          </w:p>
        </w:tc>
        <w:tc>
          <w:tcPr>
            <w:tcW w:w="740" w:type="dxa"/>
            <w:vAlign w:val="bottom"/>
            <w:shd w:val="clear" w:color="auto" w:fill="F4F3F3"/>
          </w:tcPr>
          <w:p>
            <w:pPr>
              <w:spacing w:after="0"/>
              <w:rPr>
                <w:sz w:val="12"/>
                <w:szCs w:val="12"/>
                <w:color w:val="auto"/>
              </w:rPr>
            </w:pPr>
          </w:p>
        </w:tc>
        <w:tc>
          <w:tcPr>
            <w:tcW w:w="1000" w:type="dxa"/>
            <w:vAlign w:val="bottom"/>
            <w:shd w:val="clear" w:color="auto" w:fill="F4F3F3"/>
          </w:tcPr>
          <w:p>
            <w:pPr>
              <w:spacing w:after="0"/>
              <w:rPr>
                <w:sz w:val="12"/>
                <w:szCs w:val="12"/>
                <w:color w:val="auto"/>
              </w:rPr>
            </w:pPr>
          </w:p>
        </w:tc>
        <w:tc>
          <w:tcPr>
            <w:tcW w:w="160" w:type="dxa"/>
            <w:vAlign w:val="bottom"/>
            <w:shd w:val="clear" w:color="auto" w:fill="F4F3F3"/>
          </w:tcPr>
          <w:p>
            <w:pPr>
              <w:spacing w:after="0"/>
              <w:rPr>
                <w:sz w:val="12"/>
                <w:szCs w:val="12"/>
                <w:color w:val="auto"/>
              </w:rPr>
            </w:pPr>
          </w:p>
        </w:tc>
        <w:tc>
          <w:tcPr>
            <w:tcW w:w="240" w:type="dxa"/>
            <w:vAlign w:val="bottom"/>
            <w:tcBorders>
              <w:right w:val="single" w:sz="8" w:color="F4F3F3"/>
            </w:tcBorders>
            <w:shd w:val="clear" w:color="auto" w:fill="F4F3F3"/>
          </w:tcPr>
          <w:p>
            <w:pPr>
              <w:spacing w:after="0"/>
              <w:rPr>
                <w:sz w:val="12"/>
                <w:szCs w:val="12"/>
                <w:color w:val="auto"/>
              </w:rPr>
            </w:pPr>
          </w:p>
        </w:tc>
        <w:tc>
          <w:tcPr>
            <w:tcW w:w="260" w:type="dxa"/>
            <w:vAlign w:val="bottom"/>
            <w:shd w:val="clear" w:color="auto" w:fill="F4F3F3"/>
          </w:tcPr>
          <w:p>
            <w:pPr>
              <w:spacing w:after="0"/>
              <w:rPr>
                <w:sz w:val="12"/>
                <w:szCs w:val="12"/>
                <w:color w:val="auto"/>
              </w:rPr>
            </w:pPr>
          </w:p>
        </w:tc>
        <w:tc>
          <w:tcPr>
            <w:tcW w:w="280" w:type="dxa"/>
            <w:vAlign w:val="bottom"/>
            <w:tcBorders>
              <w:left w:val="single" w:sz="8" w:color="F4F3F3"/>
              <w:right w:val="single" w:sz="8" w:color="F4F3F3"/>
            </w:tcBorders>
            <w:shd w:val="clear" w:color="auto" w:fill="F4F3F3"/>
          </w:tcPr>
          <w:p>
            <w:pPr>
              <w:spacing w:after="0"/>
              <w:rPr>
                <w:sz w:val="12"/>
                <w:szCs w:val="12"/>
                <w:color w:val="auto"/>
              </w:rPr>
            </w:pPr>
          </w:p>
        </w:tc>
        <w:tc>
          <w:tcPr>
            <w:tcW w:w="260" w:type="dxa"/>
            <w:vAlign w:val="bottom"/>
            <w:shd w:val="clear" w:color="auto" w:fill="F4F3F3"/>
          </w:tcPr>
          <w:p>
            <w:pPr>
              <w:spacing w:after="0"/>
              <w:rPr>
                <w:sz w:val="12"/>
                <w:szCs w:val="12"/>
                <w:color w:val="auto"/>
              </w:rPr>
            </w:pPr>
          </w:p>
        </w:tc>
        <w:tc>
          <w:tcPr>
            <w:tcW w:w="260" w:type="dxa"/>
            <w:vAlign w:val="bottom"/>
            <w:tcBorders>
              <w:right w:val="single" w:sz="8" w:color="F4F3F3"/>
            </w:tcBorders>
            <w:shd w:val="clear" w:color="auto" w:fill="F4F3F3"/>
          </w:tcPr>
          <w:p>
            <w:pPr>
              <w:spacing w:after="0"/>
              <w:rPr>
                <w:sz w:val="12"/>
                <w:szCs w:val="12"/>
                <w:color w:val="auto"/>
              </w:rPr>
            </w:pPr>
          </w:p>
        </w:tc>
        <w:tc>
          <w:tcPr>
            <w:tcW w:w="340" w:type="dxa"/>
            <w:vAlign w:val="bottom"/>
            <w:tcBorders>
              <w:right w:val="single" w:sz="8" w:color="F4F3F3"/>
            </w:tcBorders>
            <w:shd w:val="clear" w:color="auto" w:fill="F4F3F3"/>
          </w:tcPr>
          <w:p>
            <w:pPr>
              <w:spacing w:after="0"/>
              <w:rPr>
                <w:sz w:val="12"/>
                <w:szCs w:val="12"/>
                <w:color w:val="auto"/>
              </w:rPr>
            </w:pPr>
          </w:p>
        </w:tc>
        <w:tc>
          <w:tcPr>
            <w:tcW w:w="260" w:type="dxa"/>
            <w:vAlign w:val="bottom"/>
            <w:tcBorders>
              <w:right w:val="single" w:sz="8" w:color="F4F3F3"/>
            </w:tcBorders>
            <w:shd w:val="clear" w:color="auto" w:fill="F4F3F3"/>
          </w:tcPr>
          <w:p>
            <w:pPr>
              <w:spacing w:after="0"/>
              <w:rPr>
                <w:sz w:val="12"/>
                <w:szCs w:val="12"/>
                <w:color w:val="auto"/>
              </w:rPr>
            </w:pPr>
          </w:p>
        </w:tc>
        <w:tc>
          <w:tcPr>
            <w:tcW w:w="140" w:type="dxa"/>
            <w:vAlign w:val="bottom"/>
            <w:shd w:val="clear" w:color="auto" w:fill="F4F3F3"/>
          </w:tcPr>
          <w:p>
            <w:pPr>
              <w:spacing w:after="0"/>
              <w:rPr>
                <w:sz w:val="12"/>
                <w:szCs w:val="12"/>
                <w:color w:val="auto"/>
              </w:rPr>
            </w:pPr>
          </w:p>
        </w:tc>
        <w:tc>
          <w:tcPr>
            <w:tcW w:w="160" w:type="dxa"/>
            <w:vAlign w:val="bottom"/>
            <w:shd w:val="clear" w:color="auto" w:fill="F4F3F3"/>
          </w:tcPr>
          <w:p>
            <w:pPr>
              <w:spacing w:after="0"/>
              <w:rPr>
                <w:sz w:val="12"/>
                <w:szCs w:val="12"/>
                <w:color w:val="auto"/>
              </w:rPr>
            </w:pPr>
          </w:p>
        </w:tc>
        <w:tc>
          <w:tcPr>
            <w:tcW w:w="280" w:type="dxa"/>
            <w:vAlign w:val="bottom"/>
            <w:tcBorders>
              <w:left w:val="single" w:sz="8" w:color="F4F3F3"/>
              <w:right w:val="single" w:sz="8" w:color="F4F3F3"/>
            </w:tcBorders>
            <w:shd w:val="clear" w:color="auto" w:fill="F4F3F3"/>
          </w:tcPr>
          <w:p>
            <w:pPr>
              <w:spacing w:after="0"/>
              <w:rPr>
                <w:sz w:val="12"/>
                <w:szCs w:val="12"/>
                <w:color w:val="auto"/>
              </w:rPr>
            </w:pPr>
          </w:p>
        </w:tc>
        <w:tc>
          <w:tcPr>
            <w:tcW w:w="260" w:type="dxa"/>
            <w:vAlign w:val="bottom"/>
            <w:shd w:val="clear" w:color="auto" w:fill="F4F3F3"/>
          </w:tcPr>
          <w:p>
            <w:pPr>
              <w:spacing w:after="0"/>
              <w:rPr>
                <w:sz w:val="12"/>
                <w:szCs w:val="12"/>
                <w:color w:val="auto"/>
              </w:rPr>
            </w:pPr>
          </w:p>
        </w:tc>
        <w:tc>
          <w:tcPr>
            <w:tcW w:w="240" w:type="dxa"/>
            <w:vAlign w:val="bottom"/>
            <w:shd w:val="clear" w:color="auto" w:fill="F4F3F3"/>
          </w:tcPr>
          <w:p>
            <w:pPr>
              <w:spacing w:after="0"/>
              <w:rPr>
                <w:sz w:val="12"/>
                <w:szCs w:val="12"/>
                <w:color w:val="auto"/>
              </w:rPr>
            </w:pPr>
          </w:p>
        </w:tc>
        <w:tc>
          <w:tcPr>
            <w:tcW w:w="20" w:type="dxa"/>
            <w:vAlign w:val="bottom"/>
            <w:shd w:val="clear" w:color="auto" w:fill="F4F3F3"/>
          </w:tcPr>
          <w:p>
            <w:pPr>
              <w:spacing w:after="0"/>
              <w:rPr>
                <w:sz w:val="12"/>
                <w:szCs w:val="12"/>
                <w:color w:val="auto"/>
              </w:rPr>
            </w:pPr>
          </w:p>
        </w:tc>
        <w:tc>
          <w:tcPr>
            <w:tcW w:w="100" w:type="dxa"/>
            <w:vAlign w:val="bottom"/>
            <w:shd w:val="clear" w:color="auto" w:fill="F4F3F3"/>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5500" w:type="dxa"/>
            <w:vAlign w:val="bottom"/>
            <w:vMerge w:val="continue"/>
            <w:shd w:val="clear" w:color="auto" w:fill="F4F3F3"/>
          </w:tcPr>
          <w:p>
            <w:pPr>
              <w:spacing w:after="0"/>
              <w:rPr>
                <w:sz w:val="7"/>
                <w:szCs w:val="7"/>
                <w:color w:val="auto"/>
              </w:rPr>
            </w:pPr>
          </w:p>
        </w:tc>
        <w:tc>
          <w:tcPr>
            <w:tcW w:w="500" w:type="dxa"/>
            <w:vAlign w:val="bottom"/>
            <w:vMerge w:val="restart"/>
            <w:shd w:val="clear" w:color="auto" w:fill="F4F3F3"/>
          </w:tcPr>
          <w:p>
            <w:pPr>
              <w:jc w:val="center"/>
              <w:ind w:left="28"/>
              <w:spacing w:after="0"/>
              <w:rPr>
                <w:sz w:val="20"/>
                <w:szCs w:val="20"/>
                <w:color w:val="auto"/>
              </w:rPr>
            </w:pPr>
            <w:r>
              <w:rPr>
                <w:rFonts w:ascii="Arial" w:cs="Arial" w:eastAsia="Arial" w:hAnsi="Arial"/>
                <w:sz w:val="14"/>
                <w:szCs w:val="14"/>
                <w:color w:val="auto"/>
              </w:rPr>
              <w:t>63</w:t>
            </w:r>
          </w:p>
        </w:tc>
        <w:tc>
          <w:tcPr>
            <w:tcW w:w="740" w:type="dxa"/>
            <w:vAlign w:val="bottom"/>
            <w:vMerge w:val="restart"/>
            <w:shd w:val="clear" w:color="auto" w:fill="F4F3F3"/>
          </w:tcPr>
          <w:p>
            <w:pPr>
              <w:jc w:val="center"/>
              <w:spacing w:after="0"/>
              <w:rPr>
                <w:sz w:val="20"/>
                <w:szCs w:val="20"/>
                <w:color w:val="auto"/>
              </w:rPr>
            </w:pPr>
            <w:r>
              <w:rPr>
                <w:rFonts w:ascii="Arial" w:cs="Arial" w:eastAsia="Arial" w:hAnsi="Arial"/>
                <w:sz w:val="14"/>
                <w:szCs w:val="14"/>
                <w:color w:val="auto"/>
              </w:rPr>
              <w:t>2015</w:t>
            </w:r>
          </w:p>
        </w:tc>
        <w:tc>
          <w:tcPr>
            <w:tcW w:w="1000" w:type="dxa"/>
            <w:vAlign w:val="bottom"/>
            <w:vMerge w:val="restart"/>
            <w:shd w:val="clear" w:color="auto" w:fill="F4F3F3"/>
          </w:tcPr>
          <w:p>
            <w:pPr>
              <w:jc w:val="center"/>
              <w:spacing w:after="0"/>
              <w:rPr>
                <w:sz w:val="20"/>
                <w:szCs w:val="20"/>
                <w:color w:val="auto"/>
              </w:rPr>
            </w:pPr>
            <w:r>
              <w:rPr>
                <w:rFonts w:ascii="Arial" w:cs="Arial" w:eastAsia="Arial" w:hAnsi="Arial"/>
                <w:sz w:val="14"/>
                <w:szCs w:val="14"/>
                <w:color w:val="auto"/>
                <w:w w:val="90"/>
              </w:rPr>
              <w:t>Yes</w:t>
            </w:r>
          </w:p>
        </w:tc>
        <w:tc>
          <w:tcPr>
            <w:tcW w:w="160" w:type="dxa"/>
            <w:vAlign w:val="bottom"/>
            <w:shd w:val="clear" w:color="auto" w:fill="F4F3F3"/>
          </w:tcPr>
          <w:p>
            <w:pPr>
              <w:spacing w:after="0"/>
              <w:rPr>
                <w:sz w:val="7"/>
                <w:szCs w:val="7"/>
                <w:color w:val="auto"/>
              </w:rPr>
            </w:pPr>
          </w:p>
        </w:tc>
        <w:tc>
          <w:tcPr>
            <w:tcW w:w="240" w:type="dxa"/>
            <w:vAlign w:val="bottom"/>
            <w:tcBorders>
              <w:right w:val="single" w:sz="8" w:color="F4F3F3"/>
            </w:tcBorders>
            <w:shd w:val="clear" w:color="auto" w:fill="F4F3F3"/>
          </w:tcPr>
          <w:p>
            <w:pPr>
              <w:spacing w:after="0"/>
              <w:rPr>
                <w:sz w:val="7"/>
                <w:szCs w:val="7"/>
                <w:color w:val="auto"/>
              </w:rPr>
            </w:pPr>
          </w:p>
        </w:tc>
        <w:tc>
          <w:tcPr>
            <w:tcW w:w="260" w:type="dxa"/>
            <w:vAlign w:val="bottom"/>
            <w:shd w:val="clear" w:color="auto" w:fill="F4F3F3"/>
          </w:tcPr>
          <w:p>
            <w:pPr>
              <w:spacing w:after="0"/>
              <w:rPr>
                <w:sz w:val="7"/>
                <w:szCs w:val="7"/>
                <w:color w:val="auto"/>
              </w:rPr>
            </w:pPr>
          </w:p>
        </w:tc>
        <w:tc>
          <w:tcPr>
            <w:tcW w:w="280" w:type="dxa"/>
            <w:vAlign w:val="bottom"/>
            <w:tcBorders>
              <w:left w:val="single" w:sz="8" w:color="7F7F7F"/>
              <w:right w:val="single" w:sz="8" w:color="7F7F7F"/>
            </w:tcBorders>
            <w:vMerge w:val="restart"/>
            <w:shd w:val="clear" w:color="auto" w:fill="7F7F7F"/>
          </w:tcPr>
          <w:p>
            <w:pPr>
              <w:ind w:left="60"/>
              <w:spacing w:after="0" w:line="182" w:lineRule="exact"/>
              <w:rPr>
                <w:sz w:val="20"/>
                <w:szCs w:val="20"/>
                <w:color w:val="auto"/>
              </w:rPr>
            </w:pPr>
            <w:r>
              <w:rPr>
                <w:rFonts w:ascii="Arial" w:cs="Arial" w:eastAsia="Arial" w:hAnsi="Arial"/>
                <w:sz w:val="18"/>
                <w:szCs w:val="18"/>
                <w:b w:val="1"/>
                <w:bCs w:val="1"/>
                <w:color w:val="FFFFFF"/>
              </w:rPr>
              <w:t>M</w:t>
            </w:r>
          </w:p>
        </w:tc>
        <w:tc>
          <w:tcPr>
            <w:tcW w:w="260" w:type="dxa"/>
            <w:vAlign w:val="bottom"/>
            <w:shd w:val="clear" w:color="auto" w:fill="F4F3F3"/>
          </w:tcPr>
          <w:p>
            <w:pPr>
              <w:spacing w:after="0"/>
              <w:rPr>
                <w:sz w:val="7"/>
                <w:szCs w:val="7"/>
                <w:color w:val="auto"/>
              </w:rPr>
            </w:pPr>
          </w:p>
        </w:tc>
        <w:tc>
          <w:tcPr>
            <w:tcW w:w="260" w:type="dxa"/>
            <w:vAlign w:val="bottom"/>
            <w:tcBorders>
              <w:right w:val="single" w:sz="8" w:color="7F7F7F"/>
            </w:tcBorders>
            <w:vMerge w:val="restart"/>
            <w:shd w:val="clear" w:color="auto" w:fill="7F7F7F"/>
          </w:tcPr>
          <w:p>
            <w:pPr>
              <w:jc w:val="right"/>
              <w:spacing w:after="0" w:line="182" w:lineRule="exact"/>
              <w:rPr>
                <w:sz w:val="20"/>
                <w:szCs w:val="20"/>
                <w:color w:val="auto"/>
              </w:rPr>
            </w:pPr>
            <w:r>
              <w:rPr>
                <w:rFonts w:ascii="Arial" w:cs="Arial" w:eastAsia="Arial" w:hAnsi="Arial"/>
                <w:sz w:val="18"/>
                <w:szCs w:val="18"/>
                <w:b w:val="1"/>
                <w:bCs w:val="1"/>
                <w:color w:val="FFFFFF"/>
              </w:rPr>
              <w:t>M</w:t>
            </w:r>
          </w:p>
        </w:tc>
        <w:tc>
          <w:tcPr>
            <w:tcW w:w="340" w:type="dxa"/>
            <w:vAlign w:val="bottom"/>
            <w:tcBorders>
              <w:right w:val="single" w:sz="8" w:color="F4F3F3"/>
            </w:tcBorders>
            <w:shd w:val="clear" w:color="auto" w:fill="F4F3F3"/>
          </w:tcPr>
          <w:p>
            <w:pPr>
              <w:spacing w:after="0"/>
              <w:rPr>
                <w:sz w:val="7"/>
                <w:szCs w:val="7"/>
                <w:color w:val="auto"/>
              </w:rPr>
            </w:pPr>
          </w:p>
        </w:tc>
        <w:tc>
          <w:tcPr>
            <w:tcW w:w="260" w:type="dxa"/>
            <w:vAlign w:val="bottom"/>
            <w:tcBorders>
              <w:right w:val="single" w:sz="8" w:color="F4F3F3"/>
            </w:tcBorders>
            <w:shd w:val="clear" w:color="auto" w:fill="F4F3F3"/>
          </w:tcPr>
          <w:p>
            <w:pPr>
              <w:spacing w:after="0"/>
              <w:rPr>
                <w:sz w:val="7"/>
                <w:szCs w:val="7"/>
                <w:color w:val="auto"/>
              </w:rPr>
            </w:pPr>
          </w:p>
        </w:tc>
        <w:tc>
          <w:tcPr>
            <w:tcW w:w="140" w:type="dxa"/>
            <w:vAlign w:val="bottom"/>
            <w:shd w:val="clear" w:color="auto" w:fill="F4F3F3"/>
          </w:tcPr>
          <w:p>
            <w:pPr>
              <w:spacing w:after="0"/>
              <w:rPr>
                <w:sz w:val="7"/>
                <w:szCs w:val="7"/>
                <w:color w:val="auto"/>
              </w:rPr>
            </w:pPr>
          </w:p>
        </w:tc>
        <w:tc>
          <w:tcPr>
            <w:tcW w:w="160" w:type="dxa"/>
            <w:vAlign w:val="bottom"/>
            <w:shd w:val="clear" w:color="auto" w:fill="F4F3F3"/>
          </w:tcPr>
          <w:p>
            <w:pPr>
              <w:spacing w:after="0"/>
              <w:rPr>
                <w:sz w:val="7"/>
                <w:szCs w:val="7"/>
                <w:color w:val="auto"/>
              </w:rPr>
            </w:pPr>
          </w:p>
        </w:tc>
        <w:tc>
          <w:tcPr>
            <w:tcW w:w="280" w:type="dxa"/>
            <w:vAlign w:val="bottom"/>
            <w:tcBorders>
              <w:left w:val="single" w:sz="8" w:color="F4F3F3"/>
              <w:right w:val="single" w:sz="8" w:color="F4F3F3"/>
            </w:tcBorders>
            <w:shd w:val="clear" w:color="auto" w:fill="F4F3F3"/>
          </w:tcPr>
          <w:p>
            <w:pPr>
              <w:spacing w:after="0"/>
              <w:rPr>
                <w:sz w:val="7"/>
                <w:szCs w:val="7"/>
                <w:color w:val="auto"/>
              </w:rPr>
            </w:pPr>
          </w:p>
        </w:tc>
        <w:tc>
          <w:tcPr>
            <w:tcW w:w="260" w:type="dxa"/>
            <w:vAlign w:val="bottom"/>
            <w:shd w:val="clear" w:color="auto" w:fill="F4F3F3"/>
          </w:tcPr>
          <w:p>
            <w:pPr>
              <w:spacing w:after="0"/>
              <w:rPr>
                <w:sz w:val="7"/>
                <w:szCs w:val="7"/>
                <w:color w:val="auto"/>
              </w:rPr>
            </w:pPr>
          </w:p>
        </w:tc>
        <w:tc>
          <w:tcPr>
            <w:tcW w:w="240" w:type="dxa"/>
            <w:vAlign w:val="bottom"/>
            <w:shd w:val="clear" w:color="auto" w:fill="F4F3F3"/>
          </w:tcPr>
          <w:p>
            <w:pPr>
              <w:spacing w:after="0"/>
              <w:rPr>
                <w:sz w:val="7"/>
                <w:szCs w:val="7"/>
                <w:color w:val="auto"/>
              </w:rPr>
            </w:pPr>
          </w:p>
        </w:tc>
        <w:tc>
          <w:tcPr>
            <w:tcW w:w="20" w:type="dxa"/>
            <w:vAlign w:val="bottom"/>
            <w:shd w:val="clear" w:color="auto" w:fill="F4F3F3"/>
          </w:tcPr>
          <w:p>
            <w:pPr>
              <w:spacing w:after="0"/>
              <w:rPr>
                <w:sz w:val="7"/>
                <w:szCs w:val="7"/>
                <w:color w:val="auto"/>
              </w:rPr>
            </w:pPr>
          </w:p>
        </w:tc>
        <w:tc>
          <w:tcPr>
            <w:tcW w:w="100" w:type="dxa"/>
            <w:vAlign w:val="bottom"/>
            <w:shd w:val="clear" w:color="auto" w:fill="F4F3F3"/>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5500" w:type="dxa"/>
            <w:vAlign w:val="bottom"/>
            <w:vMerge w:val="restart"/>
            <w:shd w:val="clear" w:color="auto" w:fill="F4F3F3"/>
          </w:tcPr>
          <w:p>
            <w:pPr>
              <w:ind w:left="180"/>
              <w:spacing w:after="0"/>
              <w:rPr>
                <w:sz w:val="20"/>
                <w:szCs w:val="20"/>
                <w:color w:val="auto"/>
              </w:rPr>
            </w:pPr>
            <w:r>
              <w:rPr>
                <w:rFonts w:ascii="Arial" w:cs="Arial" w:eastAsia="Arial" w:hAnsi="Arial"/>
                <w:sz w:val="14"/>
                <w:szCs w:val="14"/>
                <w:i w:val="1"/>
                <w:iCs w:val="1"/>
                <w:color w:val="auto"/>
              </w:rPr>
              <w:t>Professor, University of Maryland School of Public Policy</w:t>
            </w:r>
          </w:p>
        </w:tc>
        <w:tc>
          <w:tcPr>
            <w:tcW w:w="500" w:type="dxa"/>
            <w:vAlign w:val="bottom"/>
            <w:vMerge w:val="continue"/>
            <w:shd w:val="clear" w:color="auto" w:fill="F4F3F3"/>
          </w:tcPr>
          <w:p>
            <w:pPr>
              <w:spacing w:after="0"/>
              <w:rPr>
                <w:sz w:val="10"/>
                <w:szCs w:val="10"/>
                <w:color w:val="auto"/>
              </w:rPr>
            </w:pPr>
          </w:p>
        </w:tc>
        <w:tc>
          <w:tcPr>
            <w:tcW w:w="740" w:type="dxa"/>
            <w:vAlign w:val="bottom"/>
            <w:vMerge w:val="continue"/>
            <w:shd w:val="clear" w:color="auto" w:fill="F4F3F3"/>
          </w:tcPr>
          <w:p>
            <w:pPr>
              <w:spacing w:after="0"/>
              <w:rPr>
                <w:sz w:val="10"/>
                <w:szCs w:val="10"/>
                <w:color w:val="auto"/>
              </w:rPr>
            </w:pPr>
          </w:p>
        </w:tc>
        <w:tc>
          <w:tcPr>
            <w:tcW w:w="1000" w:type="dxa"/>
            <w:vAlign w:val="bottom"/>
            <w:vMerge w:val="continue"/>
            <w:shd w:val="clear" w:color="auto" w:fill="F4F3F3"/>
          </w:tcPr>
          <w:p>
            <w:pPr>
              <w:spacing w:after="0"/>
              <w:rPr>
                <w:sz w:val="10"/>
                <w:szCs w:val="10"/>
                <w:color w:val="auto"/>
              </w:rPr>
            </w:pPr>
          </w:p>
        </w:tc>
        <w:tc>
          <w:tcPr>
            <w:tcW w:w="160" w:type="dxa"/>
            <w:vAlign w:val="bottom"/>
            <w:shd w:val="clear" w:color="auto" w:fill="F4F3F3"/>
          </w:tcPr>
          <w:p>
            <w:pPr>
              <w:spacing w:after="0"/>
              <w:rPr>
                <w:sz w:val="10"/>
                <w:szCs w:val="10"/>
                <w:color w:val="auto"/>
              </w:rPr>
            </w:pPr>
          </w:p>
        </w:tc>
        <w:tc>
          <w:tcPr>
            <w:tcW w:w="240" w:type="dxa"/>
            <w:vAlign w:val="bottom"/>
            <w:tcBorders>
              <w:right w:val="single" w:sz="8" w:color="F4F3F3"/>
            </w:tcBorders>
            <w:shd w:val="clear" w:color="auto" w:fill="F4F3F3"/>
          </w:tcPr>
          <w:p>
            <w:pPr>
              <w:spacing w:after="0"/>
              <w:rPr>
                <w:sz w:val="10"/>
                <w:szCs w:val="10"/>
                <w:color w:val="auto"/>
              </w:rPr>
            </w:pPr>
          </w:p>
        </w:tc>
        <w:tc>
          <w:tcPr>
            <w:tcW w:w="260" w:type="dxa"/>
            <w:vAlign w:val="bottom"/>
            <w:shd w:val="clear" w:color="auto" w:fill="F4F3F3"/>
          </w:tcPr>
          <w:p>
            <w:pPr>
              <w:spacing w:after="0"/>
              <w:rPr>
                <w:sz w:val="10"/>
                <w:szCs w:val="10"/>
                <w:color w:val="auto"/>
              </w:rPr>
            </w:pPr>
          </w:p>
        </w:tc>
        <w:tc>
          <w:tcPr>
            <w:tcW w:w="280" w:type="dxa"/>
            <w:vAlign w:val="bottom"/>
            <w:tcBorders>
              <w:left w:val="single" w:sz="8" w:color="7F7F7F"/>
              <w:right w:val="single" w:sz="8" w:color="7F7F7F"/>
            </w:tcBorders>
            <w:vMerge w:val="continue"/>
            <w:shd w:val="clear" w:color="auto" w:fill="7F7F7F"/>
          </w:tcPr>
          <w:p>
            <w:pPr>
              <w:spacing w:after="0"/>
              <w:rPr>
                <w:sz w:val="10"/>
                <w:szCs w:val="10"/>
                <w:color w:val="auto"/>
              </w:rPr>
            </w:pPr>
          </w:p>
        </w:tc>
        <w:tc>
          <w:tcPr>
            <w:tcW w:w="260" w:type="dxa"/>
            <w:vAlign w:val="bottom"/>
            <w:shd w:val="clear" w:color="auto" w:fill="F4F3F3"/>
          </w:tcPr>
          <w:p>
            <w:pPr>
              <w:spacing w:after="0"/>
              <w:rPr>
                <w:sz w:val="10"/>
                <w:szCs w:val="10"/>
                <w:color w:val="auto"/>
              </w:rPr>
            </w:pPr>
          </w:p>
        </w:tc>
        <w:tc>
          <w:tcPr>
            <w:tcW w:w="260" w:type="dxa"/>
            <w:vAlign w:val="bottom"/>
            <w:tcBorders>
              <w:right w:val="single" w:sz="8" w:color="7F7F7F"/>
            </w:tcBorders>
            <w:vMerge w:val="continue"/>
            <w:shd w:val="clear" w:color="auto" w:fill="7F7F7F"/>
          </w:tcPr>
          <w:p>
            <w:pPr>
              <w:spacing w:after="0"/>
              <w:rPr>
                <w:sz w:val="10"/>
                <w:szCs w:val="10"/>
                <w:color w:val="auto"/>
              </w:rPr>
            </w:pPr>
          </w:p>
        </w:tc>
        <w:tc>
          <w:tcPr>
            <w:tcW w:w="340" w:type="dxa"/>
            <w:vAlign w:val="bottom"/>
            <w:tcBorders>
              <w:right w:val="single" w:sz="8" w:color="F4F3F3"/>
            </w:tcBorders>
            <w:shd w:val="clear" w:color="auto" w:fill="F4F3F3"/>
          </w:tcPr>
          <w:p>
            <w:pPr>
              <w:spacing w:after="0"/>
              <w:rPr>
                <w:sz w:val="10"/>
                <w:szCs w:val="10"/>
                <w:color w:val="auto"/>
              </w:rPr>
            </w:pPr>
          </w:p>
        </w:tc>
        <w:tc>
          <w:tcPr>
            <w:tcW w:w="260" w:type="dxa"/>
            <w:vAlign w:val="bottom"/>
            <w:tcBorders>
              <w:right w:val="single" w:sz="8" w:color="F4F3F3"/>
            </w:tcBorders>
            <w:shd w:val="clear" w:color="auto" w:fill="F4F3F3"/>
          </w:tcPr>
          <w:p>
            <w:pPr>
              <w:spacing w:after="0"/>
              <w:rPr>
                <w:sz w:val="10"/>
                <w:szCs w:val="10"/>
                <w:color w:val="auto"/>
              </w:rPr>
            </w:pPr>
          </w:p>
        </w:tc>
        <w:tc>
          <w:tcPr>
            <w:tcW w:w="140" w:type="dxa"/>
            <w:vAlign w:val="bottom"/>
            <w:shd w:val="clear" w:color="auto" w:fill="F4F3F3"/>
          </w:tcPr>
          <w:p>
            <w:pPr>
              <w:spacing w:after="0"/>
              <w:rPr>
                <w:sz w:val="10"/>
                <w:szCs w:val="10"/>
                <w:color w:val="auto"/>
              </w:rPr>
            </w:pPr>
          </w:p>
        </w:tc>
        <w:tc>
          <w:tcPr>
            <w:tcW w:w="160" w:type="dxa"/>
            <w:vAlign w:val="bottom"/>
            <w:shd w:val="clear" w:color="auto" w:fill="F4F3F3"/>
          </w:tcPr>
          <w:p>
            <w:pPr>
              <w:spacing w:after="0"/>
              <w:rPr>
                <w:sz w:val="10"/>
                <w:szCs w:val="10"/>
                <w:color w:val="auto"/>
              </w:rPr>
            </w:pPr>
          </w:p>
        </w:tc>
        <w:tc>
          <w:tcPr>
            <w:tcW w:w="280" w:type="dxa"/>
            <w:vAlign w:val="bottom"/>
            <w:tcBorders>
              <w:left w:val="single" w:sz="8" w:color="F4F3F3"/>
              <w:right w:val="single" w:sz="8" w:color="F4F3F3"/>
            </w:tcBorders>
            <w:shd w:val="clear" w:color="auto" w:fill="F4F3F3"/>
          </w:tcPr>
          <w:p>
            <w:pPr>
              <w:spacing w:after="0"/>
              <w:rPr>
                <w:sz w:val="10"/>
                <w:szCs w:val="10"/>
                <w:color w:val="auto"/>
              </w:rPr>
            </w:pPr>
          </w:p>
        </w:tc>
        <w:tc>
          <w:tcPr>
            <w:tcW w:w="260" w:type="dxa"/>
            <w:vAlign w:val="bottom"/>
            <w:shd w:val="clear" w:color="auto" w:fill="F4F3F3"/>
          </w:tcPr>
          <w:p>
            <w:pPr>
              <w:spacing w:after="0"/>
              <w:rPr>
                <w:sz w:val="10"/>
                <w:szCs w:val="10"/>
                <w:color w:val="auto"/>
              </w:rPr>
            </w:pPr>
          </w:p>
        </w:tc>
        <w:tc>
          <w:tcPr>
            <w:tcW w:w="240" w:type="dxa"/>
            <w:vAlign w:val="bottom"/>
            <w:shd w:val="clear" w:color="auto" w:fill="F4F3F3"/>
          </w:tcPr>
          <w:p>
            <w:pPr>
              <w:spacing w:after="0"/>
              <w:rPr>
                <w:sz w:val="10"/>
                <w:szCs w:val="10"/>
                <w:color w:val="auto"/>
              </w:rPr>
            </w:pPr>
          </w:p>
        </w:tc>
        <w:tc>
          <w:tcPr>
            <w:tcW w:w="20" w:type="dxa"/>
            <w:vAlign w:val="bottom"/>
            <w:shd w:val="clear" w:color="auto" w:fill="F4F3F3"/>
          </w:tcPr>
          <w:p>
            <w:pPr>
              <w:spacing w:after="0"/>
              <w:rPr>
                <w:sz w:val="10"/>
                <w:szCs w:val="10"/>
                <w:color w:val="auto"/>
              </w:rPr>
            </w:pPr>
          </w:p>
        </w:tc>
        <w:tc>
          <w:tcPr>
            <w:tcW w:w="100" w:type="dxa"/>
            <w:vAlign w:val="bottom"/>
            <w:shd w:val="clear" w:color="auto" w:fill="F4F3F3"/>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5500" w:type="dxa"/>
            <w:vAlign w:val="bottom"/>
            <w:vMerge w:val="continue"/>
            <w:shd w:val="clear" w:color="auto" w:fill="F4F3F3"/>
          </w:tcPr>
          <w:p>
            <w:pPr>
              <w:spacing w:after="0"/>
              <w:rPr>
                <w:sz w:val="6"/>
                <w:szCs w:val="6"/>
                <w:color w:val="auto"/>
              </w:rPr>
            </w:pPr>
          </w:p>
        </w:tc>
        <w:tc>
          <w:tcPr>
            <w:tcW w:w="500" w:type="dxa"/>
            <w:vAlign w:val="bottom"/>
            <w:shd w:val="clear" w:color="auto" w:fill="F4F3F3"/>
          </w:tcPr>
          <w:p>
            <w:pPr>
              <w:spacing w:after="0"/>
              <w:rPr>
                <w:sz w:val="6"/>
                <w:szCs w:val="6"/>
                <w:color w:val="auto"/>
              </w:rPr>
            </w:pPr>
          </w:p>
        </w:tc>
        <w:tc>
          <w:tcPr>
            <w:tcW w:w="740" w:type="dxa"/>
            <w:vAlign w:val="bottom"/>
            <w:shd w:val="clear" w:color="auto" w:fill="F4F3F3"/>
          </w:tcPr>
          <w:p>
            <w:pPr>
              <w:spacing w:after="0"/>
              <w:rPr>
                <w:sz w:val="6"/>
                <w:szCs w:val="6"/>
                <w:color w:val="auto"/>
              </w:rPr>
            </w:pPr>
          </w:p>
        </w:tc>
        <w:tc>
          <w:tcPr>
            <w:tcW w:w="1000" w:type="dxa"/>
            <w:vAlign w:val="bottom"/>
            <w:shd w:val="clear" w:color="auto" w:fill="F4F3F3"/>
          </w:tcPr>
          <w:p>
            <w:pPr>
              <w:spacing w:after="0"/>
              <w:rPr>
                <w:sz w:val="6"/>
                <w:szCs w:val="6"/>
                <w:color w:val="auto"/>
              </w:rPr>
            </w:pPr>
          </w:p>
        </w:tc>
        <w:tc>
          <w:tcPr>
            <w:tcW w:w="160" w:type="dxa"/>
            <w:vAlign w:val="bottom"/>
            <w:shd w:val="clear" w:color="auto" w:fill="F4F3F3"/>
          </w:tcPr>
          <w:p>
            <w:pPr>
              <w:spacing w:after="0"/>
              <w:rPr>
                <w:sz w:val="6"/>
                <w:szCs w:val="6"/>
                <w:color w:val="auto"/>
              </w:rPr>
            </w:pPr>
          </w:p>
        </w:tc>
        <w:tc>
          <w:tcPr>
            <w:tcW w:w="240" w:type="dxa"/>
            <w:vAlign w:val="bottom"/>
            <w:tcBorders>
              <w:right w:val="single" w:sz="8" w:color="F4F3F3"/>
            </w:tcBorders>
            <w:shd w:val="clear" w:color="auto" w:fill="F4F3F3"/>
          </w:tcPr>
          <w:p>
            <w:pPr>
              <w:spacing w:after="0"/>
              <w:rPr>
                <w:sz w:val="6"/>
                <w:szCs w:val="6"/>
                <w:color w:val="auto"/>
              </w:rPr>
            </w:pPr>
          </w:p>
        </w:tc>
        <w:tc>
          <w:tcPr>
            <w:tcW w:w="260" w:type="dxa"/>
            <w:vAlign w:val="bottom"/>
            <w:shd w:val="clear" w:color="auto" w:fill="F4F3F3"/>
          </w:tcPr>
          <w:p>
            <w:pPr>
              <w:spacing w:after="0"/>
              <w:rPr>
                <w:sz w:val="6"/>
                <w:szCs w:val="6"/>
                <w:color w:val="auto"/>
              </w:rPr>
            </w:pPr>
          </w:p>
        </w:tc>
        <w:tc>
          <w:tcPr>
            <w:tcW w:w="280" w:type="dxa"/>
            <w:vAlign w:val="bottom"/>
            <w:tcBorders>
              <w:left w:val="single" w:sz="8" w:color="F4F3F3"/>
              <w:right w:val="single" w:sz="8" w:color="F4F3F3"/>
            </w:tcBorders>
            <w:shd w:val="clear" w:color="auto" w:fill="F4F3F3"/>
          </w:tcPr>
          <w:p>
            <w:pPr>
              <w:spacing w:after="0"/>
              <w:rPr>
                <w:sz w:val="6"/>
                <w:szCs w:val="6"/>
                <w:color w:val="auto"/>
              </w:rPr>
            </w:pPr>
          </w:p>
        </w:tc>
        <w:tc>
          <w:tcPr>
            <w:tcW w:w="260" w:type="dxa"/>
            <w:vAlign w:val="bottom"/>
            <w:shd w:val="clear" w:color="auto" w:fill="F4F3F3"/>
          </w:tcPr>
          <w:p>
            <w:pPr>
              <w:spacing w:after="0"/>
              <w:rPr>
                <w:sz w:val="6"/>
                <w:szCs w:val="6"/>
                <w:color w:val="auto"/>
              </w:rPr>
            </w:pPr>
          </w:p>
        </w:tc>
        <w:tc>
          <w:tcPr>
            <w:tcW w:w="260" w:type="dxa"/>
            <w:vAlign w:val="bottom"/>
            <w:tcBorders>
              <w:right w:val="single" w:sz="8" w:color="F4F3F3"/>
            </w:tcBorders>
            <w:shd w:val="clear" w:color="auto" w:fill="F4F3F3"/>
          </w:tcPr>
          <w:p>
            <w:pPr>
              <w:spacing w:after="0"/>
              <w:rPr>
                <w:sz w:val="6"/>
                <w:szCs w:val="6"/>
                <w:color w:val="auto"/>
              </w:rPr>
            </w:pPr>
          </w:p>
        </w:tc>
        <w:tc>
          <w:tcPr>
            <w:tcW w:w="340" w:type="dxa"/>
            <w:vAlign w:val="bottom"/>
            <w:tcBorders>
              <w:right w:val="single" w:sz="8" w:color="F4F3F3"/>
            </w:tcBorders>
            <w:shd w:val="clear" w:color="auto" w:fill="F4F3F3"/>
          </w:tcPr>
          <w:p>
            <w:pPr>
              <w:spacing w:after="0"/>
              <w:rPr>
                <w:sz w:val="6"/>
                <w:szCs w:val="6"/>
                <w:color w:val="auto"/>
              </w:rPr>
            </w:pPr>
          </w:p>
        </w:tc>
        <w:tc>
          <w:tcPr>
            <w:tcW w:w="260" w:type="dxa"/>
            <w:vAlign w:val="bottom"/>
            <w:tcBorders>
              <w:right w:val="single" w:sz="8" w:color="F4F3F3"/>
            </w:tcBorders>
            <w:shd w:val="clear" w:color="auto" w:fill="F4F3F3"/>
          </w:tcPr>
          <w:p>
            <w:pPr>
              <w:spacing w:after="0"/>
              <w:rPr>
                <w:sz w:val="6"/>
                <w:szCs w:val="6"/>
                <w:color w:val="auto"/>
              </w:rPr>
            </w:pPr>
          </w:p>
        </w:tc>
        <w:tc>
          <w:tcPr>
            <w:tcW w:w="140" w:type="dxa"/>
            <w:vAlign w:val="bottom"/>
            <w:shd w:val="clear" w:color="auto" w:fill="F4F3F3"/>
          </w:tcPr>
          <w:p>
            <w:pPr>
              <w:spacing w:after="0"/>
              <w:rPr>
                <w:sz w:val="6"/>
                <w:szCs w:val="6"/>
                <w:color w:val="auto"/>
              </w:rPr>
            </w:pPr>
          </w:p>
        </w:tc>
        <w:tc>
          <w:tcPr>
            <w:tcW w:w="160" w:type="dxa"/>
            <w:vAlign w:val="bottom"/>
            <w:shd w:val="clear" w:color="auto" w:fill="F4F3F3"/>
          </w:tcPr>
          <w:p>
            <w:pPr>
              <w:spacing w:after="0"/>
              <w:rPr>
                <w:sz w:val="6"/>
                <w:szCs w:val="6"/>
                <w:color w:val="auto"/>
              </w:rPr>
            </w:pPr>
          </w:p>
        </w:tc>
        <w:tc>
          <w:tcPr>
            <w:tcW w:w="280" w:type="dxa"/>
            <w:vAlign w:val="bottom"/>
            <w:tcBorders>
              <w:left w:val="single" w:sz="8" w:color="F4F3F3"/>
              <w:right w:val="single" w:sz="8" w:color="F4F3F3"/>
            </w:tcBorders>
            <w:shd w:val="clear" w:color="auto" w:fill="F4F3F3"/>
          </w:tcPr>
          <w:p>
            <w:pPr>
              <w:spacing w:after="0"/>
              <w:rPr>
                <w:sz w:val="6"/>
                <w:szCs w:val="6"/>
                <w:color w:val="auto"/>
              </w:rPr>
            </w:pPr>
          </w:p>
        </w:tc>
        <w:tc>
          <w:tcPr>
            <w:tcW w:w="260" w:type="dxa"/>
            <w:vAlign w:val="bottom"/>
            <w:shd w:val="clear" w:color="auto" w:fill="F4F3F3"/>
          </w:tcPr>
          <w:p>
            <w:pPr>
              <w:spacing w:after="0"/>
              <w:rPr>
                <w:sz w:val="6"/>
                <w:szCs w:val="6"/>
                <w:color w:val="auto"/>
              </w:rPr>
            </w:pPr>
          </w:p>
        </w:tc>
        <w:tc>
          <w:tcPr>
            <w:tcW w:w="240" w:type="dxa"/>
            <w:vAlign w:val="bottom"/>
            <w:shd w:val="clear" w:color="auto" w:fill="F4F3F3"/>
          </w:tcPr>
          <w:p>
            <w:pPr>
              <w:spacing w:after="0"/>
              <w:rPr>
                <w:sz w:val="6"/>
                <w:szCs w:val="6"/>
                <w:color w:val="auto"/>
              </w:rPr>
            </w:pPr>
          </w:p>
        </w:tc>
        <w:tc>
          <w:tcPr>
            <w:tcW w:w="20" w:type="dxa"/>
            <w:vAlign w:val="bottom"/>
            <w:shd w:val="clear" w:color="auto" w:fill="F4F3F3"/>
          </w:tcPr>
          <w:p>
            <w:pPr>
              <w:spacing w:after="0"/>
              <w:rPr>
                <w:sz w:val="6"/>
                <w:szCs w:val="6"/>
                <w:color w:val="auto"/>
              </w:rPr>
            </w:pPr>
          </w:p>
        </w:tc>
        <w:tc>
          <w:tcPr>
            <w:tcW w:w="100" w:type="dxa"/>
            <w:vAlign w:val="bottom"/>
            <w:shd w:val="clear" w:color="auto" w:fill="F4F3F3"/>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5500" w:type="dxa"/>
            <w:vAlign w:val="bottom"/>
            <w:vMerge w:val="restart"/>
            <w:shd w:val="clear" w:color="auto" w:fill="F4F3F3"/>
          </w:tcPr>
          <w:p>
            <w:pPr>
              <w:ind w:left="180"/>
              <w:spacing w:after="0"/>
              <w:rPr>
                <w:sz w:val="20"/>
                <w:szCs w:val="20"/>
                <w:color w:val="auto"/>
              </w:rPr>
            </w:pPr>
            <w:r>
              <w:rPr>
                <w:rFonts w:ascii="Arial" w:cs="Arial" w:eastAsia="Arial" w:hAnsi="Arial"/>
                <w:sz w:val="14"/>
                <w:szCs w:val="14"/>
                <w:b w:val="1"/>
                <w:bCs w:val="1"/>
                <w:color w:val="998C87"/>
              </w:rPr>
              <w:t>Arne M. Sorenson</w:t>
            </w:r>
          </w:p>
        </w:tc>
        <w:tc>
          <w:tcPr>
            <w:tcW w:w="500" w:type="dxa"/>
            <w:vAlign w:val="bottom"/>
            <w:shd w:val="clear" w:color="auto" w:fill="F4F3F3"/>
          </w:tcPr>
          <w:p>
            <w:pPr>
              <w:spacing w:after="0"/>
              <w:rPr>
                <w:sz w:val="12"/>
                <w:szCs w:val="12"/>
                <w:color w:val="auto"/>
              </w:rPr>
            </w:pPr>
          </w:p>
        </w:tc>
        <w:tc>
          <w:tcPr>
            <w:tcW w:w="740" w:type="dxa"/>
            <w:vAlign w:val="bottom"/>
            <w:shd w:val="clear" w:color="auto" w:fill="F4F3F3"/>
          </w:tcPr>
          <w:p>
            <w:pPr>
              <w:spacing w:after="0"/>
              <w:rPr>
                <w:sz w:val="12"/>
                <w:szCs w:val="12"/>
                <w:color w:val="auto"/>
              </w:rPr>
            </w:pPr>
          </w:p>
        </w:tc>
        <w:tc>
          <w:tcPr>
            <w:tcW w:w="1000" w:type="dxa"/>
            <w:vAlign w:val="bottom"/>
            <w:shd w:val="clear" w:color="auto" w:fill="F4F3F3"/>
          </w:tcPr>
          <w:p>
            <w:pPr>
              <w:spacing w:after="0"/>
              <w:rPr>
                <w:sz w:val="12"/>
                <w:szCs w:val="12"/>
                <w:color w:val="auto"/>
              </w:rPr>
            </w:pPr>
          </w:p>
        </w:tc>
        <w:tc>
          <w:tcPr>
            <w:tcW w:w="160" w:type="dxa"/>
            <w:vAlign w:val="bottom"/>
            <w:shd w:val="clear" w:color="auto" w:fill="F4F3F3"/>
          </w:tcPr>
          <w:p>
            <w:pPr>
              <w:spacing w:after="0"/>
              <w:rPr>
                <w:sz w:val="12"/>
                <w:szCs w:val="12"/>
                <w:color w:val="auto"/>
              </w:rPr>
            </w:pPr>
          </w:p>
        </w:tc>
        <w:tc>
          <w:tcPr>
            <w:tcW w:w="240" w:type="dxa"/>
            <w:vAlign w:val="bottom"/>
            <w:tcBorders>
              <w:right w:val="single" w:sz="8" w:color="F4F3F3"/>
            </w:tcBorders>
            <w:shd w:val="clear" w:color="auto" w:fill="F4F3F3"/>
          </w:tcPr>
          <w:p>
            <w:pPr>
              <w:spacing w:after="0"/>
              <w:rPr>
                <w:sz w:val="12"/>
                <w:szCs w:val="12"/>
                <w:color w:val="auto"/>
              </w:rPr>
            </w:pPr>
          </w:p>
        </w:tc>
        <w:tc>
          <w:tcPr>
            <w:tcW w:w="260" w:type="dxa"/>
            <w:vAlign w:val="bottom"/>
            <w:shd w:val="clear" w:color="auto" w:fill="F4F3F3"/>
          </w:tcPr>
          <w:p>
            <w:pPr>
              <w:spacing w:after="0"/>
              <w:rPr>
                <w:sz w:val="12"/>
                <w:szCs w:val="12"/>
                <w:color w:val="auto"/>
              </w:rPr>
            </w:pPr>
          </w:p>
        </w:tc>
        <w:tc>
          <w:tcPr>
            <w:tcW w:w="280" w:type="dxa"/>
            <w:vAlign w:val="bottom"/>
            <w:tcBorders>
              <w:left w:val="single" w:sz="8" w:color="F4F3F3"/>
              <w:right w:val="single" w:sz="8" w:color="F4F3F3"/>
            </w:tcBorders>
            <w:shd w:val="clear" w:color="auto" w:fill="F4F3F3"/>
          </w:tcPr>
          <w:p>
            <w:pPr>
              <w:spacing w:after="0"/>
              <w:rPr>
                <w:sz w:val="12"/>
                <w:szCs w:val="12"/>
                <w:color w:val="auto"/>
              </w:rPr>
            </w:pPr>
          </w:p>
        </w:tc>
        <w:tc>
          <w:tcPr>
            <w:tcW w:w="260" w:type="dxa"/>
            <w:vAlign w:val="bottom"/>
            <w:shd w:val="clear" w:color="auto" w:fill="F4F3F3"/>
          </w:tcPr>
          <w:p>
            <w:pPr>
              <w:spacing w:after="0"/>
              <w:rPr>
                <w:sz w:val="12"/>
                <w:szCs w:val="12"/>
                <w:color w:val="auto"/>
              </w:rPr>
            </w:pPr>
          </w:p>
        </w:tc>
        <w:tc>
          <w:tcPr>
            <w:tcW w:w="260" w:type="dxa"/>
            <w:vAlign w:val="bottom"/>
            <w:tcBorders>
              <w:right w:val="single" w:sz="8" w:color="F4F3F3"/>
            </w:tcBorders>
            <w:shd w:val="clear" w:color="auto" w:fill="F4F3F3"/>
          </w:tcPr>
          <w:p>
            <w:pPr>
              <w:spacing w:after="0"/>
              <w:rPr>
                <w:sz w:val="12"/>
                <w:szCs w:val="12"/>
                <w:color w:val="auto"/>
              </w:rPr>
            </w:pPr>
          </w:p>
        </w:tc>
        <w:tc>
          <w:tcPr>
            <w:tcW w:w="340" w:type="dxa"/>
            <w:vAlign w:val="bottom"/>
            <w:tcBorders>
              <w:right w:val="single" w:sz="8" w:color="F4F3F3"/>
            </w:tcBorders>
            <w:shd w:val="clear" w:color="auto" w:fill="F4F3F3"/>
          </w:tcPr>
          <w:p>
            <w:pPr>
              <w:spacing w:after="0"/>
              <w:rPr>
                <w:sz w:val="12"/>
                <w:szCs w:val="12"/>
                <w:color w:val="auto"/>
              </w:rPr>
            </w:pPr>
          </w:p>
        </w:tc>
        <w:tc>
          <w:tcPr>
            <w:tcW w:w="260" w:type="dxa"/>
            <w:vAlign w:val="bottom"/>
            <w:tcBorders>
              <w:right w:val="single" w:sz="8" w:color="F4F3F3"/>
            </w:tcBorders>
            <w:shd w:val="clear" w:color="auto" w:fill="F4F3F3"/>
          </w:tcPr>
          <w:p>
            <w:pPr>
              <w:spacing w:after="0"/>
              <w:rPr>
                <w:sz w:val="12"/>
                <w:szCs w:val="12"/>
                <w:color w:val="auto"/>
              </w:rPr>
            </w:pPr>
          </w:p>
        </w:tc>
        <w:tc>
          <w:tcPr>
            <w:tcW w:w="140" w:type="dxa"/>
            <w:vAlign w:val="bottom"/>
            <w:shd w:val="clear" w:color="auto" w:fill="F4F3F3"/>
          </w:tcPr>
          <w:p>
            <w:pPr>
              <w:spacing w:after="0"/>
              <w:rPr>
                <w:sz w:val="12"/>
                <w:szCs w:val="12"/>
                <w:color w:val="auto"/>
              </w:rPr>
            </w:pPr>
          </w:p>
        </w:tc>
        <w:tc>
          <w:tcPr>
            <w:tcW w:w="160" w:type="dxa"/>
            <w:vAlign w:val="bottom"/>
            <w:shd w:val="clear" w:color="auto" w:fill="F4F3F3"/>
          </w:tcPr>
          <w:p>
            <w:pPr>
              <w:spacing w:after="0"/>
              <w:rPr>
                <w:sz w:val="12"/>
                <w:szCs w:val="12"/>
                <w:color w:val="auto"/>
              </w:rPr>
            </w:pPr>
          </w:p>
        </w:tc>
        <w:tc>
          <w:tcPr>
            <w:tcW w:w="280" w:type="dxa"/>
            <w:vAlign w:val="bottom"/>
            <w:tcBorders>
              <w:left w:val="single" w:sz="8" w:color="F4F3F3"/>
              <w:right w:val="single" w:sz="8" w:color="F4F3F3"/>
            </w:tcBorders>
            <w:shd w:val="clear" w:color="auto" w:fill="F4F3F3"/>
          </w:tcPr>
          <w:p>
            <w:pPr>
              <w:spacing w:after="0"/>
              <w:rPr>
                <w:sz w:val="12"/>
                <w:szCs w:val="12"/>
                <w:color w:val="auto"/>
              </w:rPr>
            </w:pPr>
          </w:p>
        </w:tc>
        <w:tc>
          <w:tcPr>
            <w:tcW w:w="260" w:type="dxa"/>
            <w:vAlign w:val="bottom"/>
            <w:shd w:val="clear" w:color="auto" w:fill="F4F3F3"/>
          </w:tcPr>
          <w:p>
            <w:pPr>
              <w:spacing w:after="0"/>
              <w:rPr>
                <w:sz w:val="12"/>
                <w:szCs w:val="12"/>
                <w:color w:val="auto"/>
              </w:rPr>
            </w:pPr>
          </w:p>
        </w:tc>
        <w:tc>
          <w:tcPr>
            <w:tcW w:w="240" w:type="dxa"/>
            <w:vAlign w:val="bottom"/>
            <w:shd w:val="clear" w:color="auto" w:fill="F4F3F3"/>
          </w:tcPr>
          <w:p>
            <w:pPr>
              <w:spacing w:after="0"/>
              <w:rPr>
                <w:sz w:val="12"/>
                <w:szCs w:val="12"/>
                <w:color w:val="auto"/>
              </w:rPr>
            </w:pPr>
          </w:p>
        </w:tc>
        <w:tc>
          <w:tcPr>
            <w:tcW w:w="20" w:type="dxa"/>
            <w:vAlign w:val="bottom"/>
            <w:shd w:val="clear" w:color="auto" w:fill="F4F3F3"/>
          </w:tcPr>
          <w:p>
            <w:pPr>
              <w:spacing w:after="0"/>
              <w:rPr>
                <w:sz w:val="12"/>
                <w:szCs w:val="12"/>
                <w:color w:val="auto"/>
              </w:rPr>
            </w:pPr>
          </w:p>
        </w:tc>
        <w:tc>
          <w:tcPr>
            <w:tcW w:w="100" w:type="dxa"/>
            <w:vAlign w:val="bottom"/>
            <w:shd w:val="clear" w:color="auto" w:fill="F4F3F3"/>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5500" w:type="dxa"/>
            <w:vAlign w:val="bottom"/>
            <w:vMerge w:val="continue"/>
            <w:shd w:val="clear" w:color="auto" w:fill="F4F3F3"/>
          </w:tcPr>
          <w:p>
            <w:pPr>
              <w:spacing w:after="0"/>
              <w:rPr>
                <w:sz w:val="7"/>
                <w:szCs w:val="7"/>
                <w:color w:val="auto"/>
              </w:rPr>
            </w:pPr>
          </w:p>
        </w:tc>
        <w:tc>
          <w:tcPr>
            <w:tcW w:w="500" w:type="dxa"/>
            <w:vAlign w:val="bottom"/>
            <w:vMerge w:val="restart"/>
            <w:shd w:val="clear" w:color="auto" w:fill="F4F3F3"/>
          </w:tcPr>
          <w:p>
            <w:pPr>
              <w:jc w:val="center"/>
              <w:ind w:left="28"/>
              <w:spacing w:after="0"/>
              <w:rPr>
                <w:sz w:val="20"/>
                <w:szCs w:val="20"/>
                <w:color w:val="auto"/>
              </w:rPr>
            </w:pPr>
            <w:r>
              <w:rPr>
                <w:rFonts w:ascii="Arial" w:cs="Arial" w:eastAsia="Arial" w:hAnsi="Arial"/>
                <w:sz w:val="14"/>
                <w:szCs w:val="14"/>
                <w:color w:val="auto"/>
              </w:rPr>
              <w:t>59</w:t>
            </w:r>
          </w:p>
        </w:tc>
        <w:tc>
          <w:tcPr>
            <w:tcW w:w="740" w:type="dxa"/>
            <w:vAlign w:val="bottom"/>
            <w:vMerge w:val="restart"/>
            <w:shd w:val="clear" w:color="auto" w:fill="F4F3F3"/>
          </w:tcPr>
          <w:p>
            <w:pPr>
              <w:jc w:val="center"/>
              <w:spacing w:after="0"/>
              <w:rPr>
                <w:sz w:val="20"/>
                <w:szCs w:val="20"/>
                <w:color w:val="auto"/>
              </w:rPr>
            </w:pPr>
            <w:r>
              <w:rPr>
                <w:rFonts w:ascii="Arial" w:cs="Arial" w:eastAsia="Arial" w:hAnsi="Arial"/>
                <w:sz w:val="14"/>
                <w:szCs w:val="14"/>
                <w:color w:val="auto"/>
              </w:rPr>
              <w:t>2011</w:t>
            </w:r>
          </w:p>
        </w:tc>
        <w:tc>
          <w:tcPr>
            <w:tcW w:w="1000" w:type="dxa"/>
            <w:vAlign w:val="bottom"/>
            <w:vMerge w:val="restart"/>
            <w:shd w:val="clear" w:color="auto" w:fill="F4F3F3"/>
          </w:tcPr>
          <w:p>
            <w:pPr>
              <w:jc w:val="center"/>
              <w:spacing w:after="0"/>
              <w:rPr>
                <w:sz w:val="20"/>
                <w:szCs w:val="20"/>
                <w:color w:val="auto"/>
              </w:rPr>
            </w:pPr>
            <w:r>
              <w:rPr>
                <w:rFonts w:ascii="Arial" w:cs="Arial" w:eastAsia="Arial" w:hAnsi="Arial"/>
                <w:sz w:val="14"/>
                <w:szCs w:val="14"/>
                <w:color w:val="auto"/>
              </w:rPr>
              <w:t>No</w:t>
            </w:r>
          </w:p>
        </w:tc>
        <w:tc>
          <w:tcPr>
            <w:tcW w:w="160" w:type="dxa"/>
            <w:vAlign w:val="bottom"/>
            <w:shd w:val="clear" w:color="auto" w:fill="F4F3F3"/>
          </w:tcPr>
          <w:p>
            <w:pPr>
              <w:spacing w:after="0"/>
              <w:rPr>
                <w:sz w:val="7"/>
                <w:szCs w:val="7"/>
                <w:color w:val="auto"/>
              </w:rPr>
            </w:pPr>
          </w:p>
        </w:tc>
        <w:tc>
          <w:tcPr>
            <w:tcW w:w="240" w:type="dxa"/>
            <w:vAlign w:val="bottom"/>
            <w:tcBorders>
              <w:right w:val="single" w:sz="8" w:color="F4F3F3"/>
            </w:tcBorders>
            <w:shd w:val="clear" w:color="auto" w:fill="F4F3F3"/>
          </w:tcPr>
          <w:p>
            <w:pPr>
              <w:spacing w:after="0"/>
              <w:rPr>
                <w:sz w:val="7"/>
                <w:szCs w:val="7"/>
                <w:color w:val="auto"/>
              </w:rPr>
            </w:pPr>
          </w:p>
        </w:tc>
        <w:tc>
          <w:tcPr>
            <w:tcW w:w="260" w:type="dxa"/>
            <w:vAlign w:val="bottom"/>
            <w:shd w:val="clear" w:color="auto" w:fill="F4F3F3"/>
          </w:tcPr>
          <w:p>
            <w:pPr>
              <w:spacing w:after="0"/>
              <w:rPr>
                <w:sz w:val="7"/>
                <w:szCs w:val="7"/>
                <w:color w:val="auto"/>
              </w:rPr>
            </w:pPr>
          </w:p>
        </w:tc>
        <w:tc>
          <w:tcPr>
            <w:tcW w:w="280" w:type="dxa"/>
            <w:vAlign w:val="bottom"/>
            <w:tcBorders>
              <w:left w:val="single" w:sz="8" w:color="F4F3F3"/>
              <w:right w:val="single" w:sz="8" w:color="F4F3F3"/>
            </w:tcBorders>
            <w:shd w:val="clear" w:color="auto" w:fill="F4F3F3"/>
          </w:tcPr>
          <w:p>
            <w:pPr>
              <w:spacing w:after="0"/>
              <w:rPr>
                <w:sz w:val="7"/>
                <w:szCs w:val="7"/>
                <w:color w:val="auto"/>
              </w:rPr>
            </w:pPr>
          </w:p>
        </w:tc>
        <w:tc>
          <w:tcPr>
            <w:tcW w:w="260" w:type="dxa"/>
            <w:vAlign w:val="bottom"/>
            <w:shd w:val="clear" w:color="auto" w:fill="F4F3F3"/>
          </w:tcPr>
          <w:p>
            <w:pPr>
              <w:spacing w:after="0"/>
              <w:rPr>
                <w:sz w:val="7"/>
                <w:szCs w:val="7"/>
                <w:color w:val="auto"/>
              </w:rPr>
            </w:pPr>
          </w:p>
        </w:tc>
        <w:tc>
          <w:tcPr>
            <w:tcW w:w="260" w:type="dxa"/>
            <w:vAlign w:val="bottom"/>
            <w:tcBorders>
              <w:right w:val="single" w:sz="8" w:color="F4F3F3"/>
            </w:tcBorders>
            <w:shd w:val="clear" w:color="auto" w:fill="F4F3F3"/>
          </w:tcPr>
          <w:p>
            <w:pPr>
              <w:spacing w:after="0"/>
              <w:rPr>
                <w:sz w:val="7"/>
                <w:szCs w:val="7"/>
                <w:color w:val="auto"/>
              </w:rPr>
            </w:pPr>
          </w:p>
        </w:tc>
        <w:tc>
          <w:tcPr>
            <w:tcW w:w="340" w:type="dxa"/>
            <w:vAlign w:val="bottom"/>
            <w:tcBorders>
              <w:right w:val="single" w:sz="8" w:color="F4F3F3"/>
            </w:tcBorders>
            <w:shd w:val="clear" w:color="auto" w:fill="F4F3F3"/>
          </w:tcPr>
          <w:p>
            <w:pPr>
              <w:spacing w:after="0"/>
              <w:rPr>
                <w:sz w:val="7"/>
                <w:szCs w:val="7"/>
                <w:color w:val="auto"/>
              </w:rPr>
            </w:pPr>
          </w:p>
        </w:tc>
        <w:tc>
          <w:tcPr>
            <w:tcW w:w="260" w:type="dxa"/>
            <w:vAlign w:val="bottom"/>
            <w:tcBorders>
              <w:right w:val="single" w:sz="8" w:color="F4F3F3"/>
            </w:tcBorders>
            <w:shd w:val="clear" w:color="auto" w:fill="F4F3F3"/>
          </w:tcPr>
          <w:p>
            <w:pPr>
              <w:spacing w:after="0"/>
              <w:rPr>
                <w:sz w:val="7"/>
                <w:szCs w:val="7"/>
                <w:color w:val="auto"/>
              </w:rPr>
            </w:pPr>
          </w:p>
        </w:tc>
        <w:tc>
          <w:tcPr>
            <w:tcW w:w="140" w:type="dxa"/>
            <w:vAlign w:val="bottom"/>
            <w:shd w:val="clear" w:color="auto" w:fill="F4F3F3"/>
          </w:tcPr>
          <w:p>
            <w:pPr>
              <w:spacing w:after="0"/>
              <w:rPr>
                <w:sz w:val="7"/>
                <w:szCs w:val="7"/>
                <w:color w:val="auto"/>
              </w:rPr>
            </w:pPr>
          </w:p>
        </w:tc>
        <w:tc>
          <w:tcPr>
            <w:tcW w:w="160" w:type="dxa"/>
            <w:vAlign w:val="bottom"/>
            <w:shd w:val="clear" w:color="auto" w:fill="F4F3F3"/>
          </w:tcPr>
          <w:p>
            <w:pPr>
              <w:spacing w:after="0"/>
              <w:rPr>
                <w:sz w:val="7"/>
                <w:szCs w:val="7"/>
                <w:color w:val="auto"/>
              </w:rPr>
            </w:pPr>
          </w:p>
        </w:tc>
        <w:tc>
          <w:tcPr>
            <w:tcW w:w="280" w:type="dxa"/>
            <w:vAlign w:val="bottom"/>
            <w:tcBorders>
              <w:left w:val="single" w:sz="8" w:color="7F7F7F"/>
              <w:right w:val="single" w:sz="8" w:color="7F7F7F"/>
            </w:tcBorders>
            <w:vMerge w:val="restart"/>
            <w:shd w:val="clear" w:color="auto" w:fill="7F7F7F"/>
          </w:tcPr>
          <w:p>
            <w:pPr>
              <w:ind w:left="60"/>
              <w:spacing w:after="0" w:line="182" w:lineRule="exact"/>
              <w:rPr>
                <w:sz w:val="20"/>
                <w:szCs w:val="20"/>
                <w:color w:val="auto"/>
              </w:rPr>
            </w:pPr>
            <w:r>
              <w:rPr>
                <w:rFonts w:ascii="Arial" w:cs="Arial" w:eastAsia="Arial" w:hAnsi="Arial"/>
                <w:sz w:val="18"/>
                <w:szCs w:val="18"/>
                <w:b w:val="1"/>
                <w:bCs w:val="1"/>
                <w:color w:val="FFFFFF"/>
              </w:rPr>
              <w:t>M</w:t>
            </w:r>
          </w:p>
        </w:tc>
        <w:tc>
          <w:tcPr>
            <w:tcW w:w="260" w:type="dxa"/>
            <w:vAlign w:val="bottom"/>
            <w:shd w:val="clear" w:color="auto" w:fill="F4F3F3"/>
          </w:tcPr>
          <w:p>
            <w:pPr>
              <w:spacing w:after="0"/>
              <w:rPr>
                <w:sz w:val="7"/>
                <w:szCs w:val="7"/>
                <w:color w:val="auto"/>
              </w:rPr>
            </w:pPr>
          </w:p>
        </w:tc>
        <w:tc>
          <w:tcPr>
            <w:tcW w:w="260" w:type="dxa"/>
            <w:vAlign w:val="bottom"/>
            <w:gridSpan w:val="2"/>
            <w:vMerge w:val="restart"/>
            <w:shd w:val="clear" w:color="auto" w:fill="7F7F7F"/>
          </w:tcPr>
          <w:p>
            <w:pPr>
              <w:jc w:val="right"/>
              <w:ind w:right="60"/>
              <w:spacing w:after="0" w:line="182" w:lineRule="exact"/>
              <w:rPr>
                <w:sz w:val="20"/>
                <w:szCs w:val="20"/>
                <w:color w:val="auto"/>
              </w:rPr>
            </w:pPr>
            <w:r>
              <w:rPr>
                <w:rFonts w:ascii="Arial" w:cs="Arial" w:eastAsia="Arial" w:hAnsi="Arial"/>
                <w:sz w:val="18"/>
                <w:szCs w:val="18"/>
                <w:b w:val="1"/>
                <w:bCs w:val="1"/>
                <w:color w:val="FFFFFF"/>
              </w:rPr>
              <w:t>M</w:t>
            </w:r>
          </w:p>
        </w:tc>
        <w:tc>
          <w:tcPr>
            <w:tcW w:w="100" w:type="dxa"/>
            <w:vAlign w:val="bottom"/>
            <w:shd w:val="clear" w:color="auto" w:fill="F4F3F3"/>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5500" w:type="dxa"/>
            <w:vAlign w:val="bottom"/>
            <w:vMerge w:val="restart"/>
            <w:shd w:val="clear" w:color="auto" w:fill="F4F3F3"/>
          </w:tcPr>
          <w:p>
            <w:pPr>
              <w:ind w:left="180"/>
              <w:spacing w:after="0"/>
              <w:rPr>
                <w:sz w:val="20"/>
                <w:szCs w:val="20"/>
                <w:color w:val="auto"/>
              </w:rPr>
            </w:pPr>
            <w:r>
              <w:rPr>
                <w:rFonts w:ascii="Arial" w:cs="Arial" w:eastAsia="Arial" w:hAnsi="Arial"/>
                <w:sz w:val="14"/>
                <w:szCs w:val="14"/>
                <w:i w:val="1"/>
                <w:iCs w:val="1"/>
                <w:color w:val="auto"/>
              </w:rPr>
              <w:t>President and Chief Executive Officer, Marriott International, Inc.</w:t>
            </w:r>
          </w:p>
        </w:tc>
        <w:tc>
          <w:tcPr>
            <w:tcW w:w="500" w:type="dxa"/>
            <w:vAlign w:val="bottom"/>
            <w:vMerge w:val="continue"/>
            <w:shd w:val="clear" w:color="auto" w:fill="F4F3F3"/>
          </w:tcPr>
          <w:p>
            <w:pPr>
              <w:spacing w:after="0"/>
              <w:rPr>
                <w:sz w:val="10"/>
                <w:szCs w:val="10"/>
                <w:color w:val="auto"/>
              </w:rPr>
            </w:pPr>
          </w:p>
        </w:tc>
        <w:tc>
          <w:tcPr>
            <w:tcW w:w="740" w:type="dxa"/>
            <w:vAlign w:val="bottom"/>
            <w:vMerge w:val="continue"/>
            <w:shd w:val="clear" w:color="auto" w:fill="F4F3F3"/>
          </w:tcPr>
          <w:p>
            <w:pPr>
              <w:spacing w:after="0"/>
              <w:rPr>
                <w:sz w:val="10"/>
                <w:szCs w:val="10"/>
                <w:color w:val="auto"/>
              </w:rPr>
            </w:pPr>
          </w:p>
        </w:tc>
        <w:tc>
          <w:tcPr>
            <w:tcW w:w="1000" w:type="dxa"/>
            <w:vAlign w:val="bottom"/>
            <w:vMerge w:val="continue"/>
            <w:shd w:val="clear" w:color="auto" w:fill="F4F3F3"/>
          </w:tcPr>
          <w:p>
            <w:pPr>
              <w:spacing w:after="0"/>
              <w:rPr>
                <w:sz w:val="10"/>
                <w:szCs w:val="10"/>
                <w:color w:val="auto"/>
              </w:rPr>
            </w:pPr>
          </w:p>
        </w:tc>
        <w:tc>
          <w:tcPr>
            <w:tcW w:w="160" w:type="dxa"/>
            <w:vAlign w:val="bottom"/>
            <w:shd w:val="clear" w:color="auto" w:fill="F4F3F3"/>
          </w:tcPr>
          <w:p>
            <w:pPr>
              <w:spacing w:after="0"/>
              <w:rPr>
                <w:sz w:val="10"/>
                <w:szCs w:val="10"/>
                <w:color w:val="auto"/>
              </w:rPr>
            </w:pPr>
          </w:p>
        </w:tc>
        <w:tc>
          <w:tcPr>
            <w:tcW w:w="240" w:type="dxa"/>
            <w:vAlign w:val="bottom"/>
            <w:tcBorders>
              <w:right w:val="single" w:sz="8" w:color="F4F3F3"/>
            </w:tcBorders>
            <w:shd w:val="clear" w:color="auto" w:fill="F4F3F3"/>
          </w:tcPr>
          <w:p>
            <w:pPr>
              <w:spacing w:after="0"/>
              <w:rPr>
                <w:sz w:val="10"/>
                <w:szCs w:val="10"/>
                <w:color w:val="auto"/>
              </w:rPr>
            </w:pPr>
          </w:p>
        </w:tc>
        <w:tc>
          <w:tcPr>
            <w:tcW w:w="260" w:type="dxa"/>
            <w:vAlign w:val="bottom"/>
            <w:shd w:val="clear" w:color="auto" w:fill="F4F3F3"/>
          </w:tcPr>
          <w:p>
            <w:pPr>
              <w:spacing w:after="0"/>
              <w:rPr>
                <w:sz w:val="10"/>
                <w:szCs w:val="10"/>
                <w:color w:val="auto"/>
              </w:rPr>
            </w:pPr>
          </w:p>
        </w:tc>
        <w:tc>
          <w:tcPr>
            <w:tcW w:w="280" w:type="dxa"/>
            <w:vAlign w:val="bottom"/>
            <w:tcBorders>
              <w:left w:val="single" w:sz="8" w:color="F4F3F3"/>
              <w:right w:val="single" w:sz="8" w:color="F4F3F3"/>
            </w:tcBorders>
            <w:shd w:val="clear" w:color="auto" w:fill="F4F3F3"/>
          </w:tcPr>
          <w:p>
            <w:pPr>
              <w:spacing w:after="0"/>
              <w:rPr>
                <w:sz w:val="10"/>
                <w:szCs w:val="10"/>
                <w:color w:val="auto"/>
              </w:rPr>
            </w:pPr>
          </w:p>
        </w:tc>
        <w:tc>
          <w:tcPr>
            <w:tcW w:w="260" w:type="dxa"/>
            <w:vAlign w:val="bottom"/>
            <w:shd w:val="clear" w:color="auto" w:fill="F4F3F3"/>
          </w:tcPr>
          <w:p>
            <w:pPr>
              <w:spacing w:after="0"/>
              <w:rPr>
                <w:sz w:val="10"/>
                <w:szCs w:val="10"/>
                <w:color w:val="auto"/>
              </w:rPr>
            </w:pPr>
          </w:p>
        </w:tc>
        <w:tc>
          <w:tcPr>
            <w:tcW w:w="260" w:type="dxa"/>
            <w:vAlign w:val="bottom"/>
            <w:tcBorders>
              <w:right w:val="single" w:sz="8" w:color="F4F3F3"/>
            </w:tcBorders>
            <w:shd w:val="clear" w:color="auto" w:fill="F4F3F3"/>
          </w:tcPr>
          <w:p>
            <w:pPr>
              <w:spacing w:after="0"/>
              <w:rPr>
                <w:sz w:val="10"/>
                <w:szCs w:val="10"/>
                <w:color w:val="auto"/>
              </w:rPr>
            </w:pPr>
          </w:p>
        </w:tc>
        <w:tc>
          <w:tcPr>
            <w:tcW w:w="340" w:type="dxa"/>
            <w:vAlign w:val="bottom"/>
            <w:tcBorders>
              <w:right w:val="single" w:sz="8" w:color="F4F3F3"/>
            </w:tcBorders>
            <w:shd w:val="clear" w:color="auto" w:fill="F4F3F3"/>
          </w:tcPr>
          <w:p>
            <w:pPr>
              <w:spacing w:after="0"/>
              <w:rPr>
                <w:sz w:val="10"/>
                <w:szCs w:val="10"/>
                <w:color w:val="auto"/>
              </w:rPr>
            </w:pPr>
          </w:p>
        </w:tc>
        <w:tc>
          <w:tcPr>
            <w:tcW w:w="260" w:type="dxa"/>
            <w:vAlign w:val="bottom"/>
            <w:tcBorders>
              <w:right w:val="single" w:sz="8" w:color="F4F3F3"/>
            </w:tcBorders>
            <w:shd w:val="clear" w:color="auto" w:fill="F4F3F3"/>
          </w:tcPr>
          <w:p>
            <w:pPr>
              <w:spacing w:after="0"/>
              <w:rPr>
                <w:sz w:val="10"/>
                <w:szCs w:val="10"/>
                <w:color w:val="auto"/>
              </w:rPr>
            </w:pPr>
          </w:p>
        </w:tc>
        <w:tc>
          <w:tcPr>
            <w:tcW w:w="140" w:type="dxa"/>
            <w:vAlign w:val="bottom"/>
            <w:shd w:val="clear" w:color="auto" w:fill="F4F3F3"/>
          </w:tcPr>
          <w:p>
            <w:pPr>
              <w:spacing w:after="0"/>
              <w:rPr>
                <w:sz w:val="10"/>
                <w:szCs w:val="10"/>
                <w:color w:val="auto"/>
              </w:rPr>
            </w:pPr>
          </w:p>
        </w:tc>
        <w:tc>
          <w:tcPr>
            <w:tcW w:w="160" w:type="dxa"/>
            <w:vAlign w:val="bottom"/>
            <w:shd w:val="clear" w:color="auto" w:fill="F4F3F3"/>
          </w:tcPr>
          <w:p>
            <w:pPr>
              <w:spacing w:after="0"/>
              <w:rPr>
                <w:sz w:val="10"/>
                <w:szCs w:val="10"/>
                <w:color w:val="auto"/>
              </w:rPr>
            </w:pPr>
          </w:p>
        </w:tc>
        <w:tc>
          <w:tcPr>
            <w:tcW w:w="280" w:type="dxa"/>
            <w:vAlign w:val="bottom"/>
            <w:tcBorders>
              <w:left w:val="single" w:sz="8" w:color="7F7F7F"/>
              <w:right w:val="single" w:sz="8" w:color="7F7F7F"/>
            </w:tcBorders>
            <w:vMerge w:val="continue"/>
            <w:shd w:val="clear" w:color="auto" w:fill="7F7F7F"/>
          </w:tcPr>
          <w:p>
            <w:pPr>
              <w:spacing w:after="0"/>
              <w:rPr>
                <w:sz w:val="10"/>
                <w:szCs w:val="10"/>
                <w:color w:val="auto"/>
              </w:rPr>
            </w:pPr>
          </w:p>
        </w:tc>
        <w:tc>
          <w:tcPr>
            <w:tcW w:w="260" w:type="dxa"/>
            <w:vAlign w:val="bottom"/>
            <w:shd w:val="clear" w:color="auto" w:fill="F4F3F3"/>
          </w:tcPr>
          <w:p>
            <w:pPr>
              <w:spacing w:after="0"/>
              <w:rPr>
                <w:sz w:val="10"/>
                <w:szCs w:val="10"/>
                <w:color w:val="auto"/>
              </w:rPr>
            </w:pPr>
          </w:p>
        </w:tc>
        <w:tc>
          <w:tcPr>
            <w:tcW w:w="260" w:type="dxa"/>
            <w:vAlign w:val="bottom"/>
            <w:gridSpan w:val="2"/>
            <w:vMerge w:val="continue"/>
            <w:shd w:val="clear" w:color="auto" w:fill="7F7F7F"/>
          </w:tcPr>
          <w:p>
            <w:pPr>
              <w:spacing w:after="0"/>
              <w:rPr>
                <w:sz w:val="10"/>
                <w:szCs w:val="10"/>
                <w:color w:val="auto"/>
              </w:rPr>
            </w:pPr>
          </w:p>
        </w:tc>
        <w:tc>
          <w:tcPr>
            <w:tcW w:w="100" w:type="dxa"/>
            <w:vAlign w:val="bottom"/>
            <w:vMerge w:val="restart"/>
            <w:shd w:val="clear" w:color="auto" w:fill="F4F3F3"/>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5500" w:type="dxa"/>
            <w:vAlign w:val="bottom"/>
            <w:vMerge w:val="continue"/>
            <w:shd w:val="clear" w:color="auto" w:fill="F4F3F3"/>
          </w:tcPr>
          <w:p>
            <w:pPr>
              <w:spacing w:after="0"/>
              <w:rPr>
                <w:sz w:val="7"/>
                <w:szCs w:val="7"/>
                <w:color w:val="auto"/>
              </w:rPr>
            </w:pPr>
          </w:p>
        </w:tc>
        <w:tc>
          <w:tcPr>
            <w:tcW w:w="500" w:type="dxa"/>
            <w:vAlign w:val="bottom"/>
            <w:shd w:val="clear" w:color="auto" w:fill="F4F3F3"/>
          </w:tcPr>
          <w:p>
            <w:pPr>
              <w:spacing w:after="0"/>
              <w:rPr>
                <w:sz w:val="7"/>
                <w:szCs w:val="7"/>
                <w:color w:val="auto"/>
              </w:rPr>
            </w:pPr>
          </w:p>
        </w:tc>
        <w:tc>
          <w:tcPr>
            <w:tcW w:w="740" w:type="dxa"/>
            <w:vAlign w:val="bottom"/>
            <w:shd w:val="clear" w:color="auto" w:fill="F4F3F3"/>
          </w:tcPr>
          <w:p>
            <w:pPr>
              <w:spacing w:after="0"/>
              <w:rPr>
                <w:sz w:val="7"/>
                <w:szCs w:val="7"/>
                <w:color w:val="auto"/>
              </w:rPr>
            </w:pPr>
          </w:p>
        </w:tc>
        <w:tc>
          <w:tcPr>
            <w:tcW w:w="1000" w:type="dxa"/>
            <w:vAlign w:val="bottom"/>
            <w:shd w:val="clear" w:color="auto" w:fill="F4F3F3"/>
          </w:tcPr>
          <w:p>
            <w:pPr>
              <w:spacing w:after="0"/>
              <w:rPr>
                <w:sz w:val="7"/>
                <w:szCs w:val="7"/>
                <w:color w:val="auto"/>
              </w:rPr>
            </w:pPr>
          </w:p>
        </w:tc>
        <w:tc>
          <w:tcPr>
            <w:tcW w:w="160" w:type="dxa"/>
            <w:vAlign w:val="bottom"/>
            <w:shd w:val="clear" w:color="auto" w:fill="F4F3F3"/>
          </w:tcPr>
          <w:p>
            <w:pPr>
              <w:spacing w:after="0"/>
              <w:rPr>
                <w:sz w:val="7"/>
                <w:szCs w:val="7"/>
                <w:color w:val="auto"/>
              </w:rPr>
            </w:pPr>
          </w:p>
        </w:tc>
        <w:tc>
          <w:tcPr>
            <w:tcW w:w="240" w:type="dxa"/>
            <w:vAlign w:val="bottom"/>
            <w:tcBorders>
              <w:right w:val="single" w:sz="8" w:color="F4F3F3"/>
            </w:tcBorders>
            <w:shd w:val="clear" w:color="auto" w:fill="F4F3F3"/>
          </w:tcPr>
          <w:p>
            <w:pPr>
              <w:spacing w:after="0"/>
              <w:rPr>
                <w:sz w:val="7"/>
                <w:szCs w:val="7"/>
                <w:color w:val="auto"/>
              </w:rPr>
            </w:pPr>
          </w:p>
        </w:tc>
        <w:tc>
          <w:tcPr>
            <w:tcW w:w="260" w:type="dxa"/>
            <w:vAlign w:val="bottom"/>
            <w:shd w:val="clear" w:color="auto" w:fill="F4F3F3"/>
          </w:tcPr>
          <w:p>
            <w:pPr>
              <w:spacing w:after="0"/>
              <w:rPr>
                <w:sz w:val="7"/>
                <w:szCs w:val="7"/>
                <w:color w:val="auto"/>
              </w:rPr>
            </w:pPr>
          </w:p>
        </w:tc>
        <w:tc>
          <w:tcPr>
            <w:tcW w:w="280" w:type="dxa"/>
            <w:vAlign w:val="bottom"/>
            <w:tcBorders>
              <w:left w:val="single" w:sz="8" w:color="F4F3F3"/>
              <w:right w:val="single" w:sz="8" w:color="F4F3F3"/>
            </w:tcBorders>
            <w:shd w:val="clear" w:color="auto" w:fill="F4F3F3"/>
          </w:tcPr>
          <w:p>
            <w:pPr>
              <w:spacing w:after="0"/>
              <w:rPr>
                <w:sz w:val="7"/>
                <w:szCs w:val="7"/>
                <w:color w:val="auto"/>
              </w:rPr>
            </w:pPr>
          </w:p>
        </w:tc>
        <w:tc>
          <w:tcPr>
            <w:tcW w:w="260" w:type="dxa"/>
            <w:vAlign w:val="bottom"/>
            <w:shd w:val="clear" w:color="auto" w:fill="F4F3F3"/>
          </w:tcPr>
          <w:p>
            <w:pPr>
              <w:spacing w:after="0"/>
              <w:rPr>
                <w:sz w:val="7"/>
                <w:szCs w:val="7"/>
                <w:color w:val="auto"/>
              </w:rPr>
            </w:pPr>
          </w:p>
        </w:tc>
        <w:tc>
          <w:tcPr>
            <w:tcW w:w="260" w:type="dxa"/>
            <w:vAlign w:val="bottom"/>
            <w:tcBorders>
              <w:right w:val="single" w:sz="8" w:color="F4F3F3"/>
            </w:tcBorders>
            <w:shd w:val="clear" w:color="auto" w:fill="F4F3F3"/>
          </w:tcPr>
          <w:p>
            <w:pPr>
              <w:spacing w:after="0"/>
              <w:rPr>
                <w:sz w:val="7"/>
                <w:szCs w:val="7"/>
                <w:color w:val="auto"/>
              </w:rPr>
            </w:pPr>
          </w:p>
        </w:tc>
        <w:tc>
          <w:tcPr>
            <w:tcW w:w="340" w:type="dxa"/>
            <w:vAlign w:val="bottom"/>
            <w:tcBorders>
              <w:right w:val="single" w:sz="8" w:color="F4F3F3"/>
            </w:tcBorders>
            <w:shd w:val="clear" w:color="auto" w:fill="F4F3F3"/>
          </w:tcPr>
          <w:p>
            <w:pPr>
              <w:spacing w:after="0"/>
              <w:rPr>
                <w:sz w:val="7"/>
                <w:szCs w:val="7"/>
                <w:color w:val="auto"/>
              </w:rPr>
            </w:pPr>
          </w:p>
        </w:tc>
        <w:tc>
          <w:tcPr>
            <w:tcW w:w="260" w:type="dxa"/>
            <w:vAlign w:val="bottom"/>
            <w:tcBorders>
              <w:right w:val="single" w:sz="8" w:color="F4F3F3"/>
            </w:tcBorders>
            <w:shd w:val="clear" w:color="auto" w:fill="F4F3F3"/>
          </w:tcPr>
          <w:p>
            <w:pPr>
              <w:spacing w:after="0"/>
              <w:rPr>
                <w:sz w:val="7"/>
                <w:szCs w:val="7"/>
                <w:color w:val="auto"/>
              </w:rPr>
            </w:pPr>
          </w:p>
        </w:tc>
        <w:tc>
          <w:tcPr>
            <w:tcW w:w="140" w:type="dxa"/>
            <w:vAlign w:val="bottom"/>
            <w:shd w:val="clear" w:color="auto" w:fill="F4F3F3"/>
          </w:tcPr>
          <w:p>
            <w:pPr>
              <w:spacing w:after="0"/>
              <w:rPr>
                <w:sz w:val="7"/>
                <w:szCs w:val="7"/>
                <w:color w:val="auto"/>
              </w:rPr>
            </w:pPr>
          </w:p>
        </w:tc>
        <w:tc>
          <w:tcPr>
            <w:tcW w:w="160" w:type="dxa"/>
            <w:vAlign w:val="bottom"/>
            <w:shd w:val="clear" w:color="auto" w:fill="F4F3F3"/>
          </w:tcPr>
          <w:p>
            <w:pPr>
              <w:spacing w:after="0"/>
              <w:rPr>
                <w:sz w:val="7"/>
                <w:szCs w:val="7"/>
                <w:color w:val="auto"/>
              </w:rPr>
            </w:pPr>
          </w:p>
        </w:tc>
        <w:tc>
          <w:tcPr>
            <w:tcW w:w="280" w:type="dxa"/>
            <w:vAlign w:val="bottom"/>
            <w:tcBorders>
              <w:left w:val="single" w:sz="8" w:color="F4F3F3"/>
              <w:right w:val="single" w:sz="8" w:color="F4F3F3"/>
            </w:tcBorders>
            <w:shd w:val="clear" w:color="auto" w:fill="F4F3F3"/>
          </w:tcPr>
          <w:p>
            <w:pPr>
              <w:spacing w:after="0"/>
              <w:rPr>
                <w:sz w:val="7"/>
                <w:szCs w:val="7"/>
                <w:color w:val="auto"/>
              </w:rPr>
            </w:pPr>
          </w:p>
        </w:tc>
        <w:tc>
          <w:tcPr>
            <w:tcW w:w="260" w:type="dxa"/>
            <w:vAlign w:val="bottom"/>
            <w:shd w:val="clear" w:color="auto" w:fill="F4F3F3"/>
          </w:tcPr>
          <w:p>
            <w:pPr>
              <w:spacing w:after="0"/>
              <w:rPr>
                <w:sz w:val="7"/>
                <w:szCs w:val="7"/>
                <w:color w:val="auto"/>
              </w:rPr>
            </w:pPr>
          </w:p>
        </w:tc>
        <w:tc>
          <w:tcPr>
            <w:tcW w:w="260" w:type="dxa"/>
            <w:vAlign w:val="bottom"/>
            <w:gridSpan w:val="2"/>
            <w:shd w:val="clear" w:color="auto" w:fill="F4F3F3"/>
          </w:tcPr>
          <w:p>
            <w:pPr>
              <w:spacing w:after="0"/>
              <w:rPr>
                <w:sz w:val="7"/>
                <w:szCs w:val="7"/>
                <w:color w:val="auto"/>
              </w:rPr>
            </w:pPr>
          </w:p>
        </w:tc>
        <w:tc>
          <w:tcPr>
            <w:tcW w:w="100" w:type="dxa"/>
            <w:vAlign w:val="bottom"/>
            <w:vMerge w:val="continue"/>
            <w:shd w:val="clear" w:color="auto" w:fill="F4F3F3"/>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240" w:top="455" w:right="439" w:bottom="1440" w:gutter="0" w:footer="0" w:header="0"/>
        </w:sectPr>
      </w:pPr>
    </w:p>
    <w:p>
      <w:pPr>
        <w:spacing w:after="0" w:line="26" w:lineRule="exact"/>
        <w:rPr>
          <w:sz w:val="20"/>
          <w:szCs w:val="20"/>
          <w:color w:val="auto"/>
        </w:rPr>
      </w:pPr>
    </w:p>
    <w:p>
      <w:pPr>
        <w:ind w:left="880" w:hanging="122"/>
        <w:spacing w:after="0"/>
        <w:tabs>
          <w:tab w:leader="none" w:pos="880" w:val="left"/>
        </w:tabs>
        <w:numPr>
          <w:ilvl w:val="0"/>
          <w:numId w:val="39"/>
        </w:numPr>
        <w:rPr>
          <w:rFonts w:ascii="Arial" w:cs="Arial" w:eastAsia="Arial" w:hAnsi="Arial"/>
          <w:sz w:val="17"/>
          <w:szCs w:val="17"/>
          <w:b w:val="1"/>
          <w:bCs w:val="1"/>
          <w:color w:val="998C87"/>
        </w:rPr>
      </w:pPr>
      <w:r>
        <w:rPr>
          <w:rFonts w:ascii="Arial" w:cs="Arial" w:eastAsia="Arial" w:hAnsi="Arial"/>
          <w:sz w:val="17"/>
          <w:szCs w:val="17"/>
          <w:b w:val="1"/>
          <w:bCs w:val="1"/>
          <w:color w:val="998C87"/>
        </w:rPr>
        <w:t xml:space="preserve">Ages  </w:t>
      </w:r>
      <w:r>
        <w:rPr>
          <w:rFonts w:ascii="Arial" w:cs="Arial" w:eastAsia="Arial" w:hAnsi="Arial"/>
          <w:sz w:val="17"/>
          <w:szCs w:val="17"/>
          <w:color w:val="000000"/>
        </w:rPr>
        <w:t>as of May 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-104140</wp:posOffset>
            </wp:positionV>
            <wp:extent cx="4214495" cy="925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214495" cy="925195"/>
                    </a:xfrm>
                    <a:prstGeom prst="rect">
                      <a:avLst/>
                    </a:prstGeom>
                    <a:noFill/>
                  </pic:spPr>
                </pic:pic>
              </a:graphicData>
            </a:graphic>
          </wp:anchor>
        </w:drawing>
      </w:r>
    </w:p>
    <w:p>
      <w:pPr>
        <w:spacing w:after="0" w:line="95" w:lineRule="exact"/>
        <w:rPr>
          <w:sz w:val="20"/>
          <w:szCs w:val="20"/>
          <w:color w:val="auto"/>
        </w:rPr>
      </w:pPr>
    </w:p>
    <w:tbl>
      <w:tblPr>
        <w:tblLayout w:type="fixed"/>
        <w:tblInd w:w="720" w:type="dxa"/>
        <w:tblCellMar>
          <w:top w:w="0" w:type="dxa"/>
          <w:left w:w="0" w:type="dxa"/>
          <w:bottom w:w="0" w:type="dxa"/>
          <w:right w:w="0" w:type="dxa"/>
        </w:tblCellMar>
      </w:tblPr>
      <w:tr>
        <w:trPr>
          <w:trHeight w:val="202"/>
        </w:trPr>
        <w:tc>
          <w:tcPr>
            <w:tcW w:w="660" w:type="dxa"/>
            <w:vAlign w:val="bottom"/>
          </w:tcPr>
          <w:p>
            <w:pPr>
              <w:jc w:val="right"/>
              <w:ind w:right="15"/>
              <w:spacing w:after="0"/>
              <w:rPr>
                <w:sz w:val="20"/>
                <w:szCs w:val="20"/>
                <w:color w:val="auto"/>
              </w:rPr>
            </w:pPr>
            <w:r>
              <w:rPr>
                <w:rFonts w:ascii="Arial" w:cs="Arial" w:eastAsia="Arial" w:hAnsi="Arial"/>
                <w:sz w:val="17"/>
                <w:szCs w:val="17"/>
                <w:b w:val="1"/>
                <w:bCs w:val="1"/>
                <w:color w:val="998C87"/>
              </w:rPr>
              <w:t>AC:</w:t>
            </w:r>
          </w:p>
        </w:tc>
        <w:tc>
          <w:tcPr>
            <w:tcW w:w="5920" w:type="dxa"/>
            <w:vAlign w:val="bottom"/>
          </w:tcPr>
          <w:p>
            <w:pPr>
              <w:ind w:left="100"/>
              <w:spacing w:after="0"/>
              <w:rPr>
                <w:sz w:val="20"/>
                <w:szCs w:val="20"/>
                <w:color w:val="auto"/>
              </w:rPr>
            </w:pPr>
            <w:r>
              <w:rPr>
                <w:rFonts w:ascii="Arial" w:cs="Arial" w:eastAsia="Arial" w:hAnsi="Arial"/>
                <w:sz w:val="17"/>
                <w:szCs w:val="17"/>
                <w:color w:val="auto"/>
              </w:rPr>
              <w:t>Audit Committee</w:t>
            </w:r>
          </w:p>
        </w:tc>
        <w:tc>
          <w:tcPr>
            <w:tcW w:w="0" w:type="dxa"/>
            <w:vAlign w:val="bottom"/>
          </w:tcPr>
          <w:p>
            <w:pPr>
              <w:spacing w:after="0"/>
              <w:rPr>
                <w:sz w:val="1"/>
                <w:szCs w:val="1"/>
                <w:color w:val="auto"/>
              </w:rPr>
            </w:pPr>
          </w:p>
        </w:tc>
      </w:tr>
      <w:tr>
        <w:trPr>
          <w:trHeight w:val="30"/>
        </w:trPr>
        <w:tc>
          <w:tcPr>
            <w:tcW w:w="660" w:type="dxa"/>
            <w:vAlign w:val="bottom"/>
            <w:vMerge w:val="restart"/>
          </w:tcPr>
          <w:p>
            <w:pPr>
              <w:jc w:val="right"/>
              <w:ind w:right="15"/>
              <w:spacing w:after="0" w:line="189" w:lineRule="exact"/>
              <w:rPr>
                <w:sz w:val="20"/>
                <w:szCs w:val="20"/>
                <w:color w:val="auto"/>
              </w:rPr>
            </w:pPr>
            <w:r>
              <w:rPr>
                <w:rFonts w:ascii="Arial" w:cs="Arial" w:eastAsia="Arial" w:hAnsi="Arial"/>
                <w:sz w:val="17"/>
                <w:szCs w:val="17"/>
                <w:b w:val="1"/>
                <w:bCs w:val="1"/>
                <w:color w:val="998C87"/>
              </w:rPr>
              <w:t>CPC:</w:t>
            </w:r>
          </w:p>
        </w:tc>
        <w:tc>
          <w:tcPr>
            <w:tcW w:w="5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660" w:type="dxa"/>
            <w:vAlign w:val="bottom"/>
            <w:vMerge w:val="continue"/>
          </w:tcPr>
          <w:p>
            <w:pPr>
              <w:spacing w:after="0"/>
              <w:rPr>
                <w:sz w:val="13"/>
                <w:szCs w:val="13"/>
                <w:color w:val="auto"/>
              </w:rPr>
            </w:pPr>
          </w:p>
        </w:tc>
        <w:tc>
          <w:tcPr>
            <w:tcW w:w="5920" w:type="dxa"/>
            <w:vAlign w:val="bottom"/>
            <w:shd w:val="clear" w:color="auto" w:fill="F4F3F3"/>
          </w:tcPr>
          <w:p>
            <w:pPr>
              <w:ind w:left="100"/>
              <w:spacing w:after="0" w:line="159" w:lineRule="exact"/>
              <w:rPr>
                <w:sz w:val="20"/>
                <w:szCs w:val="20"/>
                <w:color w:val="auto"/>
              </w:rPr>
            </w:pPr>
            <w:r>
              <w:rPr>
                <w:rFonts w:ascii="Arial" w:cs="Arial" w:eastAsia="Arial" w:hAnsi="Arial"/>
                <w:sz w:val="17"/>
                <w:szCs w:val="17"/>
                <w:color w:val="auto"/>
              </w:rPr>
              <w:t>Compensation Policy Committee</w:t>
            </w:r>
          </w:p>
        </w:tc>
        <w:tc>
          <w:tcPr>
            <w:tcW w:w="0" w:type="dxa"/>
            <w:vAlign w:val="bottom"/>
          </w:tcPr>
          <w:p>
            <w:pPr>
              <w:spacing w:after="0"/>
              <w:rPr>
                <w:sz w:val="1"/>
                <w:szCs w:val="1"/>
                <w:color w:val="auto"/>
              </w:rPr>
            </w:pPr>
          </w:p>
        </w:tc>
      </w:tr>
      <w:tr>
        <w:trPr>
          <w:trHeight w:val="189"/>
        </w:trPr>
        <w:tc>
          <w:tcPr>
            <w:tcW w:w="660" w:type="dxa"/>
            <w:vAlign w:val="bottom"/>
          </w:tcPr>
          <w:p>
            <w:pPr>
              <w:jc w:val="right"/>
              <w:ind w:right="15"/>
              <w:spacing w:after="0" w:line="189" w:lineRule="exact"/>
              <w:rPr>
                <w:sz w:val="20"/>
                <w:szCs w:val="20"/>
                <w:color w:val="auto"/>
              </w:rPr>
            </w:pPr>
            <w:r>
              <w:rPr>
                <w:rFonts w:ascii="Arial" w:cs="Arial" w:eastAsia="Arial" w:hAnsi="Arial"/>
                <w:sz w:val="17"/>
                <w:szCs w:val="17"/>
                <w:b w:val="1"/>
                <w:bCs w:val="1"/>
                <w:color w:val="998C87"/>
              </w:rPr>
              <w:t>FC:</w:t>
            </w:r>
          </w:p>
        </w:tc>
        <w:tc>
          <w:tcPr>
            <w:tcW w:w="5920" w:type="dxa"/>
            <w:vAlign w:val="bottom"/>
            <w:shd w:val="clear" w:color="auto" w:fill="F4F3F3"/>
          </w:tcPr>
          <w:p>
            <w:pPr>
              <w:ind w:left="100"/>
              <w:spacing w:after="0" w:line="189" w:lineRule="exact"/>
              <w:rPr>
                <w:sz w:val="20"/>
                <w:szCs w:val="20"/>
                <w:color w:val="auto"/>
              </w:rPr>
            </w:pPr>
            <w:r>
              <w:rPr>
                <w:rFonts w:ascii="Arial" w:cs="Arial" w:eastAsia="Arial" w:hAnsi="Arial"/>
                <w:sz w:val="17"/>
                <w:szCs w:val="17"/>
                <w:color w:val="auto"/>
              </w:rPr>
              <w:t>Finance Committee</w:t>
            </w:r>
          </w:p>
        </w:tc>
        <w:tc>
          <w:tcPr>
            <w:tcW w:w="0" w:type="dxa"/>
            <w:vAlign w:val="bottom"/>
          </w:tcPr>
          <w:p>
            <w:pPr>
              <w:spacing w:after="0"/>
              <w:rPr>
                <w:sz w:val="1"/>
                <w:szCs w:val="1"/>
                <w:color w:val="auto"/>
              </w:rPr>
            </w:pPr>
          </w:p>
        </w:tc>
      </w:tr>
      <w:tr>
        <w:trPr>
          <w:trHeight w:val="189"/>
        </w:trPr>
        <w:tc>
          <w:tcPr>
            <w:tcW w:w="660" w:type="dxa"/>
            <w:vAlign w:val="bottom"/>
          </w:tcPr>
          <w:p>
            <w:pPr>
              <w:jc w:val="right"/>
              <w:ind w:right="15"/>
              <w:spacing w:after="0" w:line="189" w:lineRule="exact"/>
              <w:rPr>
                <w:sz w:val="20"/>
                <w:szCs w:val="20"/>
                <w:color w:val="auto"/>
              </w:rPr>
            </w:pPr>
            <w:r>
              <w:rPr>
                <w:rFonts w:ascii="Arial" w:cs="Arial" w:eastAsia="Arial" w:hAnsi="Arial"/>
                <w:sz w:val="17"/>
                <w:szCs w:val="17"/>
                <w:b w:val="1"/>
                <w:bCs w:val="1"/>
                <w:color w:val="998C87"/>
                <w:w w:val="96"/>
              </w:rPr>
              <w:t>NCGC:</w:t>
            </w:r>
          </w:p>
        </w:tc>
        <w:tc>
          <w:tcPr>
            <w:tcW w:w="5920" w:type="dxa"/>
            <w:vAlign w:val="bottom"/>
            <w:shd w:val="clear" w:color="auto" w:fill="F4F3F3"/>
          </w:tcPr>
          <w:p>
            <w:pPr>
              <w:ind w:left="100"/>
              <w:spacing w:after="0" w:line="189" w:lineRule="exact"/>
              <w:rPr>
                <w:sz w:val="20"/>
                <w:szCs w:val="20"/>
                <w:color w:val="auto"/>
              </w:rPr>
            </w:pPr>
            <w:r>
              <w:rPr>
                <w:rFonts w:ascii="Arial" w:cs="Arial" w:eastAsia="Arial" w:hAnsi="Arial"/>
                <w:sz w:val="17"/>
                <w:szCs w:val="17"/>
                <w:color w:val="auto"/>
              </w:rPr>
              <w:t>Nominating and Corporate Governance Committee</w:t>
            </w:r>
          </w:p>
        </w:tc>
        <w:tc>
          <w:tcPr>
            <w:tcW w:w="0" w:type="dxa"/>
            <w:vAlign w:val="bottom"/>
          </w:tcPr>
          <w:p>
            <w:pPr>
              <w:spacing w:after="0"/>
              <w:rPr>
                <w:sz w:val="1"/>
                <w:szCs w:val="1"/>
                <w:color w:val="auto"/>
              </w:rPr>
            </w:pPr>
          </w:p>
        </w:tc>
      </w:tr>
      <w:tr>
        <w:trPr>
          <w:trHeight w:val="189"/>
        </w:trPr>
        <w:tc>
          <w:tcPr>
            <w:tcW w:w="660" w:type="dxa"/>
            <w:vAlign w:val="bottom"/>
          </w:tcPr>
          <w:p>
            <w:pPr>
              <w:jc w:val="right"/>
              <w:ind w:right="15"/>
              <w:spacing w:after="0" w:line="189" w:lineRule="exact"/>
              <w:rPr>
                <w:sz w:val="20"/>
                <w:szCs w:val="20"/>
                <w:color w:val="auto"/>
              </w:rPr>
            </w:pPr>
            <w:r>
              <w:rPr>
                <w:rFonts w:ascii="Arial" w:cs="Arial" w:eastAsia="Arial" w:hAnsi="Arial"/>
                <w:sz w:val="17"/>
                <w:szCs w:val="17"/>
                <w:b w:val="1"/>
                <w:bCs w:val="1"/>
                <w:color w:val="998C87"/>
              </w:rPr>
              <w:t>CFE:</w:t>
            </w:r>
          </w:p>
        </w:tc>
        <w:tc>
          <w:tcPr>
            <w:tcW w:w="5920" w:type="dxa"/>
            <w:vAlign w:val="bottom"/>
            <w:shd w:val="clear" w:color="auto" w:fill="F4F3F3"/>
          </w:tcPr>
          <w:p>
            <w:pPr>
              <w:ind w:left="100"/>
              <w:spacing w:after="0" w:line="189" w:lineRule="exact"/>
              <w:rPr>
                <w:sz w:val="20"/>
                <w:szCs w:val="20"/>
                <w:color w:val="auto"/>
              </w:rPr>
            </w:pPr>
            <w:r>
              <w:rPr>
                <w:rFonts w:ascii="Arial" w:cs="Arial" w:eastAsia="Arial" w:hAnsi="Arial"/>
                <w:sz w:val="17"/>
                <w:szCs w:val="17"/>
                <w:color w:val="auto"/>
              </w:rPr>
              <w:t>Committee for Excellence</w:t>
            </w:r>
          </w:p>
        </w:tc>
        <w:tc>
          <w:tcPr>
            <w:tcW w:w="0" w:type="dxa"/>
            <w:vAlign w:val="bottom"/>
          </w:tcPr>
          <w:p>
            <w:pPr>
              <w:spacing w:after="0"/>
              <w:rPr>
                <w:sz w:val="1"/>
                <w:szCs w:val="1"/>
                <w:color w:val="auto"/>
              </w:rPr>
            </w:pPr>
          </w:p>
        </w:tc>
      </w:tr>
      <w:tr>
        <w:trPr>
          <w:trHeight w:val="219"/>
        </w:trPr>
        <w:tc>
          <w:tcPr>
            <w:tcW w:w="660" w:type="dxa"/>
            <w:vAlign w:val="bottom"/>
          </w:tcPr>
          <w:p>
            <w:pPr>
              <w:jc w:val="right"/>
              <w:ind w:right="15"/>
              <w:spacing w:after="0"/>
              <w:rPr>
                <w:sz w:val="20"/>
                <w:szCs w:val="20"/>
                <w:color w:val="auto"/>
              </w:rPr>
            </w:pPr>
            <w:r>
              <w:rPr>
                <w:rFonts w:ascii="Arial" w:cs="Arial" w:eastAsia="Arial" w:hAnsi="Arial"/>
                <w:sz w:val="17"/>
                <w:szCs w:val="17"/>
                <w:b w:val="1"/>
                <w:bCs w:val="1"/>
                <w:color w:val="998C87"/>
              </w:rPr>
              <w:t>EC:</w:t>
            </w:r>
          </w:p>
        </w:tc>
        <w:tc>
          <w:tcPr>
            <w:tcW w:w="5920" w:type="dxa"/>
            <w:vAlign w:val="bottom"/>
            <w:shd w:val="clear" w:color="auto" w:fill="F4F3F3"/>
          </w:tcPr>
          <w:p>
            <w:pPr>
              <w:ind w:left="100"/>
              <w:spacing w:after="0"/>
              <w:rPr>
                <w:sz w:val="20"/>
                <w:szCs w:val="20"/>
                <w:color w:val="auto"/>
              </w:rPr>
            </w:pPr>
            <w:r>
              <w:rPr>
                <w:rFonts w:ascii="Arial" w:cs="Arial" w:eastAsia="Arial" w:hAnsi="Arial"/>
                <w:sz w:val="17"/>
                <w:szCs w:val="17"/>
                <w:color w:val="auto"/>
              </w:rPr>
              <w:t>Executive Committee</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600" w:hanging="390"/>
        <w:spacing w:after="0"/>
        <w:tabs>
          <w:tab w:leader="none" w:pos="600" w:val="left"/>
        </w:tabs>
        <w:numPr>
          <w:ilvl w:val="0"/>
          <w:numId w:val="40"/>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796"/>
        </w:trPr>
        <w:tc>
          <w:tcPr>
            <w:tcW w:w="280" w:type="dxa"/>
            <w:vAlign w:val="bottom"/>
            <w:tcBorders>
              <w:left w:val="single" w:sz="8" w:color="F4F3F3"/>
            </w:tcBorders>
            <w:shd w:val="clear" w:color="auto" w:fill="F4F3F3"/>
          </w:tcPr>
          <w:p>
            <w:pPr>
              <w:spacing w:after="0"/>
              <w:rPr>
                <w:sz w:val="24"/>
                <w:szCs w:val="24"/>
                <w:color w:val="auto"/>
              </w:rPr>
            </w:pPr>
          </w:p>
        </w:tc>
        <w:tc>
          <w:tcPr>
            <w:tcW w:w="720" w:type="dxa"/>
            <w:vAlign w:val="bottom"/>
            <w:vMerge w:val="restart"/>
            <w:shd w:val="clear" w:color="auto" w:fill="F4F3F3"/>
          </w:tcPr>
          <w:p>
            <w:pPr>
              <w:ind w:left="40"/>
              <w:spacing w:after="0"/>
              <w:rPr>
                <w:sz w:val="20"/>
                <w:szCs w:val="20"/>
                <w:color w:val="auto"/>
              </w:rPr>
            </w:pPr>
            <w:r>
              <w:rPr>
                <w:rFonts w:ascii="Arial" w:cs="Arial" w:eastAsia="Arial" w:hAnsi="Arial"/>
                <w:sz w:val="18"/>
                <w:szCs w:val="18"/>
                <w:color w:val="auto"/>
              </w:rPr>
              <w:t>Chair</w:t>
            </w:r>
          </w:p>
        </w:tc>
        <w:tc>
          <w:tcPr>
            <w:tcW w:w="240" w:type="dxa"/>
            <w:vAlign w:val="bottom"/>
            <w:shd w:val="clear" w:color="auto" w:fill="F4F3F3"/>
          </w:tcPr>
          <w:p>
            <w:pPr>
              <w:spacing w:after="0"/>
              <w:rPr>
                <w:sz w:val="24"/>
                <w:szCs w:val="24"/>
                <w:color w:val="auto"/>
              </w:rPr>
            </w:pPr>
          </w:p>
        </w:tc>
        <w:tc>
          <w:tcPr>
            <w:tcW w:w="1000" w:type="dxa"/>
            <w:vAlign w:val="bottom"/>
            <w:vMerge w:val="restart"/>
            <w:shd w:val="clear" w:color="auto" w:fill="F4F3F3"/>
          </w:tcPr>
          <w:p>
            <w:pPr>
              <w:ind w:left="40"/>
              <w:spacing w:after="0"/>
              <w:rPr>
                <w:sz w:val="20"/>
                <w:szCs w:val="20"/>
                <w:color w:val="auto"/>
              </w:rPr>
            </w:pPr>
            <w:r>
              <w:rPr>
                <w:rFonts w:ascii="Arial" w:cs="Arial" w:eastAsia="Arial" w:hAnsi="Arial"/>
                <w:sz w:val="18"/>
                <w:szCs w:val="18"/>
                <w:color w:val="auto"/>
              </w:rPr>
              <w:t>Member</w:t>
            </w:r>
          </w:p>
        </w:tc>
        <w:tc>
          <w:tcPr>
            <w:tcW w:w="220" w:type="dxa"/>
            <w:vAlign w:val="bottom"/>
            <w:shd w:val="clear" w:color="auto" w:fill="F4F3F3"/>
          </w:tcPr>
          <w:p>
            <w:pPr>
              <w:spacing w:after="0"/>
              <w:rPr>
                <w:sz w:val="24"/>
                <w:szCs w:val="24"/>
                <w:color w:val="auto"/>
              </w:rPr>
            </w:pPr>
          </w:p>
        </w:tc>
        <w:tc>
          <w:tcPr>
            <w:tcW w:w="1460" w:type="dxa"/>
            <w:vAlign w:val="bottom"/>
            <w:vMerge w:val="restart"/>
            <w:shd w:val="clear" w:color="auto" w:fill="F4F3F3"/>
          </w:tcPr>
          <w:p>
            <w:pPr>
              <w:ind w:left="40"/>
              <w:spacing w:after="0"/>
              <w:rPr>
                <w:sz w:val="20"/>
                <w:szCs w:val="20"/>
                <w:color w:val="auto"/>
              </w:rPr>
            </w:pPr>
            <w:r>
              <w:rPr>
                <w:rFonts w:ascii="Arial" w:cs="Arial" w:eastAsia="Arial" w:hAnsi="Arial"/>
                <w:sz w:val="18"/>
                <w:szCs w:val="18"/>
                <w:color w:val="auto"/>
              </w:rPr>
              <w:t>Financial Expert</w:t>
            </w:r>
          </w:p>
        </w:tc>
        <w:tc>
          <w:tcPr>
            <w:tcW w:w="0" w:type="dxa"/>
            <w:vAlign w:val="bottom"/>
          </w:tcPr>
          <w:p>
            <w:pPr>
              <w:spacing w:after="0"/>
              <w:rPr>
                <w:sz w:val="1"/>
                <w:szCs w:val="1"/>
                <w:color w:val="auto"/>
              </w:rPr>
            </w:pPr>
          </w:p>
        </w:tc>
      </w:tr>
      <w:tr>
        <w:trPr>
          <w:trHeight w:val="182"/>
        </w:trPr>
        <w:tc>
          <w:tcPr>
            <w:tcW w:w="280" w:type="dxa"/>
            <w:vAlign w:val="bottom"/>
            <w:tcBorders>
              <w:left w:val="single" w:sz="8" w:color="F4F3F3"/>
              <w:bottom w:val="single" w:sz="8" w:color="00358E"/>
            </w:tcBorders>
            <w:shd w:val="clear" w:color="auto" w:fill="00358E"/>
          </w:tcPr>
          <w:p>
            <w:pPr>
              <w:ind w:left="100"/>
              <w:spacing w:after="0" w:line="180" w:lineRule="exact"/>
              <w:rPr>
                <w:sz w:val="20"/>
                <w:szCs w:val="20"/>
                <w:color w:val="auto"/>
              </w:rPr>
            </w:pPr>
            <w:r>
              <w:rPr>
                <w:rFonts w:ascii="Arial" w:cs="Arial" w:eastAsia="Arial" w:hAnsi="Arial"/>
                <w:sz w:val="18"/>
                <w:szCs w:val="18"/>
                <w:b w:val="1"/>
                <w:bCs w:val="1"/>
                <w:color w:val="FFFFFF"/>
              </w:rPr>
              <w:t>C</w:t>
            </w:r>
          </w:p>
        </w:tc>
        <w:tc>
          <w:tcPr>
            <w:tcW w:w="720" w:type="dxa"/>
            <w:vAlign w:val="bottom"/>
            <w:tcBorders>
              <w:bottom w:val="single" w:sz="8" w:color="F4F3F3"/>
            </w:tcBorders>
            <w:vMerge w:val="continue"/>
            <w:shd w:val="clear" w:color="auto" w:fill="F4F3F3"/>
          </w:tcPr>
          <w:p>
            <w:pPr>
              <w:spacing w:after="0"/>
              <w:rPr>
                <w:sz w:val="15"/>
                <w:szCs w:val="15"/>
                <w:color w:val="auto"/>
              </w:rPr>
            </w:pPr>
          </w:p>
        </w:tc>
        <w:tc>
          <w:tcPr>
            <w:tcW w:w="240" w:type="dxa"/>
            <w:vAlign w:val="bottom"/>
            <w:tcBorders>
              <w:bottom w:val="single" w:sz="8" w:color="7F7F7F"/>
            </w:tcBorders>
            <w:shd w:val="clear" w:color="auto" w:fill="7F7F7F"/>
          </w:tcPr>
          <w:p>
            <w:pPr>
              <w:ind w:left="40"/>
              <w:spacing w:after="0" w:line="180" w:lineRule="exact"/>
              <w:rPr>
                <w:sz w:val="20"/>
                <w:szCs w:val="20"/>
                <w:color w:val="auto"/>
              </w:rPr>
            </w:pPr>
            <w:r>
              <w:rPr>
                <w:rFonts w:ascii="Arial" w:cs="Arial" w:eastAsia="Arial" w:hAnsi="Arial"/>
                <w:sz w:val="18"/>
                <w:szCs w:val="18"/>
                <w:b w:val="1"/>
                <w:bCs w:val="1"/>
                <w:color w:val="FFFFFF"/>
              </w:rPr>
              <w:t>M</w:t>
            </w:r>
          </w:p>
        </w:tc>
        <w:tc>
          <w:tcPr>
            <w:tcW w:w="1000" w:type="dxa"/>
            <w:vAlign w:val="bottom"/>
            <w:tcBorders>
              <w:bottom w:val="single" w:sz="8" w:color="F4F3F3"/>
            </w:tcBorders>
            <w:vMerge w:val="continue"/>
            <w:shd w:val="clear" w:color="auto" w:fill="F4F3F3"/>
          </w:tcPr>
          <w:p>
            <w:pPr>
              <w:spacing w:after="0"/>
              <w:rPr>
                <w:sz w:val="15"/>
                <w:szCs w:val="15"/>
                <w:color w:val="auto"/>
              </w:rPr>
            </w:pPr>
          </w:p>
        </w:tc>
        <w:tc>
          <w:tcPr>
            <w:tcW w:w="220" w:type="dxa"/>
            <w:vAlign w:val="bottom"/>
            <w:tcBorders>
              <w:bottom w:val="single" w:sz="8" w:color="998C87"/>
            </w:tcBorders>
            <w:shd w:val="clear" w:color="auto" w:fill="998C87"/>
          </w:tcPr>
          <w:p>
            <w:pPr>
              <w:ind w:left="60"/>
              <w:spacing w:after="0" w:line="180" w:lineRule="exact"/>
              <w:rPr>
                <w:sz w:val="20"/>
                <w:szCs w:val="20"/>
                <w:color w:val="auto"/>
              </w:rPr>
            </w:pPr>
            <w:r>
              <w:rPr>
                <w:rFonts w:ascii="Arial" w:cs="Arial" w:eastAsia="Arial" w:hAnsi="Arial"/>
                <w:sz w:val="18"/>
                <w:szCs w:val="18"/>
                <w:b w:val="1"/>
                <w:bCs w:val="1"/>
                <w:color w:val="FFFFFF"/>
              </w:rPr>
              <w:t>F</w:t>
            </w:r>
          </w:p>
        </w:tc>
        <w:tc>
          <w:tcPr>
            <w:tcW w:w="1460" w:type="dxa"/>
            <w:vAlign w:val="bottom"/>
            <w:tcBorders>
              <w:bottom w:val="single" w:sz="8" w:color="F4F3F3"/>
            </w:tcBorders>
            <w:vMerge w:val="continue"/>
            <w:shd w:val="clear" w:color="auto" w:fill="F4F3F3"/>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80" w:type="dxa"/>
            <w:vAlign w:val="bottom"/>
            <w:tcBorders>
              <w:left w:val="single" w:sz="8" w:color="F4F3F3"/>
            </w:tcBorders>
            <w:shd w:val="clear" w:color="auto" w:fill="F4F3F3"/>
          </w:tcPr>
          <w:p>
            <w:pPr>
              <w:spacing w:after="0"/>
              <w:rPr>
                <w:sz w:val="19"/>
                <w:szCs w:val="19"/>
                <w:color w:val="auto"/>
              </w:rPr>
            </w:pPr>
          </w:p>
        </w:tc>
        <w:tc>
          <w:tcPr>
            <w:tcW w:w="720" w:type="dxa"/>
            <w:vAlign w:val="bottom"/>
            <w:shd w:val="clear" w:color="auto" w:fill="F4F3F3"/>
          </w:tcPr>
          <w:p>
            <w:pPr>
              <w:spacing w:after="0"/>
              <w:rPr>
                <w:sz w:val="19"/>
                <w:szCs w:val="19"/>
                <w:color w:val="auto"/>
              </w:rPr>
            </w:pPr>
          </w:p>
        </w:tc>
        <w:tc>
          <w:tcPr>
            <w:tcW w:w="240" w:type="dxa"/>
            <w:vAlign w:val="bottom"/>
            <w:shd w:val="clear" w:color="auto" w:fill="F4F3F3"/>
          </w:tcPr>
          <w:p>
            <w:pPr>
              <w:spacing w:after="0"/>
              <w:rPr>
                <w:sz w:val="19"/>
                <w:szCs w:val="19"/>
                <w:color w:val="auto"/>
              </w:rPr>
            </w:pPr>
          </w:p>
        </w:tc>
        <w:tc>
          <w:tcPr>
            <w:tcW w:w="1000" w:type="dxa"/>
            <w:vAlign w:val="bottom"/>
            <w:shd w:val="clear" w:color="auto" w:fill="F4F3F3"/>
          </w:tcPr>
          <w:p>
            <w:pPr>
              <w:spacing w:after="0"/>
              <w:rPr>
                <w:sz w:val="19"/>
                <w:szCs w:val="19"/>
                <w:color w:val="auto"/>
              </w:rPr>
            </w:pPr>
          </w:p>
        </w:tc>
        <w:tc>
          <w:tcPr>
            <w:tcW w:w="220" w:type="dxa"/>
            <w:vAlign w:val="bottom"/>
            <w:shd w:val="clear" w:color="auto" w:fill="F4F3F3"/>
          </w:tcPr>
          <w:p>
            <w:pPr>
              <w:spacing w:after="0"/>
              <w:rPr>
                <w:sz w:val="19"/>
                <w:szCs w:val="19"/>
                <w:color w:val="auto"/>
              </w:rPr>
            </w:pPr>
          </w:p>
        </w:tc>
        <w:tc>
          <w:tcPr>
            <w:tcW w:w="1460" w:type="dxa"/>
            <w:vAlign w:val="bottom"/>
            <w:shd w:val="clear" w:color="auto" w:fill="F4F3F3"/>
          </w:tcPr>
          <w:p>
            <w:pPr>
              <w:ind w:left="60"/>
              <w:spacing w:after="0"/>
              <w:rPr>
                <w:sz w:val="20"/>
                <w:szCs w:val="20"/>
                <w:color w:val="auto"/>
              </w:rPr>
            </w:pPr>
            <w:r>
              <w:rPr>
                <w:rFonts w:ascii="Arial" w:cs="Arial" w:eastAsia="Arial" w:hAnsi="Arial"/>
                <w:sz w:val="18"/>
                <w:szCs w:val="18"/>
                <w:color w:val="auto"/>
              </w:rPr>
              <w:t>and Member</w:t>
            </w:r>
          </w:p>
        </w:tc>
        <w:tc>
          <w:tcPr>
            <w:tcW w:w="0" w:type="dxa"/>
            <w:vAlign w:val="bottom"/>
          </w:tcPr>
          <w:p>
            <w:pPr>
              <w:spacing w:after="0"/>
              <w:rPr>
                <w:sz w:val="1"/>
                <w:szCs w:val="1"/>
                <w:color w:val="auto"/>
              </w:rPr>
            </w:pPr>
          </w:p>
        </w:tc>
      </w:tr>
      <w:tr>
        <w:trPr>
          <w:trHeight w:val="239"/>
        </w:trPr>
        <w:tc>
          <w:tcPr>
            <w:tcW w:w="280" w:type="dxa"/>
            <w:vAlign w:val="bottom"/>
            <w:tcBorders>
              <w:left w:val="single" w:sz="8" w:color="F4F3F3"/>
            </w:tcBorders>
            <w:shd w:val="clear" w:color="auto" w:fill="F4F3F3"/>
          </w:tcPr>
          <w:p>
            <w:pPr>
              <w:spacing w:after="0"/>
              <w:rPr>
                <w:sz w:val="20"/>
                <w:szCs w:val="20"/>
                <w:color w:val="auto"/>
              </w:rPr>
            </w:pPr>
          </w:p>
        </w:tc>
        <w:tc>
          <w:tcPr>
            <w:tcW w:w="720" w:type="dxa"/>
            <w:vAlign w:val="bottom"/>
            <w:shd w:val="clear" w:color="auto" w:fill="F4F3F3"/>
          </w:tcPr>
          <w:p>
            <w:pPr>
              <w:spacing w:after="0"/>
              <w:rPr>
                <w:sz w:val="20"/>
                <w:szCs w:val="20"/>
                <w:color w:val="auto"/>
              </w:rPr>
            </w:pPr>
          </w:p>
        </w:tc>
        <w:tc>
          <w:tcPr>
            <w:tcW w:w="240" w:type="dxa"/>
            <w:vAlign w:val="bottom"/>
            <w:shd w:val="clear" w:color="auto" w:fill="F4F3F3"/>
          </w:tcPr>
          <w:p>
            <w:pPr>
              <w:spacing w:after="0"/>
              <w:rPr>
                <w:sz w:val="20"/>
                <w:szCs w:val="20"/>
                <w:color w:val="auto"/>
              </w:rPr>
            </w:pPr>
          </w:p>
        </w:tc>
        <w:tc>
          <w:tcPr>
            <w:tcW w:w="1000" w:type="dxa"/>
            <w:vAlign w:val="bottom"/>
            <w:shd w:val="clear" w:color="auto" w:fill="F4F3F3"/>
          </w:tcPr>
          <w:p>
            <w:pPr>
              <w:spacing w:after="0"/>
              <w:rPr>
                <w:sz w:val="20"/>
                <w:szCs w:val="20"/>
                <w:color w:val="auto"/>
              </w:rPr>
            </w:pPr>
          </w:p>
        </w:tc>
        <w:tc>
          <w:tcPr>
            <w:tcW w:w="220" w:type="dxa"/>
            <w:vAlign w:val="bottom"/>
            <w:shd w:val="clear" w:color="auto" w:fill="F4F3F3"/>
          </w:tcPr>
          <w:p>
            <w:pPr>
              <w:spacing w:after="0"/>
              <w:rPr>
                <w:sz w:val="20"/>
                <w:szCs w:val="20"/>
                <w:color w:val="auto"/>
              </w:rPr>
            </w:pPr>
          </w:p>
        </w:tc>
        <w:tc>
          <w:tcPr>
            <w:tcW w:w="1460" w:type="dxa"/>
            <w:vAlign w:val="bottom"/>
            <w:shd w:val="clear" w:color="auto" w:fill="F4F3F3"/>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1263015</wp:posOffset>
            </wp:positionH>
            <wp:positionV relativeFrom="paragraph">
              <wp:posOffset>-924560</wp:posOffset>
            </wp:positionV>
            <wp:extent cx="17145" cy="925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145" cy="925195"/>
                    </a:xfrm>
                    <a:prstGeom prst="rect">
                      <a:avLst/>
                    </a:prstGeom>
                    <a:noFill/>
                  </pic:spPr>
                </pic:pic>
              </a:graphicData>
            </a:graphic>
          </wp:anchor>
        </w:drawing>
        <w:drawing>
          <wp:anchor simplePos="0" relativeHeight="251657728" behindDoc="1" locked="0" layoutInCell="0" allowOverlap="1">
            <wp:simplePos x="0" y="0"/>
            <wp:positionH relativeFrom="column">
              <wp:posOffset>517525</wp:posOffset>
            </wp:positionH>
            <wp:positionV relativeFrom="paragraph">
              <wp:posOffset>-924560</wp:posOffset>
            </wp:positionV>
            <wp:extent cx="17145" cy="925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145" cy="925195"/>
                    </a:xfrm>
                    <a:prstGeom prst="rect">
                      <a:avLst/>
                    </a:prstGeom>
                    <a:noFill/>
                  </pic:spPr>
                </pic:pic>
              </a:graphicData>
            </a:graphic>
          </wp:anchor>
        </w:drawing>
      </w:r>
    </w:p>
    <w:p>
      <w:pPr>
        <w:sectPr>
          <w:pgSz w:w="11900" w:h="16838" w:orient="portrait"/>
          <w:cols w:equalWidth="0" w:num="2">
            <w:col w:w="7300" w:space="0"/>
            <w:col w:w="3920"/>
          </w:cols>
          <w:pgMar w:left="240" w:top="455" w:right="439" w:bottom="1440" w:gutter="0" w:footer="0" w:header="0"/>
          <w:type w:val="continuous"/>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ectPr>
          <w:pgSz w:w="11900" w:h="16838" w:orient="portrait"/>
          <w:cols w:equalWidth="0" w:num="1">
            <w:col w:w="11220"/>
          </w:cols>
          <w:pgMar w:left="240" w:top="455" w:right="439" w:bottom="1440" w:gutter="0" w:footer="0" w:header="0"/>
        </w:sect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5"/>
          <w:szCs w:val="25"/>
          <w:color w:val="7F7F7F"/>
        </w:rPr>
        <w:t>Corporate governance highlights</w:t>
      </w:r>
    </w:p>
    <w:p>
      <w:pPr>
        <w:spacing w:after="0" w:line="118"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See “Corporate Governance”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203200</wp:posOffset>
            </wp:positionV>
            <wp:extent cx="3348990" cy="27927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48990" cy="2792730"/>
                    </a:xfrm>
                    <a:prstGeom prst="rect">
                      <a:avLst/>
                    </a:prstGeom>
                    <a:noFill/>
                  </pic:spPr>
                </pic:pic>
              </a:graphicData>
            </a:graphic>
          </wp:anchor>
        </w:drawing>
      </w:r>
    </w:p>
    <w:p>
      <w:pPr>
        <w:spacing w:after="0" w:line="39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FFFFFF"/>
        </w:rPr>
        <w:t>Independent Board and</w:t>
      </w:r>
    </w:p>
    <w:p>
      <w:pPr>
        <w:spacing w:after="0" w:line="1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FFFFFF"/>
        </w:rPr>
        <w:t>Board committees</w:t>
      </w:r>
    </w:p>
    <w:p>
      <w:pPr>
        <w:spacing w:after="0" w:line="241" w:lineRule="exact"/>
        <w:rPr>
          <w:sz w:val="20"/>
          <w:szCs w:val="20"/>
          <w:color w:val="auto"/>
        </w:rPr>
      </w:pPr>
    </w:p>
    <w:p>
      <w:pPr>
        <w:ind w:left="780" w:right="320" w:hanging="157"/>
        <w:spacing w:after="0" w:line="274" w:lineRule="auto"/>
        <w:tabs>
          <w:tab w:leader="none" w:pos="763" w:val="left"/>
        </w:tabs>
        <w:numPr>
          <w:ilvl w:val="0"/>
          <w:numId w:val="41"/>
        </w:numPr>
        <w:rPr>
          <w:rFonts w:ascii="Arial" w:cs="Arial" w:eastAsia="Arial" w:hAnsi="Arial"/>
          <w:sz w:val="17"/>
          <w:szCs w:val="17"/>
          <w:color w:val="auto"/>
        </w:rPr>
      </w:pPr>
      <w:r>
        <w:rPr>
          <w:rFonts w:ascii="Arial" w:cs="Arial" w:eastAsia="Arial" w:hAnsi="Arial"/>
          <w:sz w:val="17"/>
          <w:szCs w:val="17"/>
          <w:color w:val="auto"/>
        </w:rPr>
        <w:t>Chairman and CEO positions separate since 2012; Lead Director appointed in 2013</w:t>
      </w:r>
    </w:p>
    <w:p>
      <w:pPr>
        <w:spacing w:after="0" w:line="52" w:lineRule="exact"/>
        <w:rPr>
          <w:rFonts w:ascii="Arial" w:cs="Arial" w:eastAsia="Arial" w:hAnsi="Arial"/>
          <w:sz w:val="17"/>
          <w:szCs w:val="17"/>
          <w:color w:val="auto"/>
        </w:rPr>
      </w:pPr>
    </w:p>
    <w:p>
      <w:pPr>
        <w:ind w:left="760" w:hanging="137"/>
        <w:spacing w:after="0"/>
        <w:tabs>
          <w:tab w:leader="none" w:pos="7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Eleven of 14 director nominees are independent</w:t>
      </w:r>
    </w:p>
    <w:p>
      <w:pPr>
        <w:spacing w:after="0" w:line="114" w:lineRule="exact"/>
        <w:rPr>
          <w:rFonts w:ascii="Arial" w:cs="Arial" w:eastAsia="Arial" w:hAnsi="Arial"/>
          <w:sz w:val="17"/>
          <w:szCs w:val="17"/>
          <w:color w:val="auto"/>
        </w:rPr>
      </w:pPr>
    </w:p>
    <w:p>
      <w:pPr>
        <w:ind w:left="780" w:right="100" w:hanging="157"/>
        <w:spacing w:after="0" w:line="274" w:lineRule="auto"/>
        <w:tabs>
          <w:tab w:leader="none" w:pos="754" w:val="left"/>
        </w:tabs>
        <w:numPr>
          <w:ilvl w:val="0"/>
          <w:numId w:val="41"/>
        </w:numPr>
        <w:rPr>
          <w:rFonts w:ascii="Arial" w:cs="Arial" w:eastAsia="Arial" w:hAnsi="Arial"/>
          <w:sz w:val="17"/>
          <w:szCs w:val="17"/>
          <w:color w:val="auto"/>
        </w:rPr>
      </w:pPr>
      <w:r>
        <w:rPr>
          <w:rFonts w:ascii="Arial" w:cs="Arial" w:eastAsia="Arial" w:hAnsi="Arial"/>
          <w:sz w:val="17"/>
          <w:szCs w:val="17"/>
          <w:color w:val="auto"/>
        </w:rPr>
        <w:t>Audit, Compensation Policy, and Nominating and Corporate Governance committee members are independent</w:t>
      </w:r>
    </w:p>
    <w:p>
      <w:pPr>
        <w:spacing w:after="0" w:line="52" w:lineRule="exact"/>
        <w:rPr>
          <w:rFonts w:ascii="Arial" w:cs="Arial" w:eastAsia="Arial" w:hAnsi="Arial"/>
          <w:sz w:val="17"/>
          <w:szCs w:val="17"/>
          <w:color w:val="auto"/>
        </w:rPr>
      </w:pPr>
    </w:p>
    <w:p>
      <w:pPr>
        <w:ind w:left="760" w:hanging="137"/>
        <w:spacing w:after="0"/>
        <w:tabs>
          <w:tab w:leader="none" w:pos="7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We conduct annual Board and committee evaluations</w:t>
      </w:r>
    </w:p>
    <w:p>
      <w:pPr>
        <w:spacing w:after="0" w:line="114" w:lineRule="exact"/>
        <w:rPr>
          <w:rFonts w:ascii="Arial" w:cs="Arial" w:eastAsia="Arial" w:hAnsi="Arial"/>
          <w:sz w:val="17"/>
          <w:szCs w:val="17"/>
          <w:color w:val="auto"/>
        </w:rPr>
      </w:pPr>
    </w:p>
    <w:p>
      <w:pPr>
        <w:ind w:left="780" w:right="180" w:hanging="157"/>
        <w:spacing w:after="0" w:line="274" w:lineRule="auto"/>
        <w:tabs>
          <w:tab w:leader="none" w:pos="763" w:val="left"/>
        </w:tabs>
        <w:numPr>
          <w:ilvl w:val="0"/>
          <w:numId w:val="41"/>
        </w:numPr>
        <w:rPr>
          <w:rFonts w:ascii="Arial" w:cs="Arial" w:eastAsia="Arial" w:hAnsi="Arial"/>
          <w:sz w:val="17"/>
          <w:szCs w:val="17"/>
          <w:color w:val="auto"/>
        </w:rPr>
      </w:pPr>
      <w:r>
        <w:rPr>
          <w:rFonts w:ascii="Arial" w:cs="Arial" w:eastAsia="Arial" w:hAnsi="Arial"/>
          <w:sz w:val="17"/>
          <w:szCs w:val="17"/>
          <w:color w:val="auto"/>
        </w:rPr>
        <w:t>We have a mandatory retirement age of 72 for all directors except for J.W. Marriott, Jr.</w:t>
      </w:r>
    </w:p>
    <w:p>
      <w:pPr>
        <w:spacing w:after="0" w:line="52" w:lineRule="exact"/>
        <w:rPr>
          <w:rFonts w:ascii="Arial" w:cs="Arial" w:eastAsia="Arial" w:hAnsi="Arial"/>
          <w:sz w:val="17"/>
          <w:szCs w:val="17"/>
          <w:color w:val="auto"/>
        </w:rPr>
      </w:pPr>
    </w:p>
    <w:p>
      <w:pPr>
        <w:ind w:left="780" w:hanging="157"/>
        <w:spacing w:after="0" w:line="274" w:lineRule="auto"/>
        <w:tabs>
          <w:tab w:leader="none" w:pos="763" w:val="left"/>
        </w:tabs>
        <w:numPr>
          <w:ilvl w:val="0"/>
          <w:numId w:val="41"/>
        </w:numPr>
        <w:rPr>
          <w:rFonts w:ascii="Arial" w:cs="Arial" w:eastAsia="Arial" w:hAnsi="Arial"/>
          <w:sz w:val="17"/>
          <w:szCs w:val="17"/>
          <w:color w:val="auto"/>
        </w:rPr>
      </w:pPr>
      <w:r>
        <w:rPr>
          <w:rFonts w:ascii="Arial" w:cs="Arial" w:eastAsia="Arial" w:hAnsi="Arial"/>
          <w:sz w:val="17"/>
          <w:szCs w:val="17"/>
          <w:color w:val="auto"/>
        </w:rPr>
        <w:t>We have robust director orientation and continuing education programs for directors</w:t>
      </w:r>
    </w:p>
    <w:p>
      <w:pPr>
        <w:spacing w:after="0" w:line="52" w:lineRule="exact"/>
        <w:rPr>
          <w:rFonts w:ascii="Arial" w:cs="Arial" w:eastAsia="Arial" w:hAnsi="Arial"/>
          <w:sz w:val="17"/>
          <w:szCs w:val="17"/>
          <w:color w:val="auto"/>
        </w:rPr>
      </w:pPr>
    </w:p>
    <w:p>
      <w:pPr>
        <w:ind w:left="780" w:right="60" w:hanging="157"/>
        <w:spacing w:after="0" w:line="274" w:lineRule="auto"/>
        <w:tabs>
          <w:tab w:leader="none" w:pos="754" w:val="left"/>
        </w:tabs>
        <w:numPr>
          <w:ilvl w:val="0"/>
          <w:numId w:val="41"/>
        </w:numPr>
        <w:rPr>
          <w:rFonts w:ascii="Arial" w:cs="Arial" w:eastAsia="Arial" w:hAnsi="Arial"/>
          <w:sz w:val="17"/>
          <w:szCs w:val="17"/>
          <w:color w:val="auto"/>
        </w:rPr>
      </w:pPr>
      <w:r>
        <w:rPr>
          <w:rFonts w:ascii="Arial" w:cs="Arial" w:eastAsia="Arial" w:hAnsi="Arial"/>
          <w:sz w:val="17"/>
          <w:szCs w:val="17"/>
          <w:color w:val="auto"/>
        </w:rPr>
        <w:t>All Audit Committee members are financially literate and are audit committee financial experts</w:t>
      </w:r>
    </w:p>
    <w:p>
      <w:pPr>
        <w:spacing w:after="0" w:line="52" w:lineRule="exact"/>
        <w:rPr>
          <w:rFonts w:ascii="Arial" w:cs="Arial" w:eastAsia="Arial" w:hAnsi="Arial"/>
          <w:sz w:val="17"/>
          <w:szCs w:val="17"/>
          <w:color w:val="auto"/>
        </w:rPr>
      </w:pPr>
    </w:p>
    <w:p>
      <w:pPr>
        <w:ind w:left="780" w:right="140" w:hanging="157"/>
        <w:spacing w:after="0" w:line="274" w:lineRule="auto"/>
        <w:tabs>
          <w:tab w:leader="none" w:pos="763"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Compensation Policy Committee uses an independent compensation consultant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sz w:val="1"/>
          <w:szCs w:val="1"/>
          <w:color w:val="auto"/>
        </w:rPr>
        <w:drawing>
          <wp:inline distT="0" distB="0" distL="0" distR="0">
            <wp:extent cx="120015" cy="25717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0015" cy="257175"/>
                    </a:xfrm>
                    <a:prstGeom prst="rect">
                      <a:avLst/>
                    </a:prstGeom>
                    <a:noFill/>
                    <a:ln>
                      <a:noFill/>
                    </a:ln>
                  </pic:spPr>
                </pic:pic>
              </a:graphicData>
            </a:graphic>
          </wp:inline>
        </w:drawing>
      </w:r>
      <w:r>
        <w:rPr>
          <w:rFonts w:ascii="Arial" w:cs="Arial" w:eastAsia="Arial" w:hAnsi="Arial"/>
          <w:sz w:val="17"/>
          <w:szCs w:val="17"/>
          <w:b w:val="1"/>
          <w:bCs w:val="1"/>
          <w:color w:val="FFFFFF"/>
        </w:rPr>
        <w:t xml:space="preserve"> Progressive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-256540</wp:posOffset>
            </wp:positionV>
            <wp:extent cx="3417570" cy="12846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17570" cy="1284605"/>
                    </a:xfrm>
                    <a:prstGeom prst="rect">
                      <a:avLst/>
                    </a:prstGeom>
                    <a:noFill/>
                  </pic:spPr>
                </pic:pic>
              </a:graphicData>
            </a:graphic>
          </wp:anchor>
        </w:drawing>
      </w:r>
    </w:p>
    <w:p>
      <w:pPr>
        <w:spacing w:after="0" w:line="127" w:lineRule="exact"/>
        <w:rPr>
          <w:sz w:val="20"/>
          <w:szCs w:val="20"/>
          <w:color w:val="auto"/>
        </w:rPr>
      </w:pPr>
    </w:p>
    <w:p>
      <w:pPr>
        <w:ind w:left="560" w:hanging="149"/>
        <w:spacing w:after="0"/>
        <w:tabs>
          <w:tab w:leader="none" w:pos="5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Directors are elected by majority vote in uncontested elections</w:t>
      </w:r>
    </w:p>
    <w:p>
      <w:pPr>
        <w:spacing w:after="0" w:line="114" w:lineRule="exact"/>
        <w:rPr>
          <w:rFonts w:ascii="Arial" w:cs="Arial" w:eastAsia="Arial" w:hAnsi="Arial"/>
          <w:sz w:val="17"/>
          <w:szCs w:val="17"/>
          <w:color w:val="auto"/>
        </w:rPr>
      </w:pPr>
    </w:p>
    <w:p>
      <w:pPr>
        <w:ind w:left="540" w:hanging="129"/>
        <w:spacing w:after="0"/>
        <w:tabs>
          <w:tab w:leader="none" w:pos="5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All directors are elected annually</w:t>
      </w:r>
    </w:p>
    <w:p>
      <w:pPr>
        <w:spacing w:after="0" w:line="114" w:lineRule="exact"/>
        <w:rPr>
          <w:rFonts w:ascii="Arial" w:cs="Arial" w:eastAsia="Arial" w:hAnsi="Arial"/>
          <w:sz w:val="17"/>
          <w:szCs w:val="17"/>
          <w:color w:val="auto"/>
        </w:rPr>
      </w:pPr>
    </w:p>
    <w:p>
      <w:pPr>
        <w:ind w:left="580" w:right="1840" w:hanging="169"/>
        <w:spacing w:after="0" w:line="274" w:lineRule="auto"/>
        <w:tabs>
          <w:tab w:leader="none" w:pos="563"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bylaws provide for proxy access by stockholders</w:t>
      </w:r>
    </w:p>
    <w:p>
      <w:pPr>
        <w:spacing w:after="0" w:line="52" w:lineRule="exact"/>
        <w:rPr>
          <w:rFonts w:ascii="Arial" w:cs="Arial" w:eastAsia="Arial" w:hAnsi="Arial"/>
          <w:sz w:val="17"/>
          <w:szCs w:val="17"/>
          <w:color w:val="auto"/>
        </w:rPr>
      </w:pPr>
    </w:p>
    <w:p>
      <w:pPr>
        <w:ind w:left="560" w:hanging="149"/>
        <w:spacing w:after="0"/>
        <w:tabs>
          <w:tab w:leader="none" w:pos="5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We have a confidential voting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416560</wp:posOffset>
            </wp:positionV>
            <wp:extent cx="3417570" cy="1053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17570" cy="1053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40" w:right="1980"/>
        <w:spacing w:after="0" w:line="289" w:lineRule="auto"/>
        <w:rPr>
          <w:sz w:val="20"/>
          <w:szCs w:val="20"/>
          <w:color w:val="auto"/>
        </w:rPr>
      </w:pPr>
      <w:r>
        <w:rPr>
          <w:rFonts w:ascii="Arial" w:cs="Arial" w:eastAsia="Arial" w:hAnsi="Arial"/>
          <w:sz w:val="17"/>
          <w:szCs w:val="17"/>
          <w:b w:val="1"/>
          <w:bCs w:val="1"/>
          <w:color w:val="FFFFFF"/>
        </w:rPr>
        <w:t>Strong stockholder support on say-on-pay</w:t>
      </w:r>
    </w:p>
    <w:p>
      <w:pPr>
        <w:spacing w:after="0" w:line="179" w:lineRule="exact"/>
        <w:rPr>
          <w:sz w:val="20"/>
          <w:szCs w:val="20"/>
          <w:color w:val="auto"/>
        </w:rPr>
      </w:pPr>
    </w:p>
    <w:p>
      <w:pPr>
        <w:ind w:left="420" w:right="80"/>
        <w:spacing w:after="0" w:line="246" w:lineRule="auto"/>
        <w:rPr>
          <w:sz w:val="20"/>
          <w:szCs w:val="20"/>
          <w:color w:val="auto"/>
        </w:rPr>
      </w:pPr>
      <w:r>
        <w:rPr>
          <w:rFonts w:ascii="Arial" w:cs="Arial" w:eastAsia="Arial" w:hAnsi="Arial"/>
          <w:sz w:val="17"/>
          <w:szCs w:val="17"/>
          <w:color w:val="auto"/>
        </w:rPr>
        <w:t>At the Company’s 2017 Annual Meeting, stockholders again expressed substantial support for the compensation of our NEOs with approximately 98% voting for approval of the “Say-on-Pay” advisory proposal relating to our 2016 NEO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391160</wp:posOffset>
            </wp:positionV>
            <wp:extent cx="2304415" cy="768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304415" cy="7683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sz w:val="1"/>
          <w:szCs w:val="1"/>
          <w:color w:val="auto"/>
        </w:rPr>
        <w:drawing>
          <wp:inline distT="0" distB="0" distL="0" distR="0">
            <wp:extent cx="120015" cy="25717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0015" cy="257175"/>
                    </a:xfrm>
                    <a:prstGeom prst="rect">
                      <a:avLst/>
                    </a:prstGeom>
                    <a:noFill/>
                    <a:ln>
                      <a:noFill/>
                    </a:ln>
                  </pic:spPr>
                </pic:pic>
              </a:graphicData>
            </a:graphic>
          </wp:inline>
        </w:drawing>
      </w:r>
      <w:r>
        <w:rPr>
          <w:rFonts w:ascii="Arial" w:cs="Arial" w:eastAsia="Arial" w:hAnsi="Arial"/>
          <w:sz w:val="17"/>
          <w:szCs w:val="17"/>
          <w:b w:val="1"/>
          <w:bCs w:val="1"/>
          <w:color w:val="FFFFFF"/>
        </w:rPr>
        <w:t xml:space="preserve"> Active stockholder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-179070</wp:posOffset>
            </wp:positionV>
            <wp:extent cx="3417570" cy="7366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17570" cy="736600"/>
                    </a:xfrm>
                    <a:prstGeom prst="rect">
                      <a:avLst/>
                    </a:prstGeom>
                    <a:noFill/>
                  </pic:spPr>
                </pic:pic>
              </a:graphicData>
            </a:graphic>
          </wp:anchor>
        </w:drawing>
      </w:r>
    </w:p>
    <w:p>
      <w:pPr>
        <w:spacing w:after="0" w:line="127" w:lineRule="exact"/>
        <w:rPr>
          <w:sz w:val="20"/>
          <w:szCs w:val="20"/>
          <w:color w:val="auto"/>
        </w:rPr>
      </w:pPr>
    </w:p>
    <w:p>
      <w:pPr>
        <w:ind w:left="420" w:right="260"/>
        <w:spacing w:after="0" w:line="253" w:lineRule="auto"/>
        <w:rPr>
          <w:sz w:val="20"/>
          <w:szCs w:val="20"/>
          <w:color w:val="auto"/>
        </w:rPr>
      </w:pPr>
      <w:r>
        <w:rPr>
          <w:rFonts w:ascii="Arial" w:cs="Arial" w:eastAsia="Arial" w:hAnsi="Arial"/>
          <w:sz w:val="17"/>
          <w:szCs w:val="17"/>
          <w:color w:val="auto"/>
        </w:rPr>
        <w:t>During fiscal year 2017, management met with over 300 institutional investors at conferences, investor meetings and at our Security Analyst Meeting.</w:t>
      </w:r>
    </w:p>
    <w:p>
      <w:pPr>
        <w:spacing w:after="0" w:line="200" w:lineRule="exact"/>
        <w:rPr>
          <w:sz w:val="20"/>
          <w:szCs w:val="20"/>
          <w:color w:val="auto"/>
        </w:rPr>
      </w:pPr>
    </w:p>
    <w:p>
      <w:pPr>
        <w:sectPr>
          <w:pgSz w:w="11900" w:h="16838" w:orient="portrait"/>
          <w:cols w:equalWidth="0" w:num="2">
            <w:col w:w="5360" w:space="480"/>
            <w:col w:w="5380"/>
          </w:cols>
          <w:pgMar w:left="240" w:top="455" w:right="439" w:bottom="1440" w:gutter="0" w:footer="0" w:header="0"/>
          <w:type w:val="continuous"/>
        </w:sectPr>
      </w:pPr>
    </w:p>
    <w:p>
      <w:pPr>
        <w:spacing w:after="0" w:line="185" w:lineRule="exact"/>
        <w:rPr>
          <w:sz w:val="20"/>
          <w:szCs w:val="20"/>
          <w:color w:val="auto"/>
        </w:rPr>
      </w:pPr>
    </w:p>
    <w:tbl>
      <w:tblPr>
        <w:tblLayout w:type="fixed"/>
        <w:tblInd w:w="9260" w:type="dxa"/>
        <w:tblCellMar>
          <w:top w:w="0" w:type="dxa"/>
          <w:left w:w="0" w:type="dxa"/>
          <w:bottom w:w="0" w:type="dxa"/>
          <w:right w:w="0" w:type="dxa"/>
        </w:tblCellMar>
      </w:tblPr>
      <w:tr>
        <w:trPr>
          <w:trHeight w:val="214"/>
        </w:trPr>
        <w:tc>
          <w:tcPr>
            <w:tcW w:w="1660" w:type="dxa"/>
            <w:vAlign w:val="bottom"/>
          </w:tcPr>
          <w:p>
            <w:pPr>
              <w:spacing w:after="0"/>
              <w:rPr>
                <w:sz w:val="20"/>
                <w:szCs w:val="20"/>
                <w:color w:val="auto"/>
              </w:rPr>
            </w:pPr>
            <w:r>
              <w:rPr>
                <w:rFonts w:ascii="Arial" w:cs="Arial" w:eastAsia="Arial" w:hAnsi="Arial"/>
                <w:sz w:val="15"/>
                <w:szCs w:val="15"/>
                <w:color w:val="998C87"/>
              </w:rPr>
              <w:t>2018 Proxy Statement</w:t>
            </w:r>
          </w:p>
        </w:tc>
        <w:tc>
          <w:tcPr>
            <w:tcW w:w="240" w:type="dxa"/>
            <w:vAlign w:val="bottom"/>
          </w:tcPr>
          <w:p>
            <w:pPr>
              <w:jc w:val="right"/>
              <w:spacing w:after="0"/>
              <w:rPr>
                <w:sz w:val="20"/>
                <w:szCs w:val="20"/>
                <w:color w:val="auto"/>
              </w:rPr>
            </w:pPr>
            <w:r>
              <w:rPr>
                <w:rFonts w:ascii="Arial" w:cs="Arial" w:eastAsia="Arial" w:hAnsi="Arial"/>
                <w:sz w:val="15"/>
                <w:szCs w:val="15"/>
                <w:b w:val="1"/>
                <w:bCs w:val="1"/>
                <w:color w:val="7F7F7F"/>
              </w:rPr>
              <w:t>3</w:t>
            </w:r>
          </w:p>
        </w:tc>
      </w:tr>
    </w:tbl>
    <w:p>
      <w:pPr>
        <w:sectPr>
          <w:pgSz w:w="11900" w:h="16838" w:orient="portrait"/>
          <w:cols w:equalWidth="0" w:num="1">
            <w:col w:w="11220"/>
          </w:cols>
          <w:pgMar w:left="240" w:top="455" w:right="439" w:bottom="1440" w:gutter="0" w:footer="0" w:header="0"/>
          <w:type w:val="continuous"/>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ind w:left="220"/>
        <w:spacing w:after="0"/>
        <w:rPr>
          <w:sz w:val="20"/>
          <w:szCs w:val="20"/>
          <w:color w:val="auto"/>
        </w:rPr>
      </w:pPr>
      <w:r>
        <w:rPr>
          <w:rFonts w:ascii="Arial" w:cs="Arial" w:eastAsia="Arial" w:hAnsi="Arial"/>
          <w:sz w:val="15"/>
          <w:szCs w:val="15"/>
          <w:color w:val="7F7F7F"/>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25"/>
          <w:szCs w:val="25"/>
          <w:color w:val="7F7F7F"/>
        </w:rPr>
        <w:t>Executive compensation matters</w:t>
      </w:r>
    </w:p>
    <w:p>
      <w:pPr>
        <w:spacing w:after="0" w:line="120" w:lineRule="exact"/>
        <w:rPr>
          <w:sz w:val="20"/>
          <w:szCs w:val="20"/>
          <w:color w:val="auto"/>
        </w:rPr>
      </w:pPr>
    </w:p>
    <w:p>
      <w:pPr>
        <w:jc w:val="both"/>
        <w:ind w:left="220" w:right="40"/>
        <w:spacing w:after="0"/>
        <w:rPr>
          <w:sz w:val="20"/>
          <w:szCs w:val="20"/>
          <w:color w:val="auto"/>
        </w:rPr>
      </w:pPr>
      <w:r>
        <w:rPr>
          <w:rFonts w:ascii="Arial" w:cs="Arial" w:eastAsia="Arial" w:hAnsi="Arial"/>
          <w:sz w:val="17"/>
          <w:szCs w:val="17"/>
          <w:color w:val="auto"/>
        </w:rPr>
        <w:t>2017 was an extraordinary year for Marriott as we made great progress on the integration of our recently acquired subsidiary, Starwood Hotels &amp; Resorts World</w:t>
      </w:r>
      <w:r>
        <w:rPr>
          <w:rFonts w:ascii="Arial" w:cs="Arial" w:eastAsia="Arial" w:hAnsi="Arial"/>
          <w:sz w:val="14"/>
          <w:szCs w:val="14"/>
          <w:color w:val="auto"/>
        </w:rPr>
        <w:t>W</w:t>
      </w:r>
      <w:r>
        <w:rPr>
          <w:rFonts w:ascii="Arial" w:cs="Arial" w:eastAsia="Arial" w:hAnsi="Arial"/>
          <w:sz w:val="17"/>
          <w:szCs w:val="17"/>
          <w:color w:val="auto"/>
        </w:rPr>
        <w:t>ide, LLC (“Starwood”), capturing significant property and corporate overhead cost synergies while also increasing our worldwide RevPAR Index, which measures performance against our competitors. We rapidly grew our combined loyalty programs which now exceed</w:t>
      </w:r>
    </w:p>
    <w:p>
      <w:pPr>
        <w:spacing w:after="0" w:line="2" w:lineRule="exact"/>
        <w:rPr>
          <w:sz w:val="20"/>
          <w:szCs w:val="20"/>
          <w:color w:val="auto"/>
        </w:rPr>
      </w:pPr>
    </w:p>
    <w:p>
      <w:pPr>
        <w:ind w:left="220" w:right="360"/>
        <w:spacing w:after="0" w:line="247" w:lineRule="auto"/>
        <w:rPr>
          <w:sz w:val="20"/>
          <w:szCs w:val="20"/>
          <w:color w:val="auto"/>
        </w:rPr>
      </w:pPr>
      <w:r>
        <w:rPr>
          <w:rFonts w:ascii="Arial" w:cs="Arial" w:eastAsia="Arial" w:hAnsi="Arial"/>
          <w:sz w:val="17"/>
          <w:szCs w:val="17"/>
          <w:color w:val="auto"/>
        </w:rPr>
        <w:t>110 million members and reached deals for co-branded credit cards that will produce valuable benefits for the Company, our guests, and our owners.</w:t>
      </w:r>
    </w:p>
    <w:p>
      <w:pPr>
        <w:spacing w:after="0" w:line="61" w:lineRule="exact"/>
        <w:rPr>
          <w:sz w:val="20"/>
          <w:szCs w:val="20"/>
          <w:color w:val="auto"/>
        </w:rPr>
      </w:pPr>
    </w:p>
    <w:p>
      <w:pPr>
        <w:ind w:left="220" w:right="60"/>
        <w:spacing w:after="0"/>
        <w:rPr>
          <w:sz w:val="20"/>
          <w:szCs w:val="20"/>
          <w:color w:val="auto"/>
        </w:rPr>
      </w:pPr>
      <w:r>
        <w:rPr>
          <w:rFonts w:ascii="Arial" w:cs="Arial" w:eastAsia="Arial" w:hAnsi="Arial"/>
          <w:sz w:val="17"/>
          <w:szCs w:val="17"/>
          <w:color w:val="auto"/>
        </w:rPr>
        <w:t>And our financial and operating performance was strong: EPS grew by 37%; we exceeded our target adjusted EPS performance measure under our annual cash incentive program; and we returned over $3.5 billion to stockholders in the form of share repurchases and dividends. Strong room growth continued with a new record of more than 460,000 rooms in our development pipeline and over 1.25 million rooms open in 127 countries and territories. We also entered into a joint venture with Alibaba that will help create true end-to-end travel services for Chinese customers. Finally, we achieved record-setting associate engagement compared to external benchmarks, and were recognized as one of the Fortune Best Companies to Work for in 2017 for the 20</w:t>
      </w:r>
      <w:r>
        <w:rPr>
          <w:rFonts w:ascii="Arial" w:cs="Arial" w:eastAsia="Arial" w:hAnsi="Arial"/>
          <w:sz w:val="14"/>
          <w:szCs w:val="14"/>
          <w:color w:val="auto"/>
        </w:rPr>
        <w:t>th</w:t>
      </w:r>
      <w:r>
        <w:rPr>
          <w:rFonts w:ascii="Arial" w:cs="Arial" w:eastAsia="Arial" w:hAnsi="Arial"/>
          <w:sz w:val="17"/>
          <w:szCs w:val="17"/>
          <w:color w:val="auto"/>
        </w:rPr>
        <w:t xml:space="preserve"> consecutive year.</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How We Tie Pay to Performance</w:t>
      </w:r>
    </w:p>
    <w:p>
      <w:pPr>
        <w:spacing w:after="0" w:line="103" w:lineRule="exact"/>
        <w:rPr>
          <w:sz w:val="20"/>
          <w:szCs w:val="20"/>
          <w:color w:val="auto"/>
        </w:rPr>
      </w:pPr>
    </w:p>
    <w:p>
      <w:pPr>
        <w:ind w:left="220"/>
        <w:spacing w:after="0" w:line="246" w:lineRule="auto"/>
        <w:rPr>
          <w:sz w:val="20"/>
          <w:szCs w:val="20"/>
          <w:color w:val="auto"/>
        </w:rPr>
      </w:pPr>
      <w:r>
        <w:rPr>
          <w:rFonts w:ascii="Arial" w:cs="Arial" w:eastAsia="Arial" w:hAnsi="Arial"/>
          <w:sz w:val="17"/>
          <w:szCs w:val="17"/>
          <w:color w:val="auto"/>
        </w:rPr>
        <w:t>We believe that there should be a strong correlation between executive pay and Company performance. Our executive compensation program is designed to maintain this alignment, while also protecting the Company against inappropriate risk-taking and conflicts among the interests of the Company, its stockholders and its executives. With these goals in mind, the Compensation Policy Committee has implemented an executive compensation program that consists of the following key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1024255</wp:posOffset>
            </wp:positionH>
            <wp:positionV relativeFrom="paragraph">
              <wp:posOffset>142875</wp:posOffset>
            </wp:positionV>
            <wp:extent cx="5208270" cy="26295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208270" cy="2629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0" w:hanging="390"/>
        <w:spacing w:after="0"/>
        <w:tabs>
          <w:tab w:leader="none" w:pos="600" w:val="left"/>
        </w:tabs>
        <w:numPr>
          <w:ilvl w:val="0"/>
          <w:numId w:val="43"/>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140"/>
          </w:cols>
          <w:pgMar w:left="240" w:top="455" w:right="51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Focus on Performance-Based Awards</w:t>
      </w:r>
    </w:p>
    <w:p>
      <w:pPr>
        <w:spacing w:after="0" w:line="103" w:lineRule="exact"/>
        <w:rPr>
          <w:sz w:val="20"/>
          <w:szCs w:val="20"/>
          <w:color w:val="auto"/>
        </w:rPr>
      </w:pPr>
    </w:p>
    <w:p>
      <w:pPr>
        <w:ind w:left="220" w:right="180"/>
        <w:spacing w:after="0" w:line="274" w:lineRule="auto"/>
        <w:rPr>
          <w:sz w:val="20"/>
          <w:szCs w:val="20"/>
          <w:color w:val="auto"/>
        </w:rPr>
      </w:pPr>
      <w:r>
        <w:rPr>
          <w:rFonts w:ascii="Arial" w:cs="Arial" w:eastAsia="Arial" w:hAnsi="Arial"/>
          <w:sz w:val="17"/>
          <w:szCs w:val="17"/>
          <w:color w:val="auto"/>
        </w:rPr>
        <w:t>The following charts</w:t>
      </w:r>
      <w:r>
        <w:rPr>
          <w:rFonts w:ascii="Arial" w:cs="Arial" w:eastAsia="Arial" w:hAnsi="Arial"/>
          <w:sz w:val="14"/>
          <w:szCs w:val="14"/>
          <w:color w:val="auto"/>
        </w:rPr>
        <w:t>1</w:t>
      </w:r>
      <w:r>
        <w:rPr>
          <w:rFonts w:ascii="Arial" w:cs="Arial" w:eastAsia="Arial" w:hAnsi="Arial"/>
          <w:sz w:val="17"/>
          <w:szCs w:val="17"/>
          <w:color w:val="auto"/>
        </w:rPr>
        <w:t xml:space="preserve"> show the percentage breakdown of target total direct compensation between performance-based (target annual incentive, PSUs and SARs) and other compensation (base salary, RSUs and other) for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775970</wp:posOffset>
            </wp:positionH>
            <wp:positionV relativeFrom="paragraph">
              <wp:posOffset>162560</wp:posOffset>
            </wp:positionV>
            <wp:extent cx="2072640" cy="2072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072640" cy="2072640"/>
                    </a:xfrm>
                    <a:prstGeom prst="rect">
                      <a:avLst/>
                    </a:prstGeom>
                    <a:noFill/>
                  </pic:spPr>
                </pic:pic>
              </a:graphicData>
            </a:graphic>
          </wp:anchor>
        </w:drawing>
        <w:drawing>
          <wp:anchor simplePos="0" relativeHeight="251657728" behindDoc="1" locked="0" layoutInCell="0" allowOverlap="1">
            <wp:simplePos x="0" y="0"/>
            <wp:positionH relativeFrom="column">
              <wp:posOffset>4373880</wp:posOffset>
            </wp:positionH>
            <wp:positionV relativeFrom="paragraph">
              <wp:posOffset>162560</wp:posOffset>
            </wp:positionV>
            <wp:extent cx="2072640" cy="2072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072640" cy="2072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Majority of Compensation is Equity</w:t>
      </w:r>
    </w:p>
    <w:p>
      <w:pPr>
        <w:spacing w:after="0" w:line="103" w:lineRule="exact"/>
        <w:rPr>
          <w:sz w:val="20"/>
          <w:szCs w:val="20"/>
          <w:color w:val="auto"/>
        </w:rPr>
      </w:pPr>
    </w:p>
    <w:p>
      <w:pPr>
        <w:ind w:left="220" w:right="120"/>
        <w:spacing w:after="0" w:line="274" w:lineRule="auto"/>
        <w:rPr>
          <w:sz w:val="20"/>
          <w:szCs w:val="20"/>
          <w:color w:val="auto"/>
        </w:rPr>
      </w:pPr>
      <w:r>
        <w:rPr>
          <w:rFonts w:ascii="Arial" w:cs="Arial" w:eastAsia="Arial" w:hAnsi="Arial"/>
          <w:sz w:val="17"/>
          <w:szCs w:val="17"/>
          <w:color w:val="auto"/>
        </w:rPr>
        <w:t>The following charts</w:t>
      </w:r>
      <w:r>
        <w:rPr>
          <w:rFonts w:ascii="Arial" w:cs="Arial" w:eastAsia="Arial" w:hAnsi="Arial"/>
          <w:sz w:val="14"/>
          <w:szCs w:val="14"/>
          <w:color w:val="auto"/>
        </w:rPr>
        <w:t>1</w:t>
      </w:r>
      <w:r>
        <w:rPr>
          <w:rFonts w:ascii="Arial" w:cs="Arial" w:eastAsia="Arial" w:hAnsi="Arial"/>
          <w:sz w:val="17"/>
          <w:szCs w:val="17"/>
          <w:color w:val="auto"/>
        </w:rPr>
        <w:t xml:space="preserve"> show the percentage breakdown of target total direct compensation among base salary, target annual incentive, and target annual equity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775970</wp:posOffset>
            </wp:positionH>
            <wp:positionV relativeFrom="paragraph">
              <wp:posOffset>145415</wp:posOffset>
            </wp:positionV>
            <wp:extent cx="2072640" cy="2072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072640" cy="2072640"/>
                    </a:xfrm>
                    <a:prstGeom prst="rect">
                      <a:avLst/>
                    </a:prstGeom>
                    <a:noFill/>
                  </pic:spPr>
                </pic:pic>
              </a:graphicData>
            </a:graphic>
          </wp:anchor>
        </w:drawing>
        <w:drawing>
          <wp:anchor simplePos="0" relativeHeight="251657728" behindDoc="1" locked="0" layoutInCell="0" allowOverlap="1">
            <wp:simplePos x="0" y="0"/>
            <wp:positionH relativeFrom="column">
              <wp:posOffset>4373880</wp:posOffset>
            </wp:positionH>
            <wp:positionV relativeFrom="paragraph">
              <wp:posOffset>145415</wp:posOffset>
            </wp:positionV>
            <wp:extent cx="2072640" cy="2072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072640" cy="2072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20" w:hanging="210"/>
        <w:spacing w:after="0"/>
        <w:tabs>
          <w:tab w:leader="none" w:pos="420" w:val="left"/>
        </w:tabs>
        <w:numPr>
          <w:ilvl w:val="0"/>
          <w:numId w:val="44"/>
        </w:numPr>
        <w:rPr>
          <w:rFonts w:ascii="Arial" w:cs="Arial" w:eastAsia="Arial" w:hAnsi="Arial"/>
          <w:sz w:val="24"/>
          <w:szCs w:val="24"/>
          <w:color w:val="333333"/>
          <w:vertAlign w:val="superscript"/>
        </w:rPr>
      </w:pPr>
      <w:r>
        <w:rPr>
          <w:rFonts w:ascii="Arial" w:cs="Arial" w:eastAsia="Arial" w:hAnsi="Arial"/>
          <w:sz w:val="14"/>
          <w:szCs w:val="14"/>
          <w:color w:val="333333"/>
        </w:rPr>
        <w:t>These charts exclude pay for Mr. Marriott.</w:t>
      </w:r>
    </w:p>
    <w:p>
      <w:pPr>
        <w:spacing w:after="0" w:line="126" w:lineRule="exact"/>
        <w:rPr>
          <w:sz w:val="20"/>
          <w:szCs w:val="20"/>
          <w:color w:val="auto"/>
        </w:rPr>
      </w:pPr>
    </w:p>
    <w:tbl>
      <w:tblPr>
        <w:tblLayout w:type="fixed"/>
        <w:tblInd w:w="9260" w:type="dxa"/>
        <w:tblCellMar>
          <w:top w:w="0" w:type="dxa"/>
          <w:left w:w="0" w:type="dxa"/>
          <w:bottom w:w="0" w:type="dxa"/>
          <w:right w:w="0" w:type="dxa"/>
        </w:tblCellMar>
      </w:tblPr>
      <w:tr>
        <w:trPr>
          <w:trHeight w:val="214"/>
        </w:trPr>
        <w:tc>
          <w:tcPr>
            <w:tcW w:w="1660" w:type="dxa"/>
            <w:vAlign w:val="bottom"/>
          </w:tcPr>
          <w:p>
            <w:pPr>
              <w:spacing w:after="0"/>
              <w:rPr>
                <w:sz w:val="20"/>
                <w:szCs w:val="20"/>
                <w:color w:val="auto"/>
              </w:rPr>
            </w:pPr>
            <w:r>
              <w:rPr>
                <w:rFonts w:ascii="Arial" w:cs="Arial" w:eastAsia="Arial" w:hAnsi="Arial"/>
                <w:sz w:val="15"/>
                <w:szCs w:val="15"/>
                <w:color w:val="998C87"/>
              </w:rPr>
              <w:t>2018 Proxy Statement</w:t>
            </w:r>
          </w:p>
        </w:tc>
        <w:tc>
          <w:tcPr>
            <w:tcW w:w="240" w:type="dxa"/>
            <w:vAlign w:val="bottom"/>
          </w:tcPr>
          <w:p>
            <w:pPr>
              <w:jc w:val="right"/>
              <w:spacing w:after="0"/>
              <w:rPr>
                <w:sz w:val="20"/>
                <w:szCs w:val="20"/>
                <w:color w:val="auto"/>
              </w:rPr>
            </w:pPr>
            <w:r>
              <w:rPr>
                <w:rFonts w:ascii="Arial" w:cs="Arial" w:eastAsia="Arial" w:hAnsi="Arial"/>
                <w:sz w:val="15"/>
                <w:szCs w:val="15"/>
                <w:b w:val="1"/>
                <w:bCs w:val="1"/>
                <w:color w:val="7F7F7F"/>
              </w:rPr>
              <w:t>5</w:t>
            </w:r>
          </w:p>
        </w:tc>
      </w:tr>
    </w:tbl>
    <w:p>
      <w:pPr>
        <w:sectPr>
          <w:pgSz w:w="11900" w:h="16838" w:orient="portrait"/>
          <w:cols w:equalWidth="0" w:num="1">
            <w:col w:w="11220"/>
          </w:cols>
          <w:pgMar w:left="240" w:top="455" w:right="4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ind w:left="220"/>
        <w:spacing w:after="0"/>
        <w:rPr>
          <w:sz w:val="20"/>
          <w:szCs w:val="20"/>
          <w:color w:val="auto"/>
        </w:rPr>
      </w:pPr>
      <w:r>
        <w:rPr>
          <w:rFonts w:ascii="Arial" w:cs="Arial" w:eastAsia="Arial" w:hAnsi="Arial"/>
          <w:sz w:val="15"/>
          <w:szCs w:val="15"/>
          <w:color w:val="7F7F7F"/>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Alignment Between Company Performance and Annual Realizable Pay</w:t>
      </w:r>
    </w:p>
    <w:p>
      <w:pPr>
        <w:spacing w:after="0" w:line="103" w:lineRule="exact"/>
        <w:rPr>
          <w:sz w:val="20"/>
          <w:szCs w:val="20"/>
          <w:color w:val="auto"/>
        </w:rPr>
      </w:pPr>
    </w:p>
    <w:p>
      <w:pPr>
        <w:ind w:left="220" w:right="80"/>
        <w:spacing w:after="0" w:line="274" w:lineRule="auto"/>
        <w:rPr>
          <w:sz w:val="20"/>
          <w:szCs w:val="20"/>
          <w:color w:val="auto"/>
        </w:rPr>
      </w:pPr>
      <w:r>
        <w:rPr>
          <w:rFonts w:ascii="Arial" w:cs="Arial" w:eastAsia="Arial" w:hAnsi="Arial"/>
          <w:sz w:val="17"/>
          <w:szCs w:val="17"/>
          <w:color w:val="auto"/>
        </w:rPr>
        <w:t>The following graph shows the historical alignment between Company performance (measured as total stockholder return (“TSR”)) and average annual Realizable Pay (as defined below) of the CEO over 3-year rolling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1033145</wp:posOffset>
            </wp:positionH>
            <wp:positionV relativeFrom="paragraph">
              <wp:posOffset>128270</wp:posOffset>
            </wp:positionV>
            <wp:extent cx="5191125" cy="24326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91125" cy="2432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20" w:hanging="210"/>
        <w:spacing w:after="0" w:line="257" w:lineRule="auto"/>
        <w:tabs>
          <w:tab w:leader="none" w:pos="420" w:val="left"/>
        </w:tabs>
        <w:numPr>
          <w:ilvl w:val="0"/>
          <w:numId w:val="45"/>
        </w:numPr>
        <w:rPr>
          <w:rFonts w:ascii="Arial" w:cs="Arial" w:eastAsia="Arial" w:hAnsi="Arial"/>
          <w:sz w:val="14"/>
          <w:szCs w:val="14"/>
          <w:color w:val="333333"/>
        </w:rPr>
      </w:pPr>
      <w:r>
        <w:rPr>
          <w:rFonts w:ascii="Arial" w:cs="Arial" w:eastAsia="Arial" w:hAnsi="Arial"/>
          <w:sz w:val="14"/>
          <w:szCs w:val="14"/>
          <w:color w:val="333333"/>
        </w:rPr>
        <w:t>Realizable Pay is the sum of salary paid, annual incentive earned, bonus and balances of stock awards granted over each 3-year period (including supplemental stock awards). Stock award balances are valued at the end of the 3-year period and include the “in-the-money” value of SARs, and the value of PSUs (valued assuming target performance) and RSUs granted during the 3-year period. TSR reflects both stock price appreciation and reinvested dividends. The 3-year TSR rolling percentage is determined using 60-day average opening and closing prices.</w:t>
      </w:r>
    </w:p>
    <w:p>
      <w:pPr>
        <w:spacing w:after="0" w:line="96" w:lineRule="exact"/>
        <w:rPr>
          <w:sz w:val="20"/>
          <w:szCs w:val="20"/>
          <w:color w:val="auto"/>
        </w:rPr>
      </w:pPr>
    </w:p>
    <w:p>
      <w:pPr>
        <w:ind w:left="600" w:hanging="390"/>
        <w:spacing w:after="0"/>
        <w:tabs>
          <w:tab w:leader="none" w:pos="600" w:val="left"/>
        </w:tabs>
        <w:numPr>
          <w:ilvl w:val="0"/>
          <w:numId w:val="46"/>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120"/>
          </w:cols>
          <w:pgMar w:left="240" w:top="455" w:right="5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Executive Compensation and Best Practices</w:t>
      </w:r>
    </w:p>
    <w:p>
      <w:pPr>
        <w:spacing w:after="0" w:line="103" w:lineRule="exact"/>
        <w:rPr>
          <w:sz w:val="20"/>
          <w:szCs w:val="20"/>
          <w:color w:val="auto"/>
        </w:rPr>
      </w:pPr>
    </w:p>
    <w:p>
      <w:pPr>
        <w:ind w:left="220" w:right="20"/>
        <w:spacing w:after="0" w:line="274" w:lineRule="auto"/>
        <w:rPr>
          <w:sz w:val="20"/>
          <w:szCs w:val="20"/>
          <w:color w:val="auto"/>
        </w:rPr>
      </w:pPr>
      <w:r>
        <w:rPr>
          <w:rFonts w:ascii="Arial" w:cs="Arial" w:eastAsia="Arial" w:hAnsi="Arial"/>
          <w:sz w:val="17"/>
          <w:szCs w:val="17"/>
          <w:color w:val="auto"/>
        </w:rPr>
        <w:t>Consistent with our commitment to executive compensation best practices, the Company continued the following NEO compensation practices for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68580</wp:posOffset>
            </wp:positionV>
            <wp:extent cx="6989445" cy="45827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89445" cy="4582795"/>
                    </a:xfrm>
                    <a:prstGeom prst="rect">
                      <a:avLst/>
                    </a:prstGeom>
                    <a:noFill/>
                  </pic:spPr>
                </pic:pic>
              </a:graphicData>
            </a:graphic>
          </wp:anchor>
        </w:drawing>
      </w:r>
    </w:p>
    <w:p>
      <w:pPr>
        <w:sectPr>
          <w:pgSz w:w="11900" w:h="16838" w:orient="portrait"/>
          <w:cols w:equalWidth="0" w:num="1">
            <w:col w:w="11220"/>
          </w:cols>
          <w:pgMar w:left="24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740"/>
        <w:spacing w:after="0" w:line="431" w:lineRule="exact"/>
        <w:rPr>
          <w:sz w:val="20"/>
          <w:szCs w:val="20"/>
          <w:color w:val="auto"/>
        </w:rPr>
      </w:pPr>
      <w:r>
        <w:rPr>
          <w:rFonts w:ascii="MS PGothic" w:cs="MS PGothic" w:eastAsia="MS PGothic" w:hAnsi="MS PGothic"/>
          <w:sz w:val="43"/>
          <w:szCs w:val="43"/>
          <w:color w:val="FFFFFF"/>
        </w:rPr>
        <w:t>✓</w:t>
      </w:r>
    </w:p>
    <w:p>
      <w:pPr>
        <w:spacing w:after="0" w:line="270"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FFFFFF"/>
        </w:rPr>
        <w:t>What</w:t>
      </w:r>
    </w:p>
    <w:p>
      <w:pPr>
        <w:spacing w:after="0" w:line="14"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FFFFFF"/>
        </w:rPr>
        <w:t>We 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43"/>
          <w:szCs w:val="43"/>
          <w:color w:val="FFFFFF"/>
        </w:rPr>
        <w:t>û</w:t>
      </w:r>
    </w:p>
    <w:p>
      <w:pPr>
        <w:spacing w:after="0" w:line="138" w:lineRule="exact"/>
        <w:rPr>
          <w:sz w:val="20"/>
          <w:szCs w:val="20"/>
          <w:color w:val="auto"/>
        </w:rPr>
      </w:pPr>
    </w:p>
    <w:p>
      <w:pPr>
        <w:jc w:val="center"/>
        <w:ind w:left="420"/>
        <w:spacing w:after="0"/>
        <w:rPr>
          <w:sz w:val="20"/>
          <w:szCs w:val="20"/>
          <w:color w:val="auto"/>
        </w:rPr>
      </w:pPr>
      <w:r>
        <w:rPr>
          <w:rFonts w:ascii="Arial" w:cs="Arial" w:eastAsia="Arial" w:hAnsi="Arial"/>
          <w:sz w:val="20"/>
          <w:szCs w:val="20"/>
          <w:b w:val="1"/>
          <w:bCs w:val="1"/>
          <w:color w:val="FFFFFF"/>
        </w:rPr>
        <w:t>What</w:t>
      </w:r>
    </w:p>
    <w:p>
      <w:pPr>
        <w:spacing w:after="0" w:line="11" w:lineRule="exact"/>
        <w:rPr>
          <w:sz w:val="20"/>
          <w:szCs w:val="20"/>
          <w:color w:val="auto"/>
        </w:rPr>
      </w:pPr>
    </w:p>
    <w:p>
      <w:pPr>
        <w:jc w:val="center"/>
        <w:ind w:left="420"/>
        <w:spacing w:after="0"/>
        <w:rPr>
          <w:sz w:val="20"/>
          <w:szCs w:val="20"/>
          <w:color w:val="auto"/>
        </w:rPr>
      </w:pPr>
      <w:r>
        <w:rPr>
          <w:rFonts w:ascii="Arial" w:cs="Arial" w:eastAsia="Arial" w:hAnsi="Arial"/>
          <w:sz w:val="19"/>
          <w:szCs w:val="19"/>
          <w:b w:val="1"/>
          <w:bCs w:val="1"/>
          <w:color w:val="FFFFFF"/>
        </w:rPr>
        <w:t>We Do Not</w:t>
      </w:r>
    </w:p>
    <w:p>
      <w:pPr>
        <w:jc w:val="center"/>
        <w:ind w:left="420"/>
        <w:spacing w:after="0"/>
        <w:rPr>
          <w:sz w:val="20"/>
          <w:szCs w:val="20"/>
          <w:color w:val="auto"/>
        </w:rPr>
      </w:pPr>
      <w:r>
        <w:rPr>
          <w:rFonts w:ascii="Arial" w:cs="Arial" w:eastAsia="Arial" w:hAnsi="Arial"/>
          <w:sz w:val="20"/>
          <w:szCs w:val="20"/>
          <w:b w:val="1"/>
          <w:bCs w:val="1"/>
          <w:color w:val="FFFFFF"/>
        </w:rPr>
        <w:t>Do</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ind w:left="143" w:hanging="143"/>
        <w:spacing w:after="0"/>
        <w:tabs>
          <w:tab w:leader="none" w:pos="143" w:val="left"/>
        </w:tabs>
        <w:numPr>
          <w:ilvl w:val="0"/>
          <w:numId w:val="47"/>
        </w:numPr>
        <w:rPr>
          <w:rFonts w:ascii="Arial" w:cs="Arial" w:eastAsia="Arial" w:hAnsi="Arial"/>
          <w:sz w:val="17"/>
          <w:szCs w:val="17"/>
          <w:color w:val="auto"/>
        </w:rPr>
      </w:pPr>
      <w:r>
        <w:rPr>
          <w:rFonts w:ascii="Arial" w:cs="Arial" w:eastAsia="Arial" w:hAnsi="Arial"/>
          <w:sz w:val="17"/>
          <w:szCs w:val="17"/>
          <w:color w:val="auto"/>
        </w:rPr>
        <w:t>Executive compensation is strongly linked to the Company’s operating and financial performance</w:t>
      </w:r>
    </w:p>
    <w:p>
      <w:pPr>
        <w:spacing w:after="0" w:line="114" w:lineRule="exact"/>
        <w:rPr>
          <w:rFonts w:ascii="Arial" w:cs="Arial" w:eastAsia="Arial" w:hAnsi="Arial"/>
          <w:sz w:val="17"/>
          <w:szCs w:val="17"/>
          <w:color w:val="auto"/>
        </w:rPr>
      </w:pPr>
    </w:p>
    <w:p>
      <w:pPr>
        <w:ind w:left="163" w:right="120" w:hanging="163"/>
        <w:spacing w:after="0" w:line="246" w:lineRule="auto"/>
        <w:tabs>
          <w:tab w:leader="none" w:pos="142"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Compensation Policy Committee reinforces its commitment to long-term performance through robust stock ownership requirements that discourage excessive risk-taking to achieve short-term returns. NEOs are subject to stock ownership requirements and must retain 50% of the net after-tax shares received under any equity awards until they satisfy this requirement</w:t>
      </w:r>
    </w:p>
    <w:p>
      <w:pPr>
        <w:spacing w:after="0" w:line="75" w:lineRule="exact"/>
        <w:rPr>
          <w:rFonts w:ascii="Arial" w:cs="Arial" w:eastAsia="Arial" w:hAnsi="Arial"/>
          <w:sz w:val="17"/>
          <w:szCs w:val="17"/>
          <w:color w:val="auto"/>
        </w:rPr>
      </w:pPr>
    </w:p>
    <w:p>
      <w:pPr>
        <w:ind w:left="163" w:right="100" w:hanging="163"/>
        <w:spacing w:after="0" w:line="274" w:lineRule="auto"/>
        <w:tabs>
          <w:tab w:leader="none" w:pos="146" w:val="left"/>
        </w:tabs>
        <w:numPr>
          <w:ilvl w:val="0"/>
          <w:numId w:val="47"/>
        </w:numPr>
        <w:rPr>
          <w:rFonts w:ascii="Arial" w:cs="Arial" w:eastAsia="Arial" w:hAnsi="Arial"/>
          <w:sz w:val="17"/>
          <w:szCs w:val="17"/>
          <w:color w:val="auto"/>
        </w:rPr>
      </w:pPr>
      <w:r>
        <w:rPr>
          <w:rFonts w:ascii="Arial" w:cs="Arial" w:eastAsia="Arial" w:hAnsi="Arial"/>
          <w:sz w:val="17"/>
          <w:szCs w:val="17"/>
          <w:color w:val="auto"/>
        </w:rPr>
        <w:t>NEOs are subject to compensation clawback requirements that can be triggered by either an accounting restatement or by improper conduct</w:t>
      </w:r>
    </w:p>
    <w:p>
      <w:pPr>
        <w:spacing w:after="0" w:line="52" w:lineRule="exact"/>
        <w:rPr>
          <w:rFonts w:ascii="Arial" w:cs="Arial" w:eastAsia="Arial" w:hAnsi="Arial"/>
          <w:sz w:val="17"/>
          <w:szCs w:val="17"/>
          <w:color w:val="auto"/>
        </w:rPr>
      </w:pPr>
    </w:p>
    <w:p>
      <w:pPr>
        <w:ind w:left="163" w:right="260" w:hanging="163"/>
        <w:spacing w:after="0" w:line="274" w:lineRule="auto"/>
        <w:tabs>
          <w:tab w:leader="none" w:pos="142"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Compensation Policy Committee follows a rigorous process in determining NEO pay, including detailed review of multiple short- and long-term performance factors and market compensation information</w:t>
      </w:r>
    </w:p>
    <w:p>
      <w:pPr>
        <w:spacing w:after="0" w:line="52" w:lineRule="exact"/>
        <w:rPr>
          <w:rFonts w:ascii="Arial" w:cs="Arial" w:eastAsia="Arial" w:hAnsi="Arial"/>
          <w:sz w:val="17"/>
          <w:szCs w:val="17"/>
          <w:color w:val="auto"/>
        </w:rPr>
      </w:pPr>
    </w:p>
    <w:p>
      <w:pPr>
        <w:ind w:left="163" w:right="60" w:hanging="163"/>
        <w:spacing w:after="0" w:line="253" w:lineRule="auto"/>
        <w:tabs>
          <w:tab w:leader="none" w:pos="142"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Company emphasizes long-term pay and performance alignment by having long-term equity represent the largest component of target total direct compensation (approximately 60-65% of total) and by delivering half of equity awards to the CEO in the form of three-year Performance Share Units</w:t>
      </w:r>
    </w:p>
    <w:p>
      <w:pPr>
        <w:spacing w:after="0" w:line="69" w:lineRule="exact"/>
        <w:rPr>
          <w:rFonts w:ascii="Arial" w:cs="Arial" w:eastAsia="Arial" w:hAnsi="Arial"/>
          <w:sz w:val="17"/>
          <w:szCs w:val="17"/>
          <w:color w:val="auto"/>
        </w:rPr>
      </w:pPr>
    </w:p>
    <w:p>
      <w:pPr>
        <w:ind w:left="143" w:hanging="143"/>
        <w:spacing w:after="0"/>
        <w:tabs>
          <w:tab w:leader="none" w:pos="143"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Compensation Policy Committee oversees and reviews an annual compensation risk assessment</w:t>
      </w:r>
    </w:p>
    <w:p>
      <w:pPr>
        <w:spacing w:after="0" w:line="114" w:lineRule="exact"/>
        <w:rPr>
          <w:rFonts w:ascii="Arial" w:cs="Arial" w:eastAsia="Arial" w:hAnsi="Arial"/>
          <w:sz w:val="17"/>
          <w:szCs w:val="17"/>
          <w:color w:val="auto"/>
        </w:rPr>
      </w:pPr>
    </w:p>
    <w:p>
      <w:pPr>
        <w:ind w:left="163" w:right="740" w:hanging="163"/>
        <w:spacing w:after="0" w:line="274" w:lineRule="auto"/>
        <w:tabs>
          <w:tab w:leader="none" w:pos="142"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Compensation Policy Committee is composed solely of independent members of the Board and retains an independent compensation consultant</w:t>
      </w:r>
    </w:p>
    <w:p>
      <w:pPr>
        <w:spacing w:after="0" w:line="52" w:lineRule="exact"/>
        <w:rPr>
          <w:rFonts w:ascii="Arial" w:cs="Arial" w:eastAsia="Arial" w:hAnsi="Arial"/>
          <w:sz w:val="17"/>
          <w:szCs w:val="17"/>
          <w:color w:val="auto"/>
        </w:rPr>
      </w:pPr>
    </w:p>
    <w:p>
      <w:pPr>
        <w:ind w:left="143" w:hanging="143"/>
        <w:spacing w:after="0"/>
        <w:tabs>
          <w:tab w:leader="none" w:pos="143" w:val="left"/>
        </w:tabs>
        <w:numPr>
          <w:ilvl w:val="0"/>
          <w:numId w:val="47"/>
        </w:numPr>
        <w:rPr>
          <w:rFonts w:ascii="Arial" w:cs="Arial" w:eastAsia="Arial" w:hAnsi="Arial"/>
          <w:sz w:val="17"/>
          <w:szCs w:val="17"/>
          <w:color w:val="auto"/>
        </w:rPr>
      </w:pPr>
      <w:r>
        <w:rPr>
          <w:rFonts w:ascii="Arial" w:cs="Arial" w:eastAsia="Arial" w:hAnsi="Arial"/>
          <w:sz w:val="17"/>
          <w:szCs w:val="17"/>
          <w:color w:val="auto"/>
        </w:rPr>
        <w:t>We provide only “double trigger” change in control benefits</w:t>
      </w:r>
    </w:p>
    <w:p>
      <w:pPr>
        <w:spacing w:after="0" w:line="114" w:lineRule="exact"/>
        <w:rPr>
          <w:rFonts w:ascii="Arial" w:cs="Arial" w:eastAsia="Arial" w:hAnsi="Arial"/>
          <w:sz w:val="17"/>
          <w:szCs w:val="17"/>
          <w:color w:val="auto"/>
        </w:rPr>
      </w:pPr>
    </w:p>
    <w:p>
      <w:pPr>
        <w:ind w:left="163" w:right="1080" w:hanging="163"/>
        <w:spacing w:after="0" w:line="274" w:lineRule="auto"/>
        <w:tabs>
          <w:tab w:leader="none" w:pos="142"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Company provides stockholders with an annual vote to approve, on a non-binding, advisory basis, the compensation of the NEOs</w:t>
      </w:r>
    </w:p>
    <w:p>
      <w:pPr>
        <w:spacing w:after="0" w:line="25" w:lineRule="exact"/>
        <w:rPr>
          <w:rFonts w:ascii="Arial" w:cs="Arial" w:eastAsia="Arial" w:hAnsi="Arial"/>
          <w:sz w:val="17"/>
          <w:szCs w:val="17"/>
          <w:color w:val="auto"/>
        </w:rPr>
      </w:pPr>
    </w:p>
    <w:p>
      <w:pPr>
        <w:ind w:left="143" w:hanging="143"/>
        <w:spacing w:after="0"/>
        <w:tabs>
          <w:tab w:leader="none" w:pos="143" w:val="left"/>
        </w:tabs>
        <w:numPr>
          <w:ilvl w:val="0"/>
          <w:numId w:val="47"/>
        </w:numPr>
        <w:rPr>
          <w:rFonts w:ascii="Arial" w:cs="Arial" w:eastAsia="Arial" w:hAnsi="Arial"/>
          <w:sz w:val="17"/>
          <w:szCs w:val="17"/>
          <w:color w:val="auto"/>
        </w:rPr>
      </w:pPr>
      <w:r>
        <w:rPr>
          <w:rFonts w:ascii="Arial" w:cs="Arial" w:eastAsia="Arial" w:hAnsi="Arial"/>
          <w:sz w:val="17"/>
          <w:szCs w:val="17"/>
          <w:color w:val="auto"/>
        </w:rPr>
        <w:t>We do not have employment contracts</w:t>
      </w:r>
    </w:p>
    <w:p>
      <w:pPr>
        <w:spacing w:after="0" w:line="114" w:lineRule="exact"/>
        <w:rPr>
          <w:rFonts w:ascii="Arial" w:cs="Arial" w:eastAsia="Arial" w:hAnsi="Arial"/>
          <w:sz w:val="17"/>
          <w:szCs w:val="17"/>
          <w:color w:val="auto"/>
        </w:rPr>
      </w:pPr>
    </w:p>
    <w:p>
      <w:pPr>
        <w:ind w:left="143" w:hanging="143"/>
        <w:spacing w:after="0"/>
        <w:tabs>
          <w:tab w:leader="none" w:pos="143" w:val="left"/>
        </w:tabs>
        <w:numPr>
          <w:ilvl w:val="0"/>
          <w:numId w:val="47"/>
        </w:numPr>
        <w:rPr>
          <w:rFonts w:ascii="Arial" w:cs="Arial" w:eastAsia="Arial" w:hAnsi="Arial"/>
          <w:sz w:val="17"/>
          <w:szCs w:val="17"/>
          <w:color w:val="auto"/>
        </w:rPr>
      </w:pPr>
      <w:r>
        <w:rPr>
          <w:rFonts w:ascii="Arial" w:cs="Arial" w:eastAsia="Arial" w:hAnsi="Arial"/>
          <w:sz w:val="17"/>
          <w:szCs w:val="17"/>
          <w:color w:val="auto"/>
        </w:rPr>
        <w:t>We do not offer defined benefit pension plans or supplemental executive retirement plans</w:t>
      </w:r>
    </w:p>
    <w:p>
      <w:pPr>
        <w:spacing w:after="0" w:line="114" w:lineRule="exact"/>
        <w:rPr>
          <w:rFonts w:ascii="Arial" w:cs="Arial" w:eastAsia="Arial" w:hAnsi="Arial"/>
          <w:sz w:val="17"/>
          <w:szCs w:val="17"/>
          <w:color w:val="auto"/>
        </w:rPr>
      </w:pPr>
    </w:p>
    <w:p>
      <w:pPr>
        <w:ind w:left="143" w:hanging="143"/>
        <w:spacing w:after="0"/>
        <w:tabs>
          <w:tab w:leader="none" w:pos="143" w:val="left"/>
        </w:tabs>
        <w:numPr>
          <w:ilvl w:val="0"/>
          <w:numId w:val="47"/>
        </w:numPr>
        <w:rPr>
          <w:rFonts w:ascii="Arial" w:cs="Arial" w:eastAsia="Arial" w:hAnsi="Arial"/>
          <w:sz w:val="17"/>
          <w:szCs w:val="17"/>
          <w:color w:val="auto"/>
        </w:rPr>
      </w:pPr>
      <w:r>
        <w:rPr>
          <w:rFonts w:ascii="Arial" w:cs="Arial" w:eastAsia="Arial" w:hAnsi="Arial"/>
          <w:sz w:val="17"/>
          <w:szCs w:val="17"/>
          <w:color w:val="auto"/>
        </w:rPr>
        <w:t>We do not provide tax gross-ups</w:t>
      </w:r>
    </w:p>
    <w:p>
      <w:pPr>
        <w:spacing w:after="0" w:line="114" w:lineRule="exact"/>
        <w:rPr>
          <w:rFonts w:ascii="Arial" w:cs="Arial" w:eastAsia="Arial" w:hAnsi="Arial"/>
          <w:sz w:val="17"/>
          <w:szCs w:val="17"/>
          <w:color w:val="auto"/>
        </w:rPr>
      </w:pPr>
    </w:p>
    <w:p>
      <w:pPr>
        <w:ind w:left="143" w:hanging="143"/>
        <w:spacing w:after="0"/>
        <w:tabs>
          <w:tab w:leader="none" w:pos="143" w:val="left"/>
        </w:tabs>
        <w:numPr>
          <w:ilvl w:val="0"/>
          <w:numId w:val="47"/>
        </w:numPr>
        <w:rPr>
          <w:rFonts w:ascii="Arial" w:cs="Arial" w:eastAsia="Arial" w:hAnsi="Arial"/>
          <w:sz w:val="17"/>
          <w:szCs w:val="17"/>
          <w:color w:val="auto"/>
        </w:rPr>
      </w:pPr>
      <w:r>
        <w:rPr>
          <w:rFonts w:ascii="Arial" w:cs="Arial" w:eastAsia="Arial" w:hAnsi="Arial"/>
          <w:sz w:val="17"/>
          <w:szCs w:val="17"/>
          <w:color w:val="auto"/>
        </w:rPr>
        <w:t>We do not have executive severance plans</w:t>
      </w:r>
    </w:p>
    <w:p>
      <w:pPr>
        <w:spacing w:after="0" w:line="114" w:lineRule="exact"/>
        <w:rPr>
          <w:rFonts w:ascii="Arial" w:cs="Arial" w:eastAsia="Arial" w:hAnsi="Arial"/>
          <w:sz w:val="17"/>
          <w:szCs w:val="17"/>
          <w:color w:val="auto"/>
        </w:rPr>
      </w:pPr>
    </w:p>
    <w:p>
      <w:pPr>
        <w:ind w:left="143" w:hanging="143"/>
        <w:spacing w:after="0"/>
        <w:tabs>
          <w:tab w:leader="none" w:pos="143" w:val="left"/>
        </w:tabs>
        <w:numPr>
          <w:ilvl w:val="0"/>
          <w:numId w:val="47"/>
        </w:numPr>
        <w:rPr>
          <w:rFonts w:ascii="Arial" w:cs="Arial" w:eastAsia="Arial" w:hAnsi="Arial"/>
          <w:sz w:val="17"/>
          <w:szCs w:val="17"/>
          <w:color w:val="auto"/>
        </w:rPr>
      </w:pPr>
      <w:r>
        <w:rPr>
          <w:rFonts w:ascii="Arial" w:cs="Arial" w:eastAsia="Arial" w:hAnsi="Arial"/>
          <w:sz w:val="17"/>
          <w:szCs w:val="17"/>
          <w:color w:val="auto"/>
        </w:rPr>
        <w:t>We do not provide “single trigger” change in control benefits</w:t>
      </w:r>
    </w:p>
    <w:p>
      <w:pPr>
        <w:spacing w:after="0" w:line="114" w:lineRule="exact"/>
        <w:rPr>
          <w:rFonts w:ascii="Arial" w:cs="Arial" w:eastAsia="Arial" w:hAnsi="Arial"/>
          <w:sz w:val="17"/>
          <w:szCs w:val="17"/>
          <w:color w:val="auto"/>
        </w:rPr>
      </w:pPr>
    </w:p>
    <w:p>
      <w:pPr>
        <w:ind w:left="143" w:hanging="143"/>
        <w:spacing w:after="0"/>
        <w:tabs>
          <w:tab w:leader="none" w:pos="143" w:val="left"/>
        </w:tabs>
        <w:numPr>
          <w:ilvl w:val="0"/>
          <w:numId w:val="47"/>
        </w:numPr>
        <w:rPr>
          <w:rFonts w:ascii="Arial" w:cs="Arial" w:eastAsia="Arial" w:hAnsi="Arial"/>
          <w:sz w:val="17"/>
          <w:szCs w:val="17"/>
          <w:color w:val="auto"/>
        </w:rPr>
      </w:pPr>
      <w:r>
        <w:rPr>
          <w:rFonts w:ascii="Arial" w:cs="Arial" w:eastAsia="Arial" w:hAnsi="Arial"/>
          <w:sz w:val="17"/>
          <w:szCs w:val="17"/>
          <w:color w:val="auto"/>
        </w:rPr>
        <w:t>We do not reprice options or SARs without stockholder approval, nor do we buy out underwater options or SARs</w:t>
      </w:r>
    </w:p>
    <w:p>
      <w:pPr>
        <w:spacing w:after="0" w:line="114" w:lineRule="exact"/>
        <w:rPr>
          <w:rFonts w:ascii="Arial" w:cs="Arial" w:eastAsia="Arial" w:hAnsi="Arial"/>
          <w:sz w:val="17"/>
          <w:szCs w:val="17"/>
          <w:color w:val="auto"/>
        </w:rPr>
      </w:pPr>
    </w:p>
    <w:p>
      <w:pPr>
        <w:ind w:left="143" w:hanging="143"/>
        <w:spacing w:after="0"/>
        <w:tabs>
          <w:tab w:leader="none" w:pos="143" w:val="left"/>
        </w:tabs>
        <w:numPr>
          <w:ilvl w:val="0"/>
          <w:numId w:val="47"/>
        </w:numPr>
        <w:rPr>
          <w:rFonts w:ascii="Arial" w:cs="Arial" w:eastAsia="Arial" w:hAnsi="Arial"/>
          <w:sz w:val="17"/>
          <w:szCs w:val="17"/>
          <w:color w:val="auto"/>
        </w:rPr>
      </w:pPr>
      <w:r>
        <w:rPr>
          <w:rFonts w:ascii="Arial" w:cs="Arial" w:eastAsia="Arial" w:hAnsi="Arial"/>
          <w:sz w:val="17"/>
          <w:szCs w:val="17"/>
          <w:color w:val="auto"/>
        </w:rPr>
        <w:t>We do not allow associates or directors to engage in hedging or derivative transactions related to Marriott securities</w:t>
      </w:r>
    </w:p>
    <w:p>
      <w:pPr>
        <w:spacing w:after="0" w:line="114" w:lineRule="exact"/>
        <w:rPr>
          <w:rFonts w:ascii="Arial" w:cs="Arial" w:eastAsia="Arial" w:hAnsi="Arial"/>
          <w:sz w:val="17"/>
          <w:szCs w:val="17"/>
          <w:color w:val="auto"/>
        </w:rPr>
      </w:pPr>
    </w:p>
    <w:p>
      <w:pPr>
        <w:ind w:left="143" w:hanging="143"/>
        <w:spacing w:after="0"/>
        <w:tabs>
          <w:tab w:leader="none" w:pos="143" w:val="left"/>
        </w:tabs>
        <w:numPr>
          <w:ilvl w:val="0"/>
          <w:numId w:val="47"/>
        </w:numPr>
        <w:rPr>
          <w:rFonts w:ascii="Arial" w:cs="Arial" w:eastAsia="Arial" w:hAnsi="Arial"/>
          <w:sz w:val="17"/>
          <w:szCs w:val="17"/>
          <w:color w:val="auto"/>
        </w:rPr>
      </w:pPr>
      <w:r>
        <w:rPr>
          <w:rFonts w:ascii="Arial" w:cs="Arial" w:eastAsia="Arial" w:hAnsi="Arial"/>
          <w:sz w:val="17"/>
          <w:szCs w:val="17"/>
          <w:color w:val="auto"/>
        </w:rPr>
        <w:t>We do not allow NEOs to hold Company stock in margin accounts or pledge such stock as collateral for loans</w:t>
      </w:r>
    </w:p>
    <w:p>
      <w:pPr>
        <w:spacing w:after="0" w:line="114" w:lineRule="exact"/>
        <w:rPr>
          <w:rFonts w:ascii="Arial" w:cs="Arial" w:eastAsia="Arial" w:hAnsi="Arial"/>
          <w:sz w:val="17"/>
          <w:szCs w:val="17"/>
          <w:color w:val="auto"/>
        </w:rPr>
      </w:pPr>
    </w:p>
    <w:p>
      <w:pPr>
        <w:ind w:left="143" w:hanging="143"/>
        <w:spacing w:after="0"/>
        <w:tabs>
          <w:tab w:leader="none" w:pos="143" w:val="left"/>
        </w:tabs>
        <w:numPr>
          <w:ilvl w:val="0"/>
          <w:numId w:val="47"/>
        </w:numPr>
        <w:rPr>
          <w:rFonts w:ascii="Arial" w:cs="Arial" w:eastAsia="Arial" w:hAnsi="Arial"/>
          <w:sz w:val="17"/>
          <w:szCs w:val="17"/>
          <w:color w:val="auto"/>
        </w:rPr>
      </w:pPr>
      <w:r>
        <w:rPr>
          <w:rFonts w:ascii="Arial" w:cs="Arial" w:eastAsia="Arial" w:hAnsi="Arial"/>
          <w:sz w:val="17"/>
          <w:szCs w:val="17"/>
          <w:color w:val="auto"/>
        </w:rPr>
        <w:t>We do not pay or accrue dividends or dividend equivalents on unvested or unexercised equity awards</w:t>
      </w:r>
    </w:p>
    <w:p>
      <w:pPr>
        <w:spacing w:after="0" w:line="160" w:lineRule="exact"/>
        <w:rPr>
          <w:sz w:val="20"/>
          <w:szCs w:val="20"/>
          <w:color w:val="auto"/>
        </w:rPr>
      </w:pPr>
    </w:p>
    <w:tbl>
      <w:tblPr>
        <w:tblLayout w:type="fixed"/>
        <w:tblInd w:w="7283" w:type="dxa"/>
        <w:tblCellMar>
          <w:top w:w="0" w:type="dxa"/>
          <w:left w:w="0" w:type="dxa"/>
          <w:bottom w:w="0" w:type="dxa"/>
          <w:right w:w="0" w:type="dxa"/>
        </w:tblCellMar>
      </w:tblPr>
      <w:tr>
        <w:trPr>
          <w:trHeight w:val="214"/>
        </w:trPr>
        <w:tc>
          <w:tcPr>
            <w:tcW w:w="1660" w:type="dxa"/>
            <w:vAlign w:val="bottom"/>
          </w:tcPr>
          <w:p>
            <w:pPr>
              <w:spacing w:after="0"/>
              <w:rPr>
                <w:sz w:val="20"/>
                <w:szCs w:val="20"/>
                <w:color w:val="auto"/>
              </w:rPr>
            </w:pPr>
            <w:r>
              <w:rPr>
                <w:rFonts w:ascii="Arial" w:cs="Arial" w:eastAsia="Arial" w:hAnsi="Arial"/>
                <w:sz w:val="15"/>
                <w:szCs w:val="15"/>
                <w:color w:val="998C87"/>
              </w:rPr>
              <w:t>2018 Proxy Statement</w:t>
            </w:r>
          </w:p>
        </w:tc>
        <w:tc>
          <w:tcPr>
            <w:tcW w:w="240" w:type="dxa"/>
            <w:vAlign w:val="bottom"/>
          </w:tcPr>
          <w:p>
            <w:pPr>
              <w:jc w:val="right"/>
              <w:spacing w:after="0"/>
              <w:rPr>
                <w:sz w:val="20"/>
                <w:szCs w:val="20"/>
                <w:color w:val="auto"/>
              </w:rPr>
            </w:pPr>
            <w:r>
              <w:rPr>
                <w:rFonts w:ascii="Arial" w:cs="Arial" w:eastAsia="Arial" w:hAnsi="Arial"/>
                <w:sz w:val="15"/>
                <w:szCs w:val="15"/>
                <w:b w:val="1"/>
                <w:bCs w:val="1"/>
                <w:color w:val="7F7F7F"/>
              </w:rPr>
              <w:t>7</w:t>
            </w:r>
          </w:p>
        </w:tc>
      </w:tr>
    </w:tbl>
    <w:p>
      <w:pPr>
        <w:sectPr>
          <w:pgSz w:w="11900" w:h="16838" w:orient="portrait"/>
          <w:cols w:equalWidth="0" w:num="2">
            <w:col w:w="1420" w:space="557"/>
            <w:col w:w="9243"/>
          </w:cols>
          <w:pgMar w:left="240" w:top="455" w:right="439" w:bottom="1440" w:gutter="0" w:footer="0" w:header="0"/>
          <w:type w:val="continuous"/>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ind w:left="220"/>
        <w:spacing w:after="0"/>
        <w:rPr>
          <w:sz w:val="20"/>
          <w:szCs w:val="20"/>
          <w:color w:val="auto"/>
        </w:rPr>
      </w:pPr>
      <w:r>
        <w:rPr>
          <w:rFonts w:ascii="Arial" w:cs="Arial" w:eastAsia="Arial" w:hAnsi="Arial"/>
          <w:sz w:val="15"/>
          <w:szCs w:val="15"/>
          <w:color w:val="7F7F7F"/>
        </w:rPr>
        <w:t>Items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25"/>
          <w:szCs w:val="25"/>
          <w:color w:val="998C87"/>
        </w:rPr>
        <w:t>ITEMS TO BE VOTED ON</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ITEM 1 – Election of Directors</w:t>
      </w:r>
    </w:p>
    <w:p>
      <w:pPr>
        <w:spacing w:after="0" w:line="104" w:lineRule="exact"/>
        <w:rPr>
          <w:sz w:val="20"/>
          <w:szCs w:val="20"/>
          <w:color w:val="auto"/>
        </w:rPr>
      </w:pPr>
    </w:p>
    <w:p>
      <w:pPr>
        <w:ind w:left="220"/>
        <w:spacing w:after="0" w:line="274" w:lineRule="auto"/>
        <w:rPr>
          <w:sz w:val="20"/>
          <w:szCs w:val="20"/>
          <w:color w:val="auto"/>
        </w:rPr>
      </w:pPr>
      <w:r>
        <w:rPr>
          <w:rFonts w:ascii="Arial" w:cs="Arial" w:eastAsia="Arial" w:hAnsi="Arial"/>
          <w:sz w:val="17"/>
          <w:szCs w:val="17"/>
          <w:color w:val="auto"/>
        </w:rPr>
        <w:t>All of our directors are standing for election at the 2018 annual meeting and, if elected, each director will hold office for a term expiring at the 2019 annual meeting of stockholders or until his or her successor is elected or appointed and qualified.</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14 current directors of the Company have been nominated for re-election as a director:</w:t>
      </w:r>
    </w:p>
    <w:p>
      <w:pPr>
        <w:spacing w:after="0" w:line="113"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2820" w:type="dxa"/>
            <w:vAlign w:val="bottom"/>
          </w:tcPr>
          <w:p>
            <w:pPr>
              <w:spacing w:after="0"/>
              <w:rPr>
                <w:sz w:val="20"/>
                <w:szCs w:val="20"/>
                <w:color w:val="auto"/>
              </w:rPr>
            </w:pPr>
            <w:r>
              <w:rPr>
                <w:rFonts w:ascii="Arial" w:cs="Arial" w:eastAsia="Arial" w:hAnsi="Arial"/>
                <w:sz w:val="17"/>
                <w:szCs w:val="17"/>
                <w:b w:val="1"/>
                <w:bCs w:val="1"/>
                <w:color w:val="998C87"/>
              </w:rPr>
              <w:t>J.W. Marriott, Jr.</w:t>
            </w:r>
          </w:p>
        </w:tc>
        <w:tc>
          <w:tcPr>
            <w:tcW w:w="3620" w:type="dxa"/>
            <w:vAlign w:val="bottom"/>
          </w:tcPr>
          <w:p>
            <w:pPr>
              <w:ind w:left="920"/>
              <w:spacing w:after="0"/>
              <w:rPr>
                <w:sz w:val="20"/>
                <w:szCs w:val="20"/>
                <w:color w:val="auto"/>
              </w:rPr>
            </w:pPr>
            <w:r>
              <w:rPr>
                <w:rFonts w:ascii="Arial" w:cs="Arial" w:eastAsia="Arial" w:hAnsi="Arial"/>
                <w:sz w:val="17"/>
                <w:szCs w:val="17"/>
                <w:b w:val="1"/>
                <w:bCs w:val="1"/>
                <w:color w:val="998C87"/>
              </w:rPr>
              <w:t>Eric Hippeau</w:t>
            </w:r>
          </w:p>
        </w:tc>
        <w:tc>
          <w:tcPr>
            <w:tcW w:w="2740" w:type="dxa"/>
            <w:vAlign w:val="bottom"/>
          </w:tcPr>
          <w:p>
            <w:pPr>
              <w:ind w:left="1040"/>
              <w:spacing w:after="0"/>
              <w:rPr>
                <w:sz w:val="20"/>
                <w:szCs w:val="20"/>
                <w:color w:val="auto"/>
              </w:rPr>
            </w:pPr>
            <w:r>
              <w:rPr>
                <w:rFonts w:ascii="Arial" w:cs="Arial" w:eastAsia="Arial" w:hAnsi="Arial"/>
                <w:sz w:val="17"/>
                <w:szCs w:val="17"/>
                <w:b w:val="1"/>
                <w:bCs w:val="1"/>
                <w:color w:val="998C87"/>
                <w:w w:val="99"/>
              </w:rPr>
              <w:t>Steven S Reinemund</w:t>
            </w:r>
          </w:p>
        </w:tc>
      </w:tr>
      <w:tr>
        <w:trPr>
          <w:trHeight w:val="216"/>
        </w:trPr>
        <w:tc>
          <w:tcPr>
            <w:tcW w:w="2820" w:type="dxa"/>
            <w:vAlign w:val="bottom"/>
          </w:tcPr>
          <w:p>
            <w:pPr>
              <w:spacing w:after="0"/>
              <w:rPr>
                <w:sz w:val="20"/>
                <w:szCs w:val="20"/>
                <w:color w:val="auto"/>
              </w:rPr>
            </w:pPr>
            <w:r>
              <w:rPr>
                <w:rFonts w:ascii="Arial" w:cs="Arial" w:eastAsia="Arial" w:hAnsi="Arial"/>
                <w:sz w:val="17"/>
                <w:szCs w:val="17"/>
                <w:b w:val="1"/>
                <w:bCs w:val="1"/>
                <w:color w:val="998C87"/>
              </w:rPr>
              <w:t>Mary K. Bush</w:t>
            </w:r>
          </w:p>
        </w:tc>
        <w:tc>
          <w:tcPr>
            <w:tcW w:w="3620" w:type="dxa"/>
            <w:vAlign w:val="bottom"/>
          </w:tcPr>
          <w:p>
            <w:pPr>
              <w:ind w:left="920"/>
              <w:spacing w:after="0"/>
              <w:rPr>
                <w:sz w:val="20"/>
                <w:szCs w:val="20"/>
                <w:color w:val="auto"/>
              </w:rPr>
            </w:pPr>
            <w:r>
              <w:rPr>
                <w:rFonts w:ascii="Arial" w:cs="Arial" w:eastAsia="Arial" w:hAnsi="Arial"/>
                <w:sz w:val="17"/>
                <w:szCs w:val="17"/>
                <w:b w:val="1"/>
                <w:bCs w:val="1"/>
                <w:color w:val="998C87"/>
              </w:rPr>
              <w:t>Lawrence W. Kellner</w:t>
            </w:r>
          </w:p>
        </w:tc>
        <w:tc>
          <w:tcPr>
            <w:tcW w:w="2740" w:type="dxa"/>
            <w:vAlign w:val="bottom"/>
          </w:tcPr>
          <w:p>
            <w:pPr>
              <w:ind w:left="1040"/>
              <w:spacing w:after="0"/>
              <w:rPr>
                <w:sz w:val="20"/>
                <w:szCs w:val="20"/>
                <w:color w:val="auto"/>
              </w:rPr>
            </w:pPr>
            <w:r>
              <w:rPr>
                <w:rFonts w:ascii="Arial" w:cs="Arial" w:eastAsia="Arial" w:hAnsi="Arial"/>
                <w:sz w:val="17"/>
                <w:szCs w:val="17"/>
                <w:b w:val="1"/>
                <w:bCs w:val="1"/>
                <w:color w:val="998C87"/>
              </w:rPr>
              <w:t>W. Mitt Romney</w:t>
            </w:r>
          </w:p>
        </w:tc>
      </w:tr>
      <w:tr>
        <w:trPr>
          <w:trHeight w:val="216"/>
        </w:trPr>
        <w:tc>
          <w:tcPr>
            <w:tcW w:w="2820" w:type="dxa"/>
            <w:vAlign w:val="bottom"/>
          </w:tcPr>
          <w:p>
            <w:pPr>
              <w:spacing w:after="0"/>
              <w:rPr>
                <w:sz w:val="20"/>
                <w:szCs w:val="20"/>
                <w:color w:val="auto"/>
              </w:rPr>
            </w:pPr>
            <w:r>
              <w:rPr>
                <w:rFonts w:ascii="Arial" w:cs="Arial" w:eastAsia="Arial" w:hAnsi="Arial"/>
                <w:sz w:val="17"/>
                <w:szCs w:val="17"/>
                <w:b w:val="1"/>
                <w:bCs w:val="1"/>
                <w:color w:val="998C87"/>
              </w:rPr>
              <w:t>Bruce W. Duncan</w:t>
            </w:r>
          </w:p>
        </w:tc>
        <w:tc>
          <w:tcPr>
            <w:tcW w:w="3620" w:type="dxa"/>
            <w:vAlign w:val="bottom"/>
          </w:tcPr>
          <w:p>
            <w:pPr>
              <w:ind w:left="920"/>
              <w:spacing w:after="0"/>
              <w:rPr>
                <w:sz w:val="20"/>
                <w:szCs w:val="20"/>
                <w:color w:val="auto"/>
              </w:rPr>
            </w:pPr>
            <w:r>
              <w:rPr>
                <w:rFonts w:ascii="Arial" w:cs="Arial" w:eastAsia="Arial" w:hAnsi="Arial"/>
                <w:sz w:val="17"/>
                <w:szCs w:val="17"/>
                <w:b w:val="1"/>
                <w:bCs w:val="1"/>
                <w:color w:val="998C87"/>
              </w:rPr>
              <w:t>Debra L. Lee</w:t>
            </w:r>
          </w:p>
        </w:tc>
        <w:tc>
          <w:tcPr>
            <w:tcW w:w="2740" w:type="dxa"/>
            <w:vAlign w:val="bottom"/>
          </w:tcPr>
          <w:p>
            <w:pPr>
              <w:ind w:left="1040"/>
              <w:spacing w:after="0"/>
              <w:rPr>
                <w:sz w:val="20"/>
                <w:szCs w:val="20"/>
                <w:color w:val="auto"/>
              </w:rPr>
            </w:pPr>
            <w:r>
              <w:rPr>
                <w:rFonts w:ascii="Arial" w:cs="Arial" w:eastAsia="Arial" w:hAnsi="Arial"/>
                <w:sz w:val="17"/>
                <w:szCs w:val="17"/>
                <w:b w:val="1"/>
                <w:bCs w:val="1"/>
                <w:color w:val="998C87"/>
              </w:rPr>
              <w:t>Susan C. Schwab</w:t>
            </w:r>
          </w:p>
        </w:tc>
      </w:tr>
      <w:tr>
        <w:trPr>
          <w:trHeight w:val="216"/>
        </w:trPr>
        <w:tc>
          <w:tcPr>
            <w:tcW w:w="2820" w:type="dxa"/>
            <w:vAlign w:val="bottom"/>
          </w:tcPr>
          <w:p>
            <w:pPr>
              <w:spacing w:after="0"/>
              <w:rPr>
                <w:sz w:val="20"/>
                <w:szCs w:val="20"/>
                <w:color w:val="auto"/>
              </w:rPr>
            </w:pPr>
            <w:r>
              <w:rPr>
                <w:rFonts w:ascii="Arial" w:cs="Arial" w:eastAsia="Arial" w:hAnsi="Arial"/>
                <w:sz w:val="17"/>
                <w:szCs w:val="17"/>
                <w:b w:val="1"/>
                <w:bCs w:val="1"/>
                <w:color w:val="998C87"/>
              </w:rPr>
              <w:t>Deborah M. Harrison</w:t>
            </w:r>
          </w:p>
        </w:tc>
        <w:tc>
          <w:tcPr>
            <w:tcW w:w="3620" w:type="dxa"/>
            <w:vAlign w:val="bottom"/>
          </w:tcPr>
          <w:p>
            <w:pPr>
              <w:ind w:left="920"/>
              <w:spacing w:after="0"/>
              <w:rPr>
                <w:sz w:val="20"/>
                <w:szCs w:val="20"/>
                <w:color w:val="auto"/>
              </w:rPr>
            </w:pPr>
            <w:r>
              <w:rPr>
                <w:rFonts w:ascii="Arial" w:cs="Arial" w:eastAsia="Arial" w:hAnsi="Arial"/>
                <w:sz w:val="17"/>
                <w:szCs w:val="17"/>
                <w:b w:val="1"/>
                <w:bCs w:val="1"/>
                <w:color w:val="998C87"/>
              </w:rPr>
              <w:t>Aylwin B. Lewis</w:t>
            </w:r>
          </w:p>
        </w:tc>
        <w:tc>
          <w:tcPr>
            <w:tcW w:w="2740" w:type="dxa"/>
            <w:vAlign w:val="bottom"/>
          </w:tcPr>
          <w:p>
            <w:pPr>
              <w:ind w:left="1040"/>
              <w:spacing w:after="0"/>
              <w:rPr>
                <w:sz w:val="20"/>
                <w:szCs w:val="20"/>
                <w:color w:val="auto"/>
              </w:rPr>
            </w:pPr>
            <w:r>
              <w:rPr>
                <w:rFonts w:ascii="Arial" w:cs="Arial" w:eastAsia="Arial" w:hAnsi="Arial"/>
                <w:sz w:val="17"/>
                <w:szCs w:val="17"/>
                <w:b w:val="1"/>
                <w:bCs w:val="1"/>
                <w:color w:val="998C87"/>
              </w:rPr>
              <w:t>Arne M. Sorenson</w:t>
            </w:r>
          </w:p>
        </w:tc>
      </w:tr>
      <w:tr>
        <w:trPr>
          <w:trHeight w:val="243"/>
        </w:trPr>
        <w:tc>
          <w:tcPr>
            <w:tcW w:w="2820" w:type="dxa"/>
            <w:vAlign w:val="bottom"/>
          </w:tcPr>
          <w:p>
            <w:pPr>
              <w:spacing w:after="0"/>
              <w:rPr>
                <w:sz w:val="20"/>
                <w:szCs w:val="20"/>
                <w:color w:val="auto"/>
              </w:rPr>
            </w:pPr>
            <w:r>
              <w:rPr>
                <w:rFonts w:ascii="Arial" w:cs="Arial" w:eastAsia="Arial" w:hAnsi="Arial"/>
                <w:sz w:val="17"/>
                <w:szCs w:val="17"/>
                <w:b w:val="1"/>
                <w:bCs w:val="1"/>
                <w:color w:val="998C87"/>
              </w:rPr>
              <w:t>Frederick A. Henderson</w:t>
            </w:r>
          </w:p>
        </w:tc>
        <w:tc>
          <w:tcPr>
            <w:tcW w:w="3620" w:type="dxa"/>
            <w:vAlign w:val="bottom"/>
          </w:tcPr>
          <w:p>
            <w:pPr>
              <w:ind w:left="920"/>
              <w:spacing w:after="0"/>
              <w:rPr>
                <w:sz w:val="20"/>
                <w:szCs w:val="20"/>
                <w:color w:val="auto"/>
              </w:rPr>
            </w:pPr>
            <w:r>
              <w:rPr>
                <w:rFonts w:ascii="Arial" w:cs="Arial" w:eastAsia="Arial" w:hAnsi="Arial"/>
                <w:sz w:val="17"/>
                <w:szCs w:val="17"/>
                <w:b w:val="1"/>
                <w:bCs w:val="1"/>
                <w:color w:val="998C87"/>
              </w:rPr>
              <w:t>George Muñoz</w:t>
            </w:r>
          </w:p>
        </w:tc>
        <w:tc>
          <w:tcPr>
            <w:tcW w:w="2740" w:type="dxa"/>
            <w:vAlign w:val="bottom"/>
          </w:tcPr>
          <w:p>
            <w:pPr>
              <w:spacing w:after="0"/>
              <w:rPr>
                <w:sz w:val="21"/>
                <w:szCs w:val="21"/>
                <w:color w:val="auto"/>
              </w:rPr>
            </w:pPr>
          </w:p>
        </w:tc>
      </w:tr>
    </w:tbl>
    <w:p>
      <w:pPr>
        <w:spacing w:after="0" w:line="8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You can find information on the director nominees beginning on page 19.</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Ability to Serve</w:t>
      </w:r>
    </w:p>
    <w:p>
      <w:pPr>
        <w:spacing w:after="0" w:line="103" w:lineRule="exact"/>
        <w:rPr>
          <w:sz w:val="20"/>
          <w:szCs w:val="20"/>
          <w:color w:val="auto"/>
        </w:rPr>
      </w:pPr>
    </w:p>
    <w:p>
      <w:pPr>
        <w:ind w:left="220" w:right="40"/>
        <w:spacing w:after="0" w:line="246" w:lineRule="auto"/>
        <w:rPr>
          <w:sz w:val="20"/>
          <w:szCs w:val="20"/>
          <w:color w:val="auto"/>
        </w:rPr>
      </w:pPr>
      <w:r>
        <w:rPr>
          <w:rFonts w:ascii="Arial" w:cs="Arial" w:eastAsia="Arial" w:hAnsi="Arial"/>
          <w:sz w:val="17"/>
          <w:szCs w:val="17"/>
          <w:color w:val="auto"/>
        </w:rPr>
        <w:t>Each of the director nominees has consented to being named in this proxy statement and to serve if elected. However, if before proxies are voted at the annual meeting any of the nominees should become unable to serve or will not serve as a director, the Board may designate a substitute nominee or reduce the size of the Board. If the Board designates a substitute nominee, the persons named as proxies will vote “FOR” that substitute nominee.</w:t>
      </w:r>
    </w:p>
    <w:p>
      <w:pPr>
        <w:spacing w:after="0" w:line="141"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Voting Standard for Election</w:t>
      </w:r>
    </w:p>
    <w:p>
      <w:pPr>
        <w:spacing w:after="0" w:line="103" w:lineRule="exact"/>
        <w:rPr>
          <w:sz w:val="20"/>
          <w:szCs w:val="20"/>
          <w:color w:val="auto"/>
        </w:rPr>
      </w:pPr>
    </w:p>
    <w:p>
      <w:pPr>
        <w:ind w:left="220" w:right="40"/>
        <w:spacing w:after="0" w:line="253" w:lineRule="auto"/>
        <w:rPr>
          <w:sz w:val="20"/>
          <w:szCs w:val="20"/>
          <w:color w:val="auto"/>
        </w:rPr>
      </w:pPr>
      <w:r>
        <w:rPr>
          <w:rFonts w:ascii="Arial" w:cs="Arial" w:eastAsia="Arial" w:hAnsi="Arial"/>
          <w:sz w:val="17"/>
          <w:szCs w:val="17"/>
          <w:color w:val="auto"/>
        </w:rPr>
        <w:t>The Company’s Amended and Restated Bylaws (“Bylaws”) prescribe the voting standard for election of directors as a majority of the votes cast in an uncontested election, such as this one, where the number of nominees does not exceed the number of directors to be elected. Under this standard, a nominee must receive more “FOR” votes than “AGAINST” votes in order to be elected as a director.</w:t>
      </w:r>
    </w:p>
    <w:p>
      <w:pPr>
        <w:spacing w:after="0" w:line="56" w:lineRule="exact"/>
        <w:rPr>
          <w:sz w:val="20"/>
          <w:szCs w:val="20"/>
          <w:color w:val="auto"/>
        </w:rPr>
      </w:pPr>
    </w:p>
    <w:p>
      <w:pPr>
        <w:ind w:left="220" w:right="20"/>
        <w:spacing w:after="0"/>
        <w:rPr>
          <w:sz w:val="20"/>
          <w:szCs w:val="20"/>
          <w:color w:val="auto"/>
        </w:rPr>
      </w:pPr>
      <w:r>
        <w:rPr>
          <w:rFonts w:ascii="Arial" w:cs="Arial" w:eastAsia="Arial" w:hAnsi="Arial"/>
          <w:sz w:val="17"/>
          <w:szCs w:val="17"/>
          <w:color w:val="auto"/>
        </w:rPr>
        <w:t>In a contested election, where the number of nominees exceeds the number of directors to be elected (which is not the case at the 2018 annual meeting), the directors will be elected by a plurality of the shares present in person or by proxy and entitled to vote on the election of directors. Under the Company’s Governance Principles, if a nominee who already serves as a director is not elected, that nominee shall tender his or her resignation to the Board. The Nominating and Corporate Governance Committee will then recommend to the Board whether to accept or reject the resignation, or whether other action should be taken. Within 90 days of the certification of election results, the Board will determine whether to accept or reject the resignation and will publicly disclose its decision promptly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146685</wp:posOffset>
            </wp:positionV>
            <wp:extent cx="6989445" cy="1797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89445" cy="179705"/>
                    </a:xfrm>
                    <a:prstGeom prst="rect">
                      <a:avLst/>
                    </a:prstGeom>
                    <a:noFill/>
                  </pic:spPr>
                </pic:pic>
              </a:graphicData>
            </a:graphic>
          </wp:anchor>
        </w:drawing>
      </w:r>
    </w:p>
    <w:p>
      <w:pPr>
        <w:spacing w:after="0" w:line="21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998C87"/>
        </w:rPr>
        <w:t>The Board recommends a vote FOR each of the 14 director nominees.</w:t>
      </w:r>
    </w:p>
    <w:p>
      <w:pPr>
        <w:spacing w:after="0" w:line="336"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ITEM 2 – Ratification of Appointment of Independent Registered Public Accounting Firm</w:t>
      </w:r>
    </w:p>
    <w:p>
      <w:pPr>
        <w:spacing w:after="0" w:line="104" w:lineRule="exact"/>
        <w:rPr>
          <w:sz w:val="20"/>
          <w:szCs w:val="20"/>
          <w:color w:val="auto"/>
        </w:rPr>
      </w:pPr>
    </w:p>
    <w:p>
      <w:pPr>
        <w:jc w:val="both"/>
        <w:ind w:left="220" w:right="140"/>
        <w:spacing w:after="0" w:line="246" w:lineRule="auto"/>
        <w:rPr>
          <w:sz w:val="20"/>
          <w:szCs w:val="20"/>
          <w:color w:val="auto"/>
        </w:rPr>
      </w:pPr>
      <w:r>
        <w:rPr>
          <w:rFonts w:ascii="Arial" w:cs="Arial" w:eastAsia="Arial" w:hAnsi="Arial"/>
          <w:sz w:val="17"/>
          <w:szCs w:val="17"/>
          <w:color w:val="auto"/>
        </w:rPr>
        <w:t>The Audit Committee of the Board has appointed Ernst &amp; Young LLP as the Company’s independent registered public accounting firm for fiscal year 2018. Ernst &amp; Young LLP, a registered public accounting firm, has served as the Company’s independent registered public accounting firm since May 3, 2002. Ernst &amp; Young LLP will examine and report to stockholders on the consolidated financial statements and the effectiveness of internal control over financial reporting of the Company and its subsidiaries.</w:t>
      </w:r>
    </w:p>
    <w:p>
      <w:pPr>
        <w:spacing w:after="0" w:line="62" w:lineRule="exact"/>
        <w:rPr>
          <w:sz w:val="20"/>
          <w:szCs w:val="20"/>
          <w:color w:val="auto"/>
        </w:rPr>
      </w:pPr>
    </w:p>
    <w:p>
      <w:pPr>
        <w:ind w:left="220" w:right="140"/>
        <w:spacing w:after="0"/>
        <w:rPr>
          <w:sz w:val="20"/>
          <w:szCs w:val="20"/>
          <w:color w:val="auto"/>
        </w:rPr>
      </w:pPr>
      <w:r>
        <w:rPr>
          <w:rFonts w:ascii="Arial" w:cs="Arial" w:eastAsia="Arial" w:hAnsi="Arial"/>
          <w:sz w:val="17"/>
          <w:szCs w:val="17"/>
          <w:color w:val="auto"/>
        </w:rPr>
        <w:t>We expect that representatives of Ernst &amp; Young LLP will be present at the annual meeting, have an opportunity to make a statement if they so desire, and be available to respond to appropriate questions. You can find information on pre-approval of independent auditor fees and Ernst &amp; Young LLP’s fiscal years 2017 and 2016 fees beginning on page 31. Although the Audit Committee has discretionary authority to appoint the independent auditors, the Board is seeking stockholder ratification of the appointment of the independent auditors as a matter of good corporate governance. If the stockholders do not ratify the appointment of Ernst &amp; Young LLP, the Audit Committee will take that into consideration when determining whether to continue the firm’s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146685</wp:posOffset>
            </wp:positionV>
            <wp:extent cx="6989445" cy="3086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89445" cy="308610"/>
                    </a:xfrm>
                    <a:prstGeom prst="rect">
                      <a:avLst/>
                    </a:prstGeom>
                    <a:noFill/>
                  </pic:spPr>
                </pic:pic>
              </a:graphicData>
            </a:graphic>
          </wp:anchor>
        </w:drawing>
      </w:r>
    </w:p>
    <w:p>
      <w:pPr>
        <w:spacing w:after="0" w:line="21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998C87"/>
        </w:rPr>
        <w:t>The Board recommends a vote FOR ratification of the appointment of Ernst &amp; Young LLP as</w:t>
      </w:r>
    </w:p>
    <w:p>
      <w:pPr>
        <w:spacing w:after="0" w:line="1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998C87"/>
        </w:rPr>
        <w:t>the Company’s independent registered public accounting firm for fiscal year 2018.</w:t>
      </w:r>
    </w:p>
    <w:p>
      <w:pPr>
        <w:spacing w:after="0" w:line="175" w:lineRule="exact"/>
        <w:rPr>
          <w:sz w:val="20"/>
          <w:szCs w:val="20"/>
          <w:color w:val="auto"/>
        </w:rPr>
      </w:pPr>
    </w:p>
    <w:p>
      <w:pPr>
        <w:ind w:left="600" w:hanging="390"/>
        <w:spacing w:after="0"/>
        <w:tabs>
          <w:tab w:leader="none" w:pos="600" w:val="left"/>
        </w:tabs>
        <w:numPr>
          <w:ilvl w:val="0"/>
          <w:numId w:val="48"/>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00"/>
          </w:cols>
          <w:pgMar w:left="240" w:top="455" w:right="4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Items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ITEM 3 – Advisory Resolution to Approve Executive Compensation</w:t>
      </w:r>
    </w:p>
    <w:p>
      <w:pPr>
        <w:spacing w:after="0" w:line="104" w:lineRule="exact"/>
        <w:rPr>
          <w:sz w:val="20"/>
          <w:szCs w:val="20"/>
          <w:color w:val="auto"/>
        </w:rPr>
      </w:pPr>
    </w:p>
    <w:p>
      <w:pPr>
        <w:ind w:left="220" w:right="360"/>
        <w:spacing w:after="0" w:line="274" w:lineRule="auto"/>
        <w:rPr>
          <w:sz w:val="20"/>
          <w:szCs w:val="20"/>
          <w:color w:val="auto"/>
        </w:rPr>
      </w:pPr>
      <w:r>
        <w:rPr>
          <w:rFonts w:ascii="Arial" w:cs="Arial" w:eastAsia="Arial" w:hAnsi="Arial"/>
          <w:sz w:val="17"/>
          <w:szCs w:val="17"/>
          <w:color w:val="auto"/>
        </w:rPr>
        <w:t>We are asking stockholders to approve a non-binding advisory resolution on the compensation of our Named Executive Officers (“NEOs”), as disclosed in this proxy statement.</w:t>
      </w:r>
    </w:p>
    <w:p>
      <w:pPr>
        <w:spacing w:after="0" w:line="39" w:lineRule="exact"/>
        <w:rPr>
          <w:sz w:val="20"/>
          <w:szCs w:val="20"/>
          <w:color w:val="auto"/>
        </w:rPr>
      </w:pPr>
    </w:p>
    <w:p>
      <w:pPr>
        <w:ind w:left="220" w:right="80"/>
        <w:spacing w:after="0" w:line="242" w:lineRule="auto"/>
        <w:rPr>
          <w:sz w:val="20"/>
          <w:szCs w:val="20"/>
          <w:color w:val="auto"/>
        </w:rPr>
      </w:pPr>
      <w:r>
        <w:rPr>
          <w:rFonts w:ascii="Arial" w:cs="Arial" w:eastAsia="Arial" w:hAnsi="Arial"/>
          <w:sz w:val="17"/>
          <w:szCs w:val="17"/>
          <w:color w:val="auto"/>
        </w:rPr>
        <w:t>Although the resolution, commonly referred to as a “say-on-pay” resolution, is non-binding, our Board of Directors and Compensation Policy Committee value your opinions and will consider the outcome of the vote when making future compensation decisions. After consideration of the vote of stockholders at the 2017 annual meeting of stockholders and consistent with the Board’s recommendation, the Board’s current policy is to hold an advisory vote on executive compensation on an annual basis, and accordingly, after the 2018 annual meeting, the next advisory vote on the compensation of our NEOs is expected to occur at our 2019 annual meeting of stockholders.</w:t>
      </w:r>
    </w:p>
    <w:p>
      <w:pPr>
        <w:spacing w:after="0" w:line="67" w:lineRule="exact"/>
        <w:rPr>
          <w:sz w:val="20"/>
          <w:szCs w:val="20"/>
          <w:color w:val="auto"/>
        </w:rPr>
      </w:pPr>
    </w:p>
    <w:p>
      <w:pPr>
        <w:ind w:left="220" w:right="60"/>
        <w:spacing w:after="0" w:line="246" w:lineRule="auto"/>
        <w:rPr>
          <w:sz w:val="20"/>
          <w:szCs w:val="20"/>
          <w:color w:val="auto"/>
        </w:rPr>
      </w:pPr>
      <w:r>
        <w:rPr>
          <w:rFonts w:ascii="Arial" w:cs="Arial" w:eastAsia="Arial" w:hAnsi="Arial"/>
          <w:sz w:val="17"/>
          <w:szCs w:val="17"/>
          <w:color w:val="auto"/>
        </w:rPr>
        <w:t>We urge you to read the Compensation Discussion and Analysis (“CD&amp;A”) beginning on page 33 of this proxy statement, which describes in detail how our executive compensation policies and procedures operate and are designed to achieve our compensation objectives, as well as the Summary Compensation Table and other related compensation tables and narrative, appearing on pages 45 through 57 which provide detailed information on the compensation of our NEOs.</w:t>
      </w:r>
    </w:p>
    <w:p>
      <w:pPr>
        <w:spacing w:after="0" w:line="62" w:lineRule="exact"/>
        <w:rPr>
          <w:sz w:val="20"/>
          <w:szCs w:val="20"/>
          <w:color w:val="auto"/>
        </w:rPr>
      </w:pPr>
    </w:p>
    <w:p>
      <w:pPr>
        <w:ind w:left="220" w:right="40"/>
        <w:spacing w:after="0" w:line="253" w:lineRule="auto"/>
        <w:rPr>
          <w:sz w:val="20"/>
          <w:szCs w:val="20"/>
          <w:color w:val="auto"/>
        </w:rPr>
      </w:pPr>
      <w:r>
        <w:rPr>
          <w:rFonts w:ascii="Arial" w:cs="Arial" w:eastAsia="Arial" w:hAnsi="Arial"/>
          <w:sz w:val="17"/>
          <w:szCs w:val="17"/>
          <w:color w:val="auto"/>
        </w:rPr>
        <w:t>The Board believes that our current executive compensation program achieves an appropriate balance of long- and short-term performance incentives, reinforces the link between executive pay and the Company’s long-term performance and stock value, and thereby aligns the interests of our NEOs with those of stockholders.</w:t>
      </w:r>
    </w:p>
    <w:p>
      <w:pPr>
        <w:spacing w:after="0" w:line="56" w:lineRule="exact"/>
        <w:rPr>
          <w:sz w:val="20"/>
          <w:szCs w:val="20"/>
          <w:color w:val="auto"/>
        </w:rPr>
      </w:pPr>
    </w:p>
    <w:p>
      <w:pPr>
        <w:ind w:left="220" w:right="320"/>
        <w:spacing w:after="0" w:line="274" w:lineRule="auto"/>
        <w:rPr>
          <w:sz w:val="20"/>
          <w:szCs w:val="20"/>
          <w:color w:val="auto"/>
        </w:rPr>
      </w:pPr>
      <w:r>
        <w:rPr>
          <w:rFonts w:ascii="Arial" w:cs="Arial" w:eastAsia="Arial" w:hAnsi="Arial"/>
          <w:sz w:val="17"/>
          <w:szCs w:val="17"/>
          <w:color w:val="auto"/>
        </w:rPr>
        <w:t>In accordance with Section 14A of the Securities Exchange Act of 1934, as amended (the “Exchange Act”), and as a matter of good corporate governance, we are asking stockholders to approve the following advisory resolution at the 2018 annual meeting:</w:t>
      </w:r>
    </w:p>
    <w:p>
      <w:pPr>
        <w:spacing w:after="0" w:line="39" w:lineRule="exact"/>
        <w:rPr>
          <w:sz w:val="20"/>
          <w:szCs w:val="20"/>
          <w:color w:val="auto"/>
        </w:rPr>
      </w:pPr>
    </w:p>
    <w:p>
      <w:pPr>
        <w:jc w:val="both"/>
        <w:ind w:left="660" w:right="200"/>
        <w:spacing w:after="0" w:line="253" w:lineRule="auto"/>
        <w:rPr>
          <w:sz w:val="20"/>
          <w:szCs w:val="20"/>
          <w:color w:val="auto"/>
        </w:rPr>
      </w:pPr>
      <w:r>
        <w:rPr>
          <w:rFonts w:ascii="Arial" w:cs="Arial" w:eastAsia="Arial" w:hAnsi="Arial"/>
          <w:sz w:val="17"/>
          <w:szCs w:val="17"/>
          <w:color w:val="auto"/>
        </w:rPr>
        <w:t>RESOLVED, that the stockholders of Marriott International, Inc. (the “Company”) approve, on an advisory basis, the compensation of the Company’s named executive officers disclosed in the Compensation Discussion and Analysis, the Summary Compensation Table and the related compensation tables, notes and narrative in the Proxy Statement for the Company’s 2018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139065</wp:posOffset>
            </wp:positionV>
            <wp:extent cx="6989445" cy="1885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89445" cy="188595"/>
                    </a:xfrm>
                    <a:prstGeom prst="rect">
                      <a:avLst/>
                    </a:prstGeom>
                    <a:noFill/>
                  </pic:spPr>
                </pic:pic>
              </a:graphicData>
            </a:graphic>
          </wp:anchor>
        </w:drawing>
      </w:r>
    </w:p>
    <w:p>
      <w:pPr>
        <w:spacing w:after="0" w:line="215"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998C87"/>
        </w:rPr>
        <w:t>The Board recommends that you vote FOR approval of the advisory resolution on executive compensation.</w:t>
      </w:r>
    </w:p>
    <w:p>
      <w:pPr>
        <w:spacing w:after="0" w:line="363" w:lineRule="exact"/>
        <w:rPr>
          <w:sz w:val="20"/>
          <w:szCs w:val="20"/>
          <w:color w:val="auto"/>
        </w:rPr>
      </w:pPr>
    </w:p>
    <w:p>
      <w:pPr>
        <w:ind w:left="220" w:right="520"/>
        <w:spacing w:after="0" w:line="266" w:lineRule="auto"/>
        <w:rPr>
          <w:sz w:val="20"/>
          <w:szCs w:val="20"/>
          <w:color w:val="auto"/>
        </w:rPr>
      </w:pPr>
      <w:r>
        <w:rPr>
          <w:rFonts w:ascii="Arial" w:cs="Arial" w:eastAsia="Arial" w:hAnsi="Arial"/>
          <w:sz w:val="22"/>
          <w:szCs w:val="22"/>
          <w:color w:val="7F7F7F"/>
        </w:rPr>
        <w:t>ITEM 4 – Approval of Proposed Amendments to our Restated Certificate of Incorporation and Bylaws Allowing Stockholders to Call Special Meetings of the Stockholders</w:t>
      </w:r>
    </w:p>
    <w:p>
      <w:pPr>
        <w:spacing w:after="0" w:line="39" w:lineRule="exact"/>
        <w:rPr>
          <w:sz w:val="20"/>
          <w:szCs w:val="20"/>
          <w:color w:val="auto"/>
        </w:rPr>
      </w:pPr>
    </w:p>
    <w:p>
      <w:pPr>
        <w:ind w:left="220" w:right="60"/>
        <w:spacing w:after="0" w:line="239" w:lineRule="auto"/>
        <w:rPr>
          <w:sz w:val="20"/>
          <w:szCs w:val="20"/>
          <w:color w:val="auto"/>
        </w:rPr>
      </w:pPr>
      <w:r>
        <w:rPr>
          <w:rFonts w:ascii="Arial" w:cs="Arial" w:eastAsia="Arial" w:hAnsi="Arial"/>
          <w:sz w:val="17"/>
          <w:szCs w:val="17"/>
          <w:color w:val="auto"/>
        </w:rPr>
        <w:t>Our Board of Directors has unanimously adopted, and recommends that our stockholders approve, amendments to our Restated Certificate of Incorporation (the “Certificate”) and Bylaws to allow one or more stockholders owning shares representing at least 25% of the voting power of all outstanding shares of Class A common stock of the Company who comply with all of the requirements set forth in our Bylaws to require the Company to call a special meeting of the stockholders (the “Company’s Special Meeting Proposal”). Stockholders do not presently have the right to call a special meeting of the stockholders. The relevant sections of the Certificate and the Bylaws, which are substantially similar to each other, are attached as Exhibit A. This summary of the proposed amendments to the Certificate and the Bylaws is qualified in its entirety by reference to Exhibit A.</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7F7F7F"/>
        </w:rPr>
        <w:t>The Company’s Special Meeting Proposal</w:t>
      </w:r>
    </w:p>
    <w:p>
      <w:pPr>
        <w:spacing w:after="0" w:line="99" w:lineRule="exact"/>
        <w:rPr>
          <w:sz w:val="20"/>
          <w:szCs w:val="20"/>
          <w:color w:val="auto"/>
        </w:rPr>
      </w:pPr>
    </w:p>
    <w:p>
      <w:pPr>
        <w:ind w:left="220" w:right="200"/>
        <w:spacing w:after="0" w:line="253" w:lineRule="auto"/>
        <w:rPr>
          <w:sz w:val="20"/>
          <w:szCs w:val="20"/>
          <w:color w:val="auto"/>
        </w:rPr>
      </w:pPr>
      <w:r>
        <w:rPr>
          <w:rFonts w:ascii="Arial" w:cs="Arial" w:eastAsia="Arial" w:hAnsi="Arial"/>
          <w:sz w:val="17"/>
          <w:szCs w:val="17"/>
          <w:color w:val="auto"/>
        </w:rPr>
        <w:t>If the Company’s Special Meeting Proposal is approved by stockholders and becomes effective (as described below), the Certificate and the Bylaws will be amended to provide that the Company is required to call a special meeting of the stockholders upon the written request of one or more stockholders who:</w:t>
      </w:r>
    </w:p>
    <w:p>
      <w:pPr>
        <w:spacing w:after="0" w:line="70" w:lineRule="exact"/>
        <w:rPr>
          <w:sz w:val="20"/>
          <w:szCs w:val="20"/>
          <w:color w:val="auto"/>
        </w:rPr>
      </w:pPr>
    </w:p>
    <w:p>
      <w:pPr>
        <w:ind w:left="420" w:hanging="210"/>
        <w:spacing w:after="0"/>
        <w:tabs>
          <w:tab w:leader="none" w:pos="4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own shares representing at least 25% of the voting power of all outstanding shares of Class A common stock of the Company; and</w:t>
      </w:r>
    </w:p>
    <w:p>
      <w:pPr>
        <w:spacing w:after="0" w:line="114" w:lineRule="exact"/>
        <w:rPr>
          <w:rFonts w:ascii="Arial" w:cs="Arial" w:eastAsia="Arial" w:hAnsi="Arial"/>
          <w:sz w:val="17"/>
          <w:szCs w:val="17"/>
          <w:color w:val="auto"/>
        </w:rPr>
      </w:pPr>
    </w:p>
    <w:p>
      <w:pPr>
        <w:ind w:left="420" w:right="40" w:hanging="210"/>
        <w:spacing w:after="0" w:line="253" w:lineRule="auto"/>
        <w:tabs>
          <w:tab w:leader="none" w:pos="4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comply with the other requirements and procedures for stockholder-requested special meetings set forth in the Bylaws from time to time, including the requirements and procedures to be adopted by the Board through the Additional Special Meeting Bylaw Amendments (as defined below).</w:t>
      </w:r>
    </w:p>
    <w:p>
      <w:pPr>
        <w:spacing w:after="0" w:line="5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 xml:space="preserve">The Board unanimously recommends that you vote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Company’s Special Meeting Proposal.</w:t>
      </w:r>
    </w:p>
    <w:p>
      <w:pPr>
        <w:spacing w:after="0" w:line="149" w:lineRule="exact"/>
        <w:rPr>
          <w:sz w:val="20"/>
          <w:szCs w:val="20"/>
          <w:color w:val="auto"/>
        </w:rPr>
      </w:pPr>
    </w:p>
    <w:tbl>
      <w:tblPr>
        <w:tblLayout w:type="fixed"/>
        <w:tblInd w:w="9260" w:type="dxa"/>
        <w:tblCellMar>
          <w:top w:w="0" w:type="dxa"/>
          <w:left w:w="0" w:type="dxa"/>
          <w:bottom w:w="0" w:type="dxa"/>
          <w:right w:w="0" w:type="dxa"/>
        </w:tblCellMar>
      </w:tblPr>
      <w:tr>
        <w:trPr>
          <w:trHeight w:val="214"/>
        </w:trPr>
        <w:tc>
          <w:tcPr>
            <w:tcW w:w="1660" w:type="dxa"/>
            <w:vAlign w:val="bottom"/>
          </w:tcPr>
          <w:p>
            <w:pPr>
              <w:spacing w:after="0"/>
              <w:rPr>
                <w:sz w:val="20"/>
                <w:szCs w:val="20"/>
                <w:color w:val="auto"/>
              </w:rPr>
            </w:pPr>
            <w:r>
              <w:rPr>
                <w:rFonts w:ascii="Arial" w:cs="Arial" w:eastAsia="Arial" w:hAnsi="Arial"/>
                <w:sz w:val="15"/>
                <w:szCs w:val="15"/>
                <w:color w:val="998C87"/>
              </w:rPr>
              <w:t>2018 Proxy Statement</w:t>
            </w:r>
          </w:p>
        </w:tc>
        <w:tc>
          <w:tcPr>
            <w:tcW w:w="240" w:type="dxa"/>
            <w:vAlign w:val="bottom"/>
          </w:tcPr>
          <w:p>
            <w:pPr>
              <w:jc w:val="right"/>
              <w:spacing w:after="0"/>
              <w:rPr>
                <w:sz w:val="20"/>
                <w:szCs w:val="20"/>
                <w:color w:val="auto"/>
              </w:rPr>
            </w:pPr>
            <w:r>
              <w:rPr>
                <w:rFonts w:ascii="Arial" w:cs="Arial" w:eastAsia="Arial" w:hAnsi="Arial"/>
                <w:sz w:val="15"/>
                <w:szCs w:val="15"/>
                <w:b w:val="1"/>
                <w:bCs w:val="1"/>
                <w:color w:val="7F7F7F"/>
              </w:rPr>
              <w:t>9</w:t>
            </w:r>
          </w:p>
        </w:tc>
      </w:tr>
    </w:tbl>
    <w:p>
      <w:pPr>
        <w:sectPr>
          <w:pgSz w:w="11900" w:h="16838" w:orient="portrait"/>
          <w:cols w:equalWidth="0" w:num="1">
            <w:col w:w="11220"/>
          </w:cols>
          <w:pgMar w:left="240" w:top="455" w:right="4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ind w:left="220"/>
        <w:spacing w:after="0"/>
        <w:rPr>
          <w:sz w:val="20"/>
          <w:szCs w:val="20"/>
          <w:color w:val="auto"/>
        </w:rPr>
      </w:pPr>
      <w:r>
        <w:rPr>
          <w:rFonts w:ascii="Arial" w:cs="Arial" w:eastAsia="Arial" w:hAnsi="Arial"/>
          <w:sz w:val="15"/>
          <w:szCs w:val="15"/>
          <w:color w:val="7F7F7F"/>
        </w:rPr>
        <w:t>Items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7F7F7F"/>
        </w:rPr>
        <w:t>Purpose and Effect of the Company’s Special Meeting Proposal</w:t>
      </w:r>
    </w:p>
    <w:p>
      <w:pPr>
        <w:spacing w:after="0" w:line="99" w:lineRule="exact"/>
        <w:rPr>
          <w:sz w:val="20"/>
          <w:szCs w:val="20"/>
          <w:color w:val="auto"/>
        </w:rPr>
      </w:pPr>
    </w:p>
    <w:p>
      <w:pPr>
        <w:ind w:left="220" w:right="20"/>
        <w:spacing w:after="0" w:line="242" w:lineRule="auto"/>
        <w:rPr>
          <w:sz w:val="20"/>
          <w:szCs w:val="20"/>
          <w:color w:val="auto"/>
        </w:rPr>
      </w:pPr>
      <w:r>
        <w:rPr>
          <w:rFonts w:ascii="Arial" w:cs="Arial" w:eastAsia="Arial" w:hAnsi="Arial"/>
          <w:sz w:val="17"/>
          <w:szCs w:val="17"/>
          <w:color w:val="auto"/>
        </w:rPr>
        <w:t>The Company’s Special Meeting Proposal is a result of the Board’s ongoing review of our Governance Principles and a review of the policies and preferences of certain of our significant stockholders, as well as a review of the stockholder proposal included in Item 5 below (the “Stockholder Special Meeting Proposal”). In developing the Company’s Special Meeting Proposal, the Board (including all members of the Nominating and Corporate Governance Committee) carefully considered the implications of amending our Certificate and Bylaws to grant stockholders the right to require the Company to call a special meeting.</w:t>
      </w:r>
    </w:p>
    <w:p>
      <w:pPr>
        <w:spacing w:after="0" w:line="67" w:lineRule="exact"/>
        <w:rPr>
          <w:sz w:val="20"/>
          <w:szCs w:val="20"/>
          <w:color w:val="auto"/>
        </w:rPr>
      </w:pPr>
    </w:p>
    <w:p>
      <w:pPr>
        <w:ind w:left="220"/>
        <w:spacing w:after="0" w:line="237" w:lineRule="auto"/>
        <w:rPr>
          <w:sz w:val="20"/>
          <w:szCs w:val="20"/>
          <w:color w:val="auto"/>
        </w:rPr>
      </w:pPr>
      <w:r>
        <w:rPr>
          <w:rFonts w:ascii="Arial" w:cs="Arial" w:eastAsia="Arial" w:hAnsi="Arial"/>
          <w:sz w:val="17"/>
          <w:szCs w:val="17"/>
          <w:color w:val="auto"/>
        </w:rPr>
        <w:t>The Board believes that the Company’s Special Meeting Proposal strikes an appropriate balance between enhancing stockholder rights and adequately protecting stockholder interests. The Board recognizes that providing stockholders the ability to call special meetings is viewed by some stockholders as an important corporate governance practice. However, special meetings of the stockholders can be potentially disruptive to business operations and to long-term stockholder interests and can cause the Company to incur substantial expenses. Accordingly, the Board believes that the proposed 25% threshold for calling special meetings of the stockholders will help provide that these meetings are extraordinary events. In addition, the Board believes that stockholder-called special meetings should not be held in close proximity to an annual meeting or when the matters to be addressed have been recently considered or are planned to be considered at another meeting. The Board would continue to have the ability to call special meetings of the stockholders in other instances when, in the exercise of their fiduciary obligations, they determine it is appropriate.</w:t>
      </w:r>
    </w:p>
    <w:p>
      <w:pPr>
        <w:spacing w:after="0" w:line="70" w:lineRule="exact"/>
        <w:rPr>
          <w:sz w:val="20"/>
          <w:szCs w:val="20"/>
          <w:color w:val="auto"/>
        </w:rPr>
      </w:pPr>
    </w:p>
    <w:p>
      <w:pPr>
        <w:ind w:left="220" w:right="180"/>
        <w:spacing w:after="0"/>
        <w:rPr>
          <w:sz w:val="20"/>
          <w:szCs w:val="20"/>
          <w:color w:val="auto"/>
        </w:rPr>
      </w:pPr>
      <w:r>
        <w:rPr>
          <w:rFonts w:ascii="Arial" w:cs="Arial" w:eastAsia="Arial" w:hAnsi="Arial"/>
          <w:sz w:val="17"/>
          <w:szCs w:val="17"/>
          <w:color w:val="auto"/>
        </w:rPr>
        <w:t>The Board determined to include a 25% threshold in the Company’s Special Meeting Proposal based on several factors. First, the Company maintains robust governance practices that promote Board accountability, including a market-standard proxy access right that permits stockholders to include their director nominees in the Company’s proxy statement and majority voting in uncontested director elections, with a resignation policy mandating that directors who fail to receive the required majority vote tender their resignation for consideration by the Board. Second, the Company considered benchmarking against other public companies and the Company’s direct peers, which indicated that the 25% threshold is lower than or the same as the most prevalent special meeting threshold adopted by those companies.</w:t>
      </w:r>
    </w:p>
    <w:p>
      <w:pPr>
        <w:spacing w:after="0" w:line="68" w:lineRule="exact"/>
        <w:rPr>
          <w:sz w:val="20"/>
          <w:szCs w:val="20"/>
          <w:color w:val="auto"/>
        </w:rPr>
      </w:pPr>
    </w:p>
    <w:p>
      <w:pPr>
        <w:ind w:left="220" w:right="100"/>
        <w:spacing w:after="0" w:line="250" w:lineRule="auto"/>
        <w:rPr>
          <w:sz w:val="20"/>
          <w:szCs w:val="20"/>
          <w:color w:val="auto"/>
        </w:rPr>
      </w:pPr>
      <w:r>
        <w:rPr>
          <w:rFonts w:ascii="Arial" w:cs="Arial" w:eastAsia="Arial" w:hAnsi="Arial"/>
          <w:sz w:val="17"/>
          <w:szCs w:val="17"/>
          <w:color w:val="auto"/>
        </w:rPr>
        <w:t xml:space="preserve">In light of these considerations, the Board, upon recommendation of the Nominating and Corporate Governance Committee, adopted resolutions declaring it advisable to amend the Certificate and Bylaws in accordance with this proposal and unanimously resolved to submit these amendments, which comprise the Company’s Special Meeting Proposal, to our stockholders for consideration and to recommend that stockholders vote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Company’s Special Meeting Proposal.</w:t>
      </w:r>
    </w:p>
    <w:p>
      <w:pPr>
        <w:spacing w:after="0" w:line="159"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7F7F7F"/>
        </w:rPr>
        <w:t>Overview of Related Changes to the Bylaws</w:t>
      </w:r>
    </w:p>
    <w:p>
      <w:pPr>
        <w:spacing w:after="0" w:line="99" w:lineRule="exact"/>
        <w:rPr>
          <w:sz w:val="20"/>
          <w:szCs w:val="20"/>
          <w:color w:val="auto"/>
        </w:rPr>
      </w:pPr>
    </w:p>
    <w:p>
      <w:pPr>
        <w:jc w:val="both"/>
        <w:ind w:left="220" w:right="140"/>
        <w:spacing w:after="0" w:line="246" w:lineRule="auto"/>
        <w:rPr>
          <w:sz w:val="20"/>
          <w:szCs w:val="20"/>
          <w:color w:val="auto"/>
        </w:rPr>
      </w:pPr>
      <w:r>
        <w:rPr>
          <w:rFonts w:ascii="Arial" w:cs="Arial" w:eastAsia="Arial" w:hAnsi="Arial"/>
          <w:sz w:val="17"/>
          <w:szCs w:val="17"/>
          <w:color w:val="auto"/>
        </w:rPr>
        <w:t>If the Company’s Special Meeting Proposal is approved by the stockholders and the Certificate is filed with the Secretary of State of the State of Delaware, the Board expects to further amend the Bylaws to specify the procedures for stockholder-called special meetings, substantially in the form attached as Exhibit B. Set forth below is a summary of the amendments the Board expects to adopt (the “Additional Special Meeting Bylaw Amendments”). This summary of the Additional Special Meeting Bylaw Amendments is qualified in its entirety by reference to Exhibit B.</w:t>
      </w:r>
    </w:p>
    <w:p>
      <w:pPr>
        <w:spacing w:after="0" w:line="172"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7F7F7F"/>
        </w:rPr>
        <w:t>Information Provisions</w:t>
      </w:r>
    </w:p>
    <w:p>
      <w:pPr>
        <w:spacing w:after="0" w:line="99" w:lineRule="exact"/>
        <w:rPr>
          <w:sz w:val="20"/>
          <w:szCs w:val="20"/>
          <w:color w:val="auto"/>
        </w:rPr>
      </w:pPr>
    </w:p>
    <w:p>
      <w:pPr>
        <w:ind w:left="220" w:right="20"/>
        <w:spacing w:after="0" w:line="236" w:lineRule="auto"/>
        <w:rPr>
          <w:sz w:val="20"/>
          <w:szCs w:val="20"/>
          <w:color w:val="auto"/>
        </w:rPr>
      </w:pPr>
      <w:r>
        <w:rPr>
          <w:rFonts w:ascii="Arial" w:cs="Arial" w:eastAsia="Arial" w:hAnsi="Arial"/>
          <w:sz w:val="17"/>
          <w:szCs w:val="17"/>
          <w:color w:val="auto"/>
        </w:rPr>
        <w:t>The Additional Special Meeting Bylaw Amendments would require any stockholder or beneficial owner seeking to require that the Company call the special meeting or soliciting other stockholders to support a call for the special meeting to provide information to the Company including, but not limited to (i) a description of the business (including the identity of nominees for election as a director, if any) proposed to be acted on at the meeting, (ii) the date of signature of each requesting stockholder (or duly authorized agent) submitting the special meeting request, (iii) the name and address of each stockholder submitting the special meeting request, as they appear on the Company’s books, (iv) information, representations and agreements required by the Bylaws with respect to any director nominations or other business proposed to be presented at the special meeting, and as to each stockholder or beneficial owner submitting the special meeting request, other than stockholders or beneficial owners who have provided such request solely in response to any form of public solicitation for such requests, and (v) documentary evidence of ownership of shares of Class A common stock of the Company as of the date the request was signed and any additional information reasonably requested by the Company. If the special meeting request relates to any director nominations, the Additional Special Meeting Bylaw Amendments would require the special meeting request to provide additional information that is required under existing Section 3.15 of the Bylaws.</w:t>
      </w:r>
    </w:p>
    <w:p>
      <w:pPr>
        <w:spacing w:after="0" w:line="116" w:lineRule="exact"/>
        <w:rPr>
          <w:sz w:val="20"/>
          <w:szCs w:val="20"/>
          <w:color w:val="auto"/>
        </w:rPr>
      </w:pPr>
    </w:p>
    <w:p>
      <w:pPr>
        <w:ind w:left="540" w:hanging="330"/>
        <w:spacing w:after="0"/>
        <w:tabs>
          <w:tab w:leader="none" w:pos="540" w:val="left"/>
        </w:tabs>
        <w:numPr>
          <w:ilvl w:val="0"/>
          <w:numId w:val="50"/>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00"/>
          </w:cols>
          <w:pgMar w:left="240" w:top="455" w:right="4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Items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7F7F7F"/>
        </w:rPr>
        <w:t>Ownership Provisions</w:t>
      </w:r>
    </w:p>
    <w:p>
      <w:pPr>
        <w:spacing w:after="0" w:line="99" w:lineRule="exact"/>
        <w:rPr>
          <w:sz w:val="20"/>
          <w:szCs w:val="20"/>
          <w:color w:val="auto"/>
        </w:rPr>
      </w:pPr>
    </w:p>
    <w:p>
      <w:pPr>
        <w:ind w:left="220" w:right="60"/>
        <w:spacing w:after="0"/>
        <w:rPr>
          <w:sz w:val="20"/>
          <w:szCs w:val="20"/>
          <w:color w:val="auto"/>
        </w:rPr>
      </w:pPr>
      <w:r>
        <w:rPr>
          <w:rFonts w:ascii="Arial" w:cs="Arial" w:eastAsia="Arial" w:hAnsi="Arial"/>
          <w:sz w:val="17"/>
          <w:szCs w:val="17"/>
          <w:color w:val="auto"/>
        </w:rPr>
        <w:t>The Additional Special Meeting Bylaw Amendments would clarify that the 25% ownership threshold is based on a “net long” ownership definition. Under the “net long” definition, a person would be deemed to “own” only those outstanding shares of Class A common stock of the Company as to which the person possesses both (i) the full voting and investment rights pertaining to the shares and (ii) the full economic interest in (including the opportunity for profit and risk of loss on) such shares, which terms may be further defined in the Bylaws from time to time. The Board believes a “net long” definition of ownership is appropriate so that only stockholders with full and continuing economic interest and voting rights in our Class A common stock should be entitled to require that the Company call a special meeting.</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7F7F7F"/>
        </w:rPr>
        <w:t>Additional Provisions</w:t>
      </w:r>
    </w:p>
    <w:p>
      <w:pPr>
        <w:spacing w:after="0" w:line="99" w:lineRule="exact"/>
        <w:rPr>
          <w:sz w:val="20"/>
          <w:szCs w:val="20"/>
          <w:color w:val="auto"/>
        </w:rPr>
      </w:pPr>
    </w:p>
    <w:p>
      <w:pPr>
        <w:ind w:left="220" w:right="300"/>
        <w:spacing w:after="0" w:line="274" w:lineRule="auto"/>
        <w:rPr>
          <w:sz w:val="20"/>
          <w:szCs w:val="20"/>
          <w:color w:val="auto"/>
        </w:rPr>
      </w:pPr>
      <w:r>
        <w:rPr>
          <w:rFonts w:ascii="Arial" w:cs="Arial" w:eastAsia="Arial" w:hAnsi="Arial"/>
          <w:sz w:val="17"/>
          <w:szCs w:val="17"/>
          <w:color w:val="auto"/>
        </w:rPr>
        <w:t>The Additional Special Meeting Bylaw Amendments would set forth certain procedural requirements that the Board believes are appropriate to avoid duplicative or unnecessary special meetings. Under these provisions, a special meeting request would not be valid if it:</w:t>
      </w:r>
    </w:p>
    <w:p>
      <w:pPr>
        <w:spacing w:after="0" w:line="53" w:lineRule="exact"/>
        <w:rPr>
          <w:sz w:val="20"/>
          <w:szCs w:val="20"/>
          <w:color w:val="auto"/>
        </w:rPr>
      </w:pPr>
    </w:p>
    <w:p>
      <w:pPr>
        <w:ind w:left="420" w:hanging="210"/>
        <w:spacing w:after="0"/>
        <w:tabs>
          <w:tab w:leader="none" w:pos="4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relates to an item of business that is not a proper subject for stockholder action under, or that involves a violation of, applicable law;</w:t>
      </w:r>
    </w:p>
    <w:p>
      <w:pPr>
        <w:spacing w:after="0" w:line="74" w:lineRule="exact"/>
        <w:rPr>
          <w:rFonts w:ascii="Arial" w:cs="Arial" w:eastAsia="Arial" w:hAnsi="Arial"/>
          <w:sz w:val="17"/>
          <w:szCs w:val="17"/>
          <w:color w:val="auto"/>
        </w:rPr>
      </w:pPr>
    </w:p>
    <w:p>
      <w:pPr>
        <w:ind w:left="420" w:right="900" w:hanging="210"/>
        <w:spacing w:after="0" w:line="274" w:lineRule="auto"/>
        <w:tabs>
          <w:tab w:leader="none" w:pos="4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relates to an item of business that is the same as or substantially similar to any item of business that was presented at a meeting of stockholders occurring within 90 days preceding the earliest dated request for a special meeting;</w:t>
      </w:r>
    </w:p>
    <w:p>
      <w:pPr>
        <w:spacing w:after="0" w:line="12" w:lineRule="exact"/>
        <w:rPr>
          <w:rFonts w:ascii="Arial" w:cs="Arial" w:eastAsia="Arial" w:hAnsi="Arial"/>
          <w:sz w:val="17"/>
          <w:szCs w:val="17"/>
          <w:color w:val="auto"/>
        </w:rPr>
      </w:pPr>
    </w:p>
    <w:p>
      <w:pPr>
        <w:ind w:left="420" w:right="40" w:hanging="210"/>
        <w:spacing w:after="0" w:line="274" w:lineRule="auto"/>
        <w:tabs>
          <w:tab w:leader="none" w:pos="4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is delivered during the period commencing 90 days prior to the first anniversary of the preceding year’s annual meeting and ending on the date of the next annual meeting of stockholders; or</w:t>
      </w:r>
    </w:p>
    <w:p>
      <w:pPr>
        <w:spacing w:after="0" w:line="12" w:lineRule="exact"/>
        <w:rPr>
          <w:rFonts w:ascii="Arial" w:cs="Arial" w:eastAsia="Arial" w:hAnsi="Arial"/>
          <w:sz w:val="17"/>
          <w:szCs w:val="17"/>
          <w:color w:val="auto"/>
        </w:rPr>
      </w:pPr>
    </w:p>
    <w:p>
      <w:pPr>
        <w:ind w:left="420" w:hanging="210"/>
        <w:spacing w:after="0"/>
        <w:tabs>
          <w:tab w:leader="none" w:pos="4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does not comply with the requirements pertaining to special meeting requests set forth in the Bylaws.</w:t>
      </w:r>
    </w:p>
    <w:p>
      <w:pPr>
        <w:spacing w:after="0" w:line="101" w:lineRule="exact"/>
        <w:rPr>
          <w:sz w:val="20"/>
          <w:szCs w:val="20"/>
          <w:color w:val="auto"/>
        </w:rPr>
      </w:pPr>
    </w:p>
    <w:p>
      <w:pPr>
        <w:ind w:left="220" w:right="200"/>
        <w:spacing w:after="0" w:line="242" w:lineRule="auto"/>
        <w:rPr>
          <w:sz w:val="20"/>
          <w:szCs w:val="20"/>
          <w:color w:val="auto"/>
        </w:rPr>
      </w:pPr>
      <w:r>
        <w:rPr>
          <w:rFonts w:ascii="Arial" w:cs="Arial" w:eastAsia="Arial" w:hAnsi="Arial"/>
          <w:sz w:val="17"/>
          <w:szCs w:val="17"/>
          <w:color w:val="auto"/>
        </w:rPr>
        <w:t>The Additional Special Meeting Bylaw Amendments would state that, if stockholders who requested a special meeting revoke the request or cease to own at least 25% of the voting power of all outstanding shares of Class A common stock of the Company at all times between the date the special meeting request was received by the Company and the date of the applicable stockholder-requested special meeting, the Board would have the discretion to cancel the special meeting of the stockholders if there are no longer valid unrevoked written requests satisfying the 25% threshold.</w:t>
      </w:r>
    </w:p>
    <w:p>
      <w:pPr>
        <w:spacing w:after="0" w:line="67" w:lineRule="exact"/>
        <w:rPr>
          <w:sz w:val="20"/>
          <w:szCs w:val="20"/>
          <w:color w:val="auto"/>
        </w:rPr>
      </w:pPr>
    </w:p>
    <w:p>
      <w:pPr>
        <w:jc w:val="both"/>
        <w:ind w:left="220" w:right="100"/>
        <w:spacing w:after="0" w:line="253" w:lineRule="auto"/>
        <w:rPr>
          <w:sz w:val="20"/>
          <w:szCs w:val="20"/>
          <w:color w:val="auto"/>
        </w:rPr>
      </w:pPr>
      <w:r>
        <w:rPr>
          <w:rFonts w:ascii="Arial" w:cs="Arial" w:eastAsia="Arial" w:hAnsi="Arial"/>
          <w:sz w:val="17"/>
          <w:szCs w:val="17"/>
          <w:color w:val="auto"/>
        </w:rPr>
        <w:t>The Additional Special Meeting Bylaw Amendments would specify that the business to be transacted at a stockholder-requested special meeting would be limited to the business stated in the valid special meeting request received by the Company and any additional business that the Board determines to include in the notice for such special meeting.</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7F7F7F"/>
        </w:rPr>
        <w:t>The Stockholder Proposal</w:t>
      </w:r>
    </w:p>
    <w:p>
      <w:pPr>
        <w:spacing w:after="0" w:line="99" w:lineRule="exact"/>
        <w:rPr>
          <w:sz w:val="20"/>
          <w:szCs w:val="20"/>
          <w:color w:val="auto"/>
        </w:rPr>
      </w:pPr>
    </w:p>
    <w:p>
      <w:pPr>
        <w:ind w:left="220" w:right="120"/>
        <w:spacing w:after="0"/>
        <w:rPr>
          <w:sz w:val="20"/>
          <w:szCs w:val="20"/>
          <w:color w:val="auto"/>
        </w:rPr>
      </w:pPr>
      <w:r>
        <w:rPr>
          <w:rFonts w:ascii="Arial" w:cs="Arial" w:eastAsia="Arial" w:hAnsi="Arial"/>
          <w:sz w:val="17"/>
          <w:szCs w:val="17"/>
          <w:color w:val="auto"/>
        </w:rPr>
        <w:t>As described below in Item 5, the Company has been notified that a stockholder intends to present a proposal for consideration at the Annual Meeting that also addresses stockholders’ ability to call special meetings of the stockholders. Although the Company’s Special Meeting Proposal and the Stockholder Special Meeting Proposal concern the same subject matter, the terms and effects of each proposal differ. Stockholders may vote on both the Company’s Special Meeting Proposal and the Stockholder Special Meeting Proposal, and approval of one proposal is not conditioned on approval or disapproval of the other proposal. Among the differences between the Company’s Special Meeting Proposal and the Stockholder Special Meeting Proposal are the following:</w:t>
      </w:r>
    </w:p>
    <w:p>
      <w:pPr>
        <w:spacing w:after="0" w:line="82" w:lineRule="exact"/>
        <w:rPr>
          <w:sz w:val="20"/>
          <w:szCs w:val="20"/>
          <w:color w:val="auto"/>
        </w:rPr>
      </w:pPr>
    </w:p>
    <w:p>
      <w:pPr>
        <w:ind w:left="420" w:right="320" w:hanging="210"/>
        <w:spacing w:after="0" w:line="242" w:lineRule="auto"/>
        <w:tabs>
          <w:tab w:leader="none" w:pos="4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For the reasons discussed above, the Board provided in the Company’s Special Meeting Proposal that one or more stockholders who own shares representing at least 25% of the voting power of all outstanding shares of Class A common stock of the Company can require the Company to call a special meeting of the stockholders. The Stockholder Special Meeting Proposal requests that holders of an aggregate of 15% net long ownership of our outstanding common stock be given the power to call a special meeting of the stockholders, but does not specifically address why it believes that a 15% threshold is appropriate at the Company.</w:t>
      </w:r>
    </w:p>
    <w:p>
      <w:pPr>
        <w:spacing w:after="0" w:line="80" w:lineRule="exact"/>
        <w:rPr>
          <w:rFonts w:ascii="Arial" w:cs="Arial" w:eastAsia="Arial" w:hAnsi="Arial"/>
          <w:sz w:val="17"/>
          <w:szCs w:val="17"/>
          <w:color w:val="auto"/>
        </w:rPr>
      </w:pPr>
    </w:p>
    <w:p>
      <w:pPr>
        <w:ind w:left="420" w:right="180" w:hanging="210"/>
        <w:spacing w:after="0" w:line="246" w:lineRule="auto"/>
        <w:tabs>
          <w:tab w:leader="none" w:pos="4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Company’s Special Meeting Proposal is binding. If stockholders approve the Company’s Special Meeting Proposal, our Certificate and Bylaws will be amended, thereby providing stockholders who comply with the Bylaws the right to have the Company call a special meeting of the stockholders. In contrast, the Stockholder Special Meeting Proposal is not binding; approval of the Stockholder Special Meeting Proposal requests that the Board consider the matter but does not amend either the Certificate or the Bylaws.</w:t>
      </w:r>
    </w:p>
    <w:p>
      <w:pPr>
        <w:spacing w:after="0" w:line="75" w:lineRule="exact"/>
        <w:rPr>
          <w:rFonts w:ascii="Arial" w:cs="Arial" w:eastAsia="Arial" w:hAnsi="Arial"/>
          <w:sz w:val="17"/>
          <w:szCs w:val="17"/>
          <w:color w:val="auto"/>
        </w:rPr>
      </w:pPr>
    </w:p>
    <w:p>
      <w:pPr>
        <w:ind w:left="420" w:right="60" w:hanging="210"/>
        <w:spacing w:after="0" w:line="253" w:lineRule="auto"/>
        <w:tabs>
          <w:tab w:leader="none" w:pos="4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If the Company’s Special Meeting Proposal is approved, the Board intends to adopt the Additional Special Meeting Bylaw Amendments setting forth procedures for stockholders to request a special meeting of the stockholders. The Stockholder Special Meeting Proposal does not address such terms.</w:t>
      </w:r>
    </w:p>
    <w:p>
      <w:pPr>
        <w:spacing w:after="0" w:line="102" w:lineRule="exact"/>
        <w:rPr>
          <w:sz w:val="20"/>
          <w:szCs w:val="20"/>
          <w:color w:val="auto"/>
        </w:rPr>
      </w:pPr>
    </w:p>
    <w:tbl>
      <w:tblPr>
        <w:tblLayout w:type="fixed"/>
        <w:tblInd w:w="9200" w:type="dxa"/>
        <w:tblCellMar>
          <w:top w:w="0" w:type="dxa"/>
          <w:left w:w="0" w:type="dxa"/>
          <w:bottom w:w="0" w:type="dxa"/>
          <w:right w:w="0" w:type="dxa"/>
        </w:tblCellMar>
      </w:tblPr>
      <w:tr>
        <w:trPr>
          <w:trHeight w:val="214"/>
        </w:trPr>
        <w:tc>
          <w:tcPr>
            <w:tcW w:w="1660" w:type="dxa"/>
            <w:vAlign w:val="bottom"/>
          </w:tcPr>
          <w:p>
            <w:pPr>
              <w:spacing w:after="0"/>
              <w:rPr>
                <w:sz w:val="20"/>
                <w:szCs w:val="20"/>
                <w:color w:val="auto"/>
              </w:rPr>
            </w:pPr>
            <w:r>
              <w:rPr>
                <w:rFonts w:ascii="Arial" w:cs="Arial" w:eastAsia="Arial" w:hAnsi="Arial"/>
                <w:sz w:val="15"/>
                <w:szCs w:val="15"/>
                <w:color w:val="998C87"/>
              </w:rPr>
              <w:t>2018 Proxy Statement</w:t>
            </w:r>
          </w:p>
        </w:tc>
        <w:tc>
          <w:tcPr>
            <w:tcW w:w="300" w:type="dxa"/>
            <w:vAlign w:val="bottom"/>
          </w:tcPr>
          <w:p>
            <w:pPr>
              <w:jc w:val="right"/>
              <w:spacing w:after="0"/>
              <w:rPr>
                <w:sz w:val="20"/>
                <w:szCs w:val="20"/>
                <w:color w:val="auto"/>
              </w:rPr>
            </w:pPr>
            <w:r>
              <w:rPr>
                <w:rFonts w:ascii="Arial" w:cs="Arial" w:eastAsia="Arial" w:hAnsi="Arial"/>
                <w:sz w:val="15"/>
                <w:szCs w:val="15"/>
                <w:b w:val="1"/>
                <w:bCs w:val="1"/>
                <w:color w:val="7F7F7F"/>
              </w:rPr>
              <w:t>11</w:t>
            </w:r>
          </w:p>
        </w:tc>
      </w:tr>
    </w:tbl>
    <w:p>
      <w:pPr>
        <w:sectPr>
          <w:pgSz w:w="11900" w:h="16838" w:orient="portrait"/>
          <w:cols w:equalWidth="0" w:num="1">
            <w:col w:w="11220"/>
          </w:cols>
          <w:pgMar w:left="240" w:top="455" w:right="4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ind w:left="220"/>
        <w:spacing w:after="0"/>
        <w:rPr>
          <w:sz w:val="20"/>
          <w:szCs w:val="20"/>
          <w:color w:val="auto"/>
        </w:rPr>
      </w:pPr>
      <w:r>
        <w:rPr>
          <w:rFonts w:ascii="Arial" w:cs="Arial" w:eastAsia="Arial" w:hAnsi="Arial"/>
          <w:sz w:val="15"/>
          <w:szCs w:val="15"/>
          <w:color w:val="7F7F7F"/>
        </w:rPr>
        <w:t>Items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1" w:lineRule="exact"/>
        <w:rPr>
          <w:sz w:val="20"/>
          <w:szCs w:val="20"/>
          <w:color w:val="auto"/>
        </w:rPr>
      </w:pPr>
    </w:p>
    <w:p>
      <w:pPr>
        <w:ind w:left="220"/>
        <w:spacing w:after="0" w:line="274" w:lineRule="auto"/>
        <w:rPr>
          <w:sz w:val="20"/>
          <w:szCs w:val="20"/>
          <w:color w:val="auto"/>
        </w:rPr>
      </w:pPr>
      <w:r>
        <w:rPr>
          <w:rFonts w:ascii="Arial" w:cs="Arial" w:eastAsia="Arial" w:hAnsi="Arial"/>
          <w:sz w:val="17"/>
          <w:szCs w:val="17"/>
          <w:color w:val="auto"/>
        </w:rPr>
        <w:t>Neither the Company’s Special Meeting Proposal nor the Stockholder Special Meeting Proposal affect the Board’s existing authority to call special meetings of stockholders.</w:t>
      </w:r>
    </w:p>
    <w:p>
      <w:pPr>
        <w:spacing w:after="0" w:line="39" w:lineRule="exact"/>
        <w:rPr>
          <w:sz w:val="20"/>
          <w:szCs w:val="20"/>
          <w:color w:val="auto"/>
        </w:rPr>
      </w:pPr>
    </w:p>
    <w:p>
      <w:pPr>
        <w:ind w:left="220" w:right="480"/>
        <w:spacing w:after="0" w:line="274" w:lineRule="auto"/>
        <w:rPr>
          <w:sz w:val="20"/>
          <w:szCs w:val="20"/>
          <w:color w:val="auto"/>
        </w:rPr>
      </w:pPr>
      <w:r>
        <w:rPr>
          <w:rFonts w:ascii="Arial" w:cs="Arial" w:eastAsia="Arial" w:hAnsi="Arial"/>
          <w:sz w:val="17"/>
          <w:szCs w:val="17"/>
          <w:color w:val="auto"/>
        </w:rPr>
        <w:t>You should carefully read the descriptions of each proposal, and the Company’s statement in opposition to the Stockholder Special Meeting Proposal, in considering both proposals.</w:t>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7F7F7F"/>
        </w:rPr>
        <w:t>Additional Information</w:t>
      </w:r>
    </w:p>
    <w:p>
      <w:pPr>
        <w:spacing w:after="0" w:line="99" w:lineRule="exact"/>
        <w:rPr>
          <w:sz w:val="20"/>
          <w:szCs w:val="20"/>
          <w:color w:val="auto"/>
        </w:rPr>
      </w:pPr>
    </w:p>
    <w:p>
      <w:pPr>
        <w:ind w:left="220" w:right="120"/>
        <w:spacing w:after="0" w:line="242" w:lineRule="auto"/>
        <w:rPr>
          <w:sz w:val="20"/>
          <w:szCs w:val="20"/>
          <w:color w:val="auto"/>
        </w:rPr>
      </w:pPr>
      <w:r>
        <w:rPr>
          <w:rFonts w:ascii="Arial" w:cs="Arial" w:eastAsia="Arial" w:hAnsi="Arial"/>
          <w:sz w:val="17"/>
          <w:szCs w:val="17"/>
          <w:color w:val="auto"/>
        </w:rPr>
        <w:t>The Company’s Special Meeting Proposal is binding. If stockholders approve the Company’s Special Meeting Proposal by the requisite vote, we will file the amended and restated Certificate with the Secretary of State of the State of Delaware shortly following the annual meeting to incorporate the approved amendments. The amended and restated Certificate and the corresponding Bylaw amendments will become effective upon acceptance of the filing by the Secretary of State of the State of Delaware. In connection with the approval of this proposal and the filing of the amended and restated Certificate, our Board expects to approve the Additional Special Meeting Bylaw Amendments described above.</w:t>
      </w:r>
    </w:p>
    <w:p>
      <w:pPr>
        <w:spacing w:after="0" w:line="67" w:lineRule="exact"/>
        <w:rPr>
          <w:sz w:val="20"/>
          <w:szCs w:val="20"/>
          <w:color w:val="auto"/>
        </w:rPr>
      </w:pPr>
    </w:p>
    <w:p>
      <w:pPr>
        <w:jc w:val="both"/>
        <w:ind w:left="220" w:right="80"/>
        <w:spacing w:after="0"/>
        <w:rPr>
          <w:sz w:val="20"/>
          <w:szCs w:val="20"/>
          <w:color w:val="auto"/>
        </w:rPr>
      </w:pPr>
      <w:r>
        <w:rPr>
          <w:rFonts w:ascii="Arial" w:cs="Arial" w:eastAsia="Arial" w:hAnsi="Arial"/>
          <w:sz w:val="17"/>
          <w:szCs w:val="17"/>
          <w:color w:val="auto"/>
        </w:rPr>
        <w:t>If stockholders do not approve the Company’s Special Meeting Proposal by the requisite vote, then the amended and restated Certificate will not be filed with the Secretary of State of the State of Delaware, the Bylaws will not be amended, the Additional Special Meeting Bylaw Amendments will not be adopted by the Board and our stockholders will not have the ability to require the Company to call a special meeting of stockholders.</w:t>
      </w:r>
    </w:p>
    <w:p>
      <w:pPr>
        <w:spacing w:after="0" w:line="2" w:lineRule="exact"/>
        <w:rPr>
          <w:sz w:val="20"/>
          <w:szCs w:val="20"/>
          <w:color w:val="auto"/>
        </w:rPr>
      </w:pPr>
    </w:p>
    <w:p>
      <w:pPr>
        <w:ind w:left="220" w:right="60"/>
        <w:spacing w:after="0" w:line="239" w:lineRule="auto"/>
        <w:rPr>
          <w:sz w:val="20"/>
          <w:szCs w:val="20"/>
          <w:color w:val="auto"/>
        </w:rPr>
      </w:pPr>
      <w:r>
        <w:rPr>
          <w:rFonts w:ascii="Arial" w:cs="Arial" w:eastAsia="Arial" w:hAnsi="Arial"/>
          <w:sz w:val="17"/>
          <w:szCs w:val="17"/>
          <w:color w:val="auto"/>
        </w:rPr>
        <w:t>Approval of the Company’s Special Meeting Proposal is not conditioned on approval or disapproval of the Stockholder Special Meeting Proposal, which means that the foregoing effects of approval or disapproval of the Company’s Special Meeting Proposal are not affected by approval or disapproval of the Stockholder Special Meeting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144780</wp:posOffset>
            </wp:positionV>
            <wp:extent cx="6993890" cy="3384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3890" cy="338455"/>
                    </a:xfrm>
                    <a:prstGeom prst="rect">
                      <a:avLst/>
                    </a:prstGeom>
                    <a:noFill/>
                  </pic:spPr>
                </pic:pic>
              </a:graphicData>
            </a:graphic>
          </wp:anchor>
        </w:drawing>
      </w:r>
    </w:p>
    <w:p>
      <w:pPr>
        <w:spacing w:after="0" w:line="241" w:lineRule="exact"/>
        <w:rPr>
          <w:sz w:val="20"/>
          <w:szCs w:val="20"/>
          <w:color w:val="auto"/>
        </w:rPr>
      </w:pPr>
    </w:p>
    <w:p>
      <w:pPr>
        <w:jc w:val="center"/>
        <w:ind w:left="480" w:right="180"/>
        <w:spacing w:after="0" w:line="287" w:lineRule="auto"/>
        <w:rPr>
          <w:sz w:val="20"/>
          <w:szCs w:val="20"/>
          <w:color w:val="auto"/>
        </w:rPr>
      </w:pPr>
      <w:r>
        <w:rPr>
          <w:rFonts w:ascii="Arial" w:cs="Arial" w:eastAsia="Arial" w:hAnsi="Arial"/>
          <w:sz w:val="18"/>
          <w:szCs w:val="18"/>
          <w:b w:val="1"/>
          <w:bCs w:val="1"/>
          <w:color w:val="998C87"/>
        </w:rPr>
        <w:t>The Board of Directors unanimously recommends that stockholders vote FOR the approval of proposed amendments to our Certificate and Bylaws allowing stockholders to call special meetings of the stockholders.</w:t>
      </w:r>
    </w:p>
    <w:p>
      <w:pPr>
        <w:spacing w:after="0" w:line="291" w:lineRule="exact"/>
        <w:rPr>
          <w:sz w:val="20"/>
          <w:szCs w:val="20"/>
          <w:color w:val="auto"/>
        </w:rPr>
      </w:pPr>
    </w:p>
    <w:p>
      <w:pPr>
        <w:ind w:left="220" w:right="680"/>
        <w:spacing w:after="0" w:line="266" w:lineRule="auto"/>
        <w:rPr>
          <w:sz w:val="20"/>
          <w:szCs w:val="20"/>
          <w:color w:val="auto"/>
        </w:rPr>
      </w:pPr>
      <w:r>
        <w:rPr>
          <w:rFonts w:ascii="Arial" w:cs="Arial" w:eastAsia="Arial" w:hAnsi="Arial"/>
          <w:sz w:val="22"/>
          <w:szCs w:val="22"/>
          <w:color w:val="7F7F7F"/>
        </w:rPr>
        <w:t>ITEM 5 – Stockholder Resolution to Allow Holders of 15% of Company Stock to Call Special Meetings of the Stockholders</w:t>
      </w:r>
    </w:p>
    <w:p>
      <w:pPr>
        <w:spacing w:after="0" w:line="39" w:lineRule="exact"/>
        <w:rPr>
          <w:sz w:val="20"/>
          <w:szCs w:val="20"/>
          <w:color w:val="auto"/>
        </w:rPr>
      </w:pPr>
    </w:p>
    <w:p>
      <w:pPr>
        <w:ind w:left="220" w:right="20"/>
        <w:spacing w:after="0" w:line="246" w:lineRule="auto"/>
        <w:rPr>
          <w:sz w:val="20"/>
          <w:szCs w:val="20"/>
          <w:color w:val="auto"/>
        </w:rPr>
      </w:pPr>
      <w:r>
        <w:rPr>
          <w:rFonts w:ascii="Arial" w:cs="Arial" w:eastAsia="Arial" w:hAnsi="Arial"/>
          <w:sz w:val="17"/>
          <w:szCs w:val="17"/>
          <w:color w:val="auto"/>
        </w:rPr>
        <w:t>Myra K. Young (the “proponent”) of 9295 Yorkship Ct, Elk Grove, CA 95758 (the beneficial owner of 75 shares of our Class A common stock), has advised the Company that she plans to present the following proposal at the annual meeting. If properly presented at the annual meeting by or on behalf of the proponent, the Board of Directors unanimously recommends a vote “AGAINST” the following stockholder resolution. We have included the proponent’s proposal in this proxy statement pursuant to SEC rules, and the Board’s response to it follows.</w:t>
      </w:r>
    </w:p>
    <w:p>
      <w:pPr>
        <w:spacing w:after="0" w:line="168"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The Proponent’s Proposal</w:t>
      </w:r>
    </w:p>
    <w:p>
      <w:pPr>
        <w:spacing w:after="0" w:line="101"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ITEM 5 – Special Shareholder Meetings</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7F7F7F"/>
        </w:rPr>
        <w:t>RESOLVED:</w:t>
      </w:r>
    </w:p>
    <w:p>
      <w:pPr>
        <w:spacing w:after="0" w:line="103" w:lineRule="exact"/>
        <w:rPr>
          <w:sz w:val="20"/>
          <w:szCs w:val="20"/>
          <w:color w:val="auto"/>
        </w:rPr>
      </w:pPr>
    </w:p>
    <w:p>
      <w:pPr>
        <w:ind w:left="660"/>
        <w:spacing w:after="0" w:line="253" w:lineRule="auto"/>
        <w:rPr>
          <w:sz w:val="20"/>
          <w:szCs w:val="20"/>
          <w:color w:val="auto"/>
        </w:rPr>
      </w:pPr>
      <w:r>
        <w:rPr>
          <w:rFonts w:ascii="Arial" w:cs="Arial" w:eastAsia="Arial" w:hAnsi="Arial"/>
          <w:sz w:val="17"/>
          <w:szCs w:val="17"/>
          <w:color w:val="auto"/>
        </w:rPr>
        <w:t>The shareholders of Marriott International Inc. (‘MAR’ or ‘Company’) hereby request the Board of Directors take the steps necessary to amend our bylaws and each appropriate governing document to give holders with an aggregate of 15% net long of our outstanding common stock the power to call a special shareowner meeting. This proposal does not impact our Board’s current power to call a special meeting.</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7F7F7F"/>
        </w:rPr>
        <w:t>SUPPORTING STATEMENT:</w:t>
      </w:r>
    </w:p>
    <w:p>
      <w:pPr>
        <w:spacing w:after="0" w:line="103" w:lineRule="exact"/>
        <w:rPr>
          <w:sz w:val="20"/>
          <w:szCs w:val="20"/>
          <w:color w:val="auto"/>
        </w:rPr>
      </w:pPr>
    </w:p>
    <w:p>
      <w:pPr>
        <w:ind w:left="660" w:right="140"/>
        <w:spacing w:after="0" w:line="253" w:lineRule="auto"/>
        <w:rPr>
          <w:sz w:val="20"/>
          <w:szCs w:val="20"/>
          <w:color w:val="auto"/>
        </w:rPr>
      </w:pPr>
      <w:r>
        <w:rPr>
          <w:rFonts w:ascii="Arial" w:cs="Arial" w:eastAsia="Arial" w:hAnsi="Arial"/>
          <w:sz w:val="17"/>
          <w:szCs w:val="17"/>
          <w:color w:val="auto"/>
        </w:rPr>
        <w:t>Delaware law allows 10% of company shares to call a special meeting. A shareholder right to call a special meeting is a way to bring an important matter to the attention of both management and shareholders outside the annual meeting cycle. This is important because there could be 15-months between annual meetings.</w:t>
      </w:r>
    </w:p>
    <w:p>
      <w:pPr>
        <w:spacing w:after="0" w:line="56" w:lineRule="exact"/>
        <w:rPr>
          <w:sz w:val="20"/>
          <w:szCs w:val="20"/>
          <w:color w:val="auto"/>
        </w:rPr>
      </w:pPr>
    </w:p>
    <w:p>
      <w:pPr>
        <w:ind w:left="660" w:right="300"/>
        <w:spacing w:after="0" w:line="274" w:lineRule="auto"/>
        <w:rPr>
          <w:sz w:val="20"/>
          <w:szCs w:val="20"/>
          <w:color w:val="auto"/>
        </w:rPr>
      </w:pPr>
      <w:r>
        <w:rPr>
          <w:rFonts w:ascii="Arial" w:cs="Arial" w:eastAsia="Arial" w:hAnsi="Arial"/>
          <w:sz w:val="17"/>
          <w:szCs w:val="17"/>
          <w:color w:val="auto"/>
        </w:rPr>
        <w:t>Shareholder rights to act by written consent and to call special meetings are two complimentary ways to bring an important matter to the attention of both management and shareholders outside the annual meeting cycle. Both are</w:t>
      </w:r>
    </w:p>
    <w:p>
      <w:pPr>
        <w:spacing w:after="0" w:line="85" w:lineRule="exact"/>
        <w:rPr>
          <w:sz w:val="20"/>
          <w:szCs w:val="20"/>
          <w:color w:val="auto"/>
        </w:rPr>
      </w:pPr>
    </w:p>
    <w:p>
      <w:pPr>
        <w:ind w:left="540" w:hanging="330"/>
        <w:spacing w:after="0"/>
        <w:tabs>
          <w:tab w:leader="none" w:pos="540" w:val="left"/>
        </w:tabs>
        <w:numPr>
          <w:ilvl w:val="0"/>
          <w:numId w:val="53"/>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00"/>
          </w:cols>
          <w:pgMar w:left="240" w:top="455" w:right="4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Items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1" w:lineRule="exact"/>
        <w:rPr>
          <w:sz w:val="20"/>
          <w:szCs w:val="20"/>
          <w:color w:val="auto"/>
        </w:rPr>
      </w:pPr>
    </w:p>
    <w:p>
      <w:pPr>
        <w:ind w:left="660" w:right="400"/>
        <w:spacing w:after="0" w:line="274" w:lineRule="auto"/>
        <w:rPr>
          <w:sz w:val="20"/>
          <w:szCs w:val="20"/>
          <w:color w:val="auto"/>
        </w:rPr>
      </w:pPr>
      <w:r>
        <w:rPr>
          <w:rFonts w:ascii="Arial" w:cs="Arial" w:eastAsia="Arial" w:hAnsi="Arial"/>
          <w:sz w:val="17"/>
          <w:szCs w:val="17"/>
          <w:color w:val="auto"/>
        </w:rPr>
        <w:t>associated with increased governance quality and shareholder value. Our Company provides no right for shareholders to act by written consent or to call a special meeting.</w:t>
      </w:r>
    </w:p>
    <w:p>
      <w:pPr>
        <w:spacing w:after="0" w:line="39" w:lineRule="exact"/>
        <w:rPr>
          <w:sz w:val="20"/>
          <w:szCs w:val="20"/>
          <w:color w:val="auto"/>
        </w:rPr>
      </w:pPr>
    </w:p>
    <w:p>
      <w:pPr>
        <w:ind w:left="660" w:right="120"/>
        <w:spacing w:after="0" w:line="274" w:lineRule="auto"/>
        <w:rPr>
          <w:sz w:val="20"/>
          <w:szCs w:val="20"/>
          <w:color w:val="auto"/>
        </w:rPr>
      </w:pPr>
      <w:r>
        <w:rPr>
          <w:rFonts w:ascii="Arial" w:cs="Arial" w:eastAsia="Arial" w:hAnsi="Arial"/>
          <w:sz w:val="17"/>
          <w:szCs w:val="17"/>
          <w:color w:val="auto"/>
        </w:rPr>
        <w:t>Currently, 64% of S&amp;P 500 companies have adopted company bylaws, articles of incorporation, or charter provisions to allow shareholders to call a special meeting. More than half of all S&amp;P 1500 companies allow shareholders this right.</w:t>
      </w:r>
    </w:p>
    <w:p>
      <w:pPr>
        <w:spacing w:after="0" w:line="39" w:lineRule="exact"/>
        <w:rPr>
          <w:sz w:val="20"/>
          <w:szCs w:val="20"/>
          <w:color w:val="auto"/>
        </w:rPr>
      </w:pPr>
    </w:p>
    <w:p>
      <w:pPr>
        <w:ind w:left="660" w:right="460"/>
        <w:spacing w:after="0" w:line="274" w:lineRule="auto"/>
        <w:rPr>
          <w:sz w:val="20"/>
          <w:szCs w:val="20"/>
          <w:color w:val="auto"/>
        </w:rPr>
      </w:pPr>
      <w:r>
        <w:rPr>
          <w:rFonts w:ascii="Arial" w:cs="Arial" w:eastAsia="Arial" w:hAnsi="Arial"/>
          <w:sz w:val="17"/>
          <w:szCs w:val="17"/>
          <w:color w:val="auto"/>
        </w:rPr>
        <w:t>This proposal topic won majority votes last year at CVS Health, Salesforce.com, NETGEAR, and United Rentals. It may be possible to adopt this proposal by simply incorporating this text into our governing documents:</w:t>
      </w:r>
    </w:p>
    <w:p>
      <w:pPr>
        <w:spacing w:after="0" w:line="39" w:lineRule="exact"/>
        <w:rPr>
          <w:sz w:val="20"/>
          <w:szCs w:val="20"/>
          <w:color w:val="auto"/>
        </w:rPr>
      </w:pPr>
    </w:p>
    <w:p>
      <w:pPr>
        <w:ind w:left="660" w:right="60"/>
        <w:spacing w:after="0" w:line="246" w:lineRule="auto"/>
        <w:rPr>
          <w:sz w:val="20"/>
          <w:szCs w:val="20"/>
          <w:color w:val="auto"/>
        </w:rPr>
      </w:pPr>
      <w:r>
        <w:rPr>
          <w:rFonts w:ascii="Arial" w:cs="Arial" w:eastAsia="Arial" w:hAnsi="Arial"/>
          <w:sz w:val="17"/>
          <w:szCs w:val="17"/>
          <w:color w:val="auto"/>
        </w:rPr>
        <w:t>“Special meetings of the stockholders, for any purpose or purposes, unless otherwise prescribed by statute, may be called by the Chairman of the Board or the President, and shall be called by the Chairman of the Board or President or Secretary upon the order in writing of a majority of or by resolution of the Board of Directors, or at the request in writing of stockholders owning 15% net long of the entire capital stock of the Corporation issued and outstanding and entitled to vote.”</w:t>
      </w:r>
    </w:p>
    <w:p>
      <w:pPr>
        <w:spacing w:after="0" w:line="62" w:lineRule="exact"/>
        <w:rPr>
          <w:sz w:val="20"/>
          <w:szCs w:val="20"/>
          <w:color w:val="auto"/>
        </w:rPr>
      </w:pPr>
    </w:p>
    <w:p>
      <w:pPr>
        <w:ind w:left="660" w:right="60"/>
        <w:spacing w:after="0" w:line="274" w:lineRule="auto"/>
        <w:rPr>
          <w:sz w:val="20"/>
          <w:szCs w:val="20"/>
          <w:color w:val="auto"/>
        </w:rPr>
      </w:pPr>
      <w:r>
        <w:rPr>
          <w:rFonts w:ascii="Arial" w:cs="Arial" w:eastAsia="Arial" w:hAnsi="Arial"/>
          <w:sz w:val="17"/>
          <w:szCs w:val="17"/>
          <w:color w:val="auto"/>
        </w:rPr>
        <w:t>We urge the Board to join in the mainstream of major U.S. companies and establish a right for shareholders owning 15% of our outstanding common stock to call a special meeting.</w:t>
      </w:r>
    </w:p>
    <w:p>
      <w:pPr>
        <w:spacing w:after="0" w:line="145"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Please vote for: Special Shareowner Meetings – Item 5</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Board Response</w:t>
      </w:r>
    </w:p>
    <w:p>
      <w:pPr>
        <w:spacing w:after="0" w:line="101" w:lineRule="exact"/>
        <w:rPr>
          <w:sz w:val="20"/>
          <w:szCs w:val="20"/>
          <w:color w:val="auto"/>
        </w:rPr>
      </w:pPr>
    </w:p>
    <w:p>
      <w:pPr>
        <w:ind w:left="220" w:right="580"/>
        <w:spacing w:after="0" w:line="289" w:lineRule="auto"/>
        <w:rPr>
          <w:sz w:val="20"/>
          <w:szCs w:val="20"/>
          <w:color w:val="auto"/>
        </w:rPr>
      </w:pPr>
      <w:r>
        <w:rPr>
          <w:rFonts w:ascii="Arial" w:cs="Arial" w:eastAsia="Arial" w:hAnsi="Arial"/>
          <w:sz w:val="17"/>
          <w:szCs w:val="17"/>
          <w:b w:val="1"/>
          <w:bCs w:val="1"/>
          <w:color w:val="auto"/>
        </w:rPr>
        <w:t>The Board will oppose this proposal if it is properly presented at the 2018 annual meeting and recommends a vote AGAINST this proposal for the following reasons:</w:t>
      </w:r>
    </w:p>
    <w:p>
      <w:pPr>
        <w:spacing w:after="0" w:line="15" w:lineRule="exact"/>
        <w:rPr>
          <w:sz w:val="20"/>
          <w:szCs w:val="20"/>
          <w:color w:val="auto"/>
        </w:rPr>
      </w:pPr>
    </w:p>
    <w:p>
      <w:pPr>
        <w:ind w:left="220" w:right="120"/>
        <w:spacing w:after="0" w:line="247" w:lineRule="auto"/>
        <w:rPr>
          <w:sz w:val="20"/>
          <w:szCs w:val="20"/>
          <w:color w:val="auto"/>
        </w:rPr>
      </w:pPr>
      <w:r>
        <w:rPr>
          <w:rFonts w:ascii="Arial" w:cs="Arial" w:eastAsia="Arial" w:hAnsi="Arial"/>
          <w:sz w:val="17"/>
          <w:szCs w:val="17"/>
          <w:color w:val="auto"/>
        </w:rPr>
        <w:t>The Board recommends that stockholders vote “</w:t>
      </w:r>
      <w:r>
        <w:rPr>
          <w:rFonts w:ascii="Arial" w:cs="Arial" w:eastAsia="Arial" w:hAnsi="Arial"/>
          <w:sz w:val="17"/>
          <w:szCs w:val="17"/>
          <w:b w:val="1"/>
          <w:bCs w:val="1"/>
          <w:color w:val="auto"/>
        </w:rPr>
        <w:t>AGAINST</w:t>
      </w:r>
      <w:r>
        <w:rPr>
          <w:rFonts w:ascii="Arial" w:cs="Arial" w:eastAsia="Arial" w:hAnsi="Arial"/>
          <w:sz w:val="17"/>
          <w:szCs w:val="17"/>
          <w:color w:val="auto"/>
        </w:rPr>
        <w:t>” this proposal because it is unnecessary and not in the best interests of the Company or its stockholders in light of the Company’s Special Meeting Proposal set forth in Item 4, which would amend the Certificate and Bylaws to allow one or more stockholders who own shares representing at least 25% of the voting power of all outstanding shares of Class A common stock of the Company to require the Company to call a special meeting of stockholders.</w:t>
      </w:r>
    </w:p>
    <w:p>
      <w:pPr>
        <w:spacing w:after="0" w:line="61" w:lineRule="exact"/>
        <w:rPr>
          <w:sz w:val="20"/>
          <w:szCs w:val="20"/>
          <w:color w:val="auto"/>
        </w:rPr>
      </w:pPr>
    </w:p>
    <w:p>
      <w:pPr>
        <w:ind w:left="220" w:right="20"/>
        <w:spacing w:after="0" w:line="238" w:lineRule="auto"/>
        <w:rPr>
          <w:sz w:val="20"/>
          <w:szCs w:val="20"/>
          <w:color w:val="auto"/>
        </w:rPr>
      </w:pPr>
      <w:r>
        <w:rPr>
          <w:rFonts w:ascii="Arial" w:cs="Arial" w:eastAsia="Arial" w:hAnsi="Arial"/>
          <w:sz w:val="17"/>
          <w:szCs w:val="17"/>
          <w:color w:val="auto"/>
        </w:rPr>
        <w:t>The Board believes that the stockholder proposal does not strike an appropriate balance between enhancing stockholder rights and adequately protecting stockholder interests. The Board recognizes that providing stockholders the ability to request special meetings is viewed by some stockholders as an important corporate governance practice. However, the Board believes that a small minority of stockholders should not be entitled to utilize the mechanism of special meetings for their own interests, which may not be shared more broadly by stockholders of the Company. For this reason, the Board believes that the 25% ownership threshold in the Company’s Special Meeting Proposal is more appropriate than the 15% threshold in this stockholder proposal. Based on benchmarking against other public companies and the Company’s direct peers, the 25% ownership threshold in the Company’s Special Meeting Proposal is lower than or the same as the most prevalent special meeting threshold adopted by those companies.</w:t>
      </w:r>
    </w:p>
    <w:p>
      <w:pPr>
        <w:spacing w:after="0" w:line="68" w:lineRule="exact"/>
        <w:rPr>
          <w:sz w:val="20"/>
          <w:szCs w:val="20"/>
          <w:color w:val="auto"/>
        </w:rPr>
      </w:pPr>
    </w:p>
    <w:p>
      <w:pPr>
        <w:ind w:left="220" w:right="220"/>
        <w:spacing w:after="0" w:line="246" w:lineRule="auto"/>
        <w:rPr>
          <w:sz w:val="20"/>
          <w:szCs w:val="20"/>
          <w:color w:val="auto"/>
        </w:rPr>
      </w:pPr>
      <w:r>
        <w:rPr>
          <w:rFonts w:ascii="Arial" w:cs="Arial" w:eastAsia="Arial" w:hAnsi="Arial"/>
          <w:sz w:val="17"/>
          <w:szCs w:val="17"/>
          <w:color w:val="auto"/>
        </w:rPr>
        <w:t>In addition, special meetings of the stockholders can be potentially disruptive to business operations and to long-term stockholder interests and can cause the Company to incur substantial expenses. Accordingly, the Board believes that special meetings of the stockholders should be extraordinary events. Likewise, the Board believes that stockholders should not be able to call special meetings in close proximity to an annual meeting or when the matters to be addressed have been recently considered or are planned to be considered at another meeting.</w:t>
      </w:r>
    </w:p>
    <w:p>
      <w:pPr>
        <w:spacing w:after="0" w:line="62" w:lineRule="exact"/>
        <w:rPr>
          <w:sz w:val="20"/>
          <w:szCs w:val="20"/>
          <w:color w:val="auto"/>
        </w:rPr>
      </w:pPr>
    </w:p>
    <w:p>
      <w:pPr>
        <w:ind w:left="220" w:right="340"/>
        <w:spacing w:after="0" w:line="274" w:lineRule="auto"/>
        <w:rPr>
          <w:sz w:val="20"/>
          <w:szCs w:val="20"/>
          <w:color w:val="auto"/>
        </w:rPr>
      </w:pPr>
      <w:r>
        <w:rPr>
          <w:rFonts w:ascii="Arial" w:cs="Arial" w:eastAsia="Arial" w:hAnsi="Arial"/>
          <w:sz w:val="17"/>
          <w:szCs w:val="17"/>
          <w:color w:val="auto"/>
        </w:rPr>
        <w:t>This stockholder proposal also is unnecessary given our commitment to strong and effective corporate governance principles and high ethical standards. The Company maintains robust governance practices that promote Board accountability, including:</w:t>
      </w:r>
    </w:p>
    <w:p>
      <w:pPr>
        <w:spacing w:after="0" w:line="53" w:lineRule="exact"/>
        <w:rPr>
          <w:sz w:val="20"/>
          <w:szCs w:val="20"/>
          <w:color w:val="auto"/>
        </w:rPr>
      </w:pPr>
    </w:p>
    <w:p>
      <w:pPr>
        <w:ind w:left="420" w:hanging="210"/>
        <w:spacing w:after="0"/>
        <w:tabs>
          <w:tab w:leader="none" w:pos="4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 market-standard proxy access right that permits stockholders to include their director nominees in the Company’s proxy statement;</w:t>
      </w:r>
    </w:p>
    <w:p>
      <w:pPr>
        <w:spacing w:after="0" w:line="114" w:lineRule="exact"/>
        <w:rPr>
          <w:rFonts w:ascii="Arial" w:cs="Arial" w:eastAsia="Arial" w:hAnsi="Arial"/>
          <w:sz w:val="17"/>
          <w:szCs w:val="17"/>
          <w:color w:val="auto"/>
        </w:rPr>
      </w:pPr>
    </w:p>
    <w:p>
      <w:pPr>
        <w:ind w:left="420" w:right="400" w:hanging="210"/>
        <w:spacing w:after="0" w:line="274" w:lineRule="auto"/>
        <w:tabs>
          <w:tab w:leader="none" w:pos="4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 majority voting standard for the election of directors in uncontested elections, with directors who fail to receive the required majority vote required to tender their resignation for consideration by the Board;</w:t>
      </w:r>
    </w:p>
    <w:p>
      <w:pPr>
        <w:spacing w:after="0" w:line="52" w:lineRule="exact"/>
        <w:rPr>
          <w:rFonts w:ascii="Arial" w:cs="Arial" w:eastAsia="Arial" w:hAnsi="Arial"/>
          <w:sz w:val="17"/>
          <w:szCs w:val="17"/>
          <w:color w:val="auto"/>
        </w:rPr>
      </w:pPr>
    </w:p>
    <w:p>
      <w:pPr>
        <w:ind w:left="420" w:right="780" w:hanging="210"/>
        <w:spacing w:after="0" w:line="274" w:lineRule="auto"/>
        <w:tabs>
          <w:tab w:leader="none" w:pos="4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An independent Lead Director, who is the independent Chairman of the Nominating and Corporate Governance Committee when the Chairman of the Board is not an independent director;</w:t>
      </w:r>
    </w:p>
    <w:p>
      <w:pPr>
        <w:spacing w:after="0" w:line="52" w:lineRule="exact"/>
        <w:rPr>
          <w:rFonts w:ascii="Arial" w:cs="Arial" w:eastAsia="Arial" w:hAnsi="Arial"/>
          <w:sz w:val="17"/>
          <w:szCs w:val="17"/>
          <w:color w:val="auto"/>
        </w:rPr>
      </w:pPr>
    </w:p>
    <w:p>
      <w:pPr>
        <w:ind w:left="420" w:right="720" w:hanging="210"/>
        <w:spacing w:after="0" w:line="274" w:lineRule="auto"/>
        <w:tabs>
          <w:tab w:leader="none" w:pos="4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Audit, Compensation Policy, and Nominating and Corporate Governance committees chaired by and comprised solely of independent directors; and</w:t>
      </w:r>
    </w:p>
    <w:p>
      <w:pPr>
        <w:spacing w:after="0" w:line="85" w:lineRule="exact"/>
        <w:rPr>
          <w:sz w:val="20"/>
          <w:szCs w:val="20"/>
          <w:color w:val="auto"/>
        </w:rPr>
      </w:pPr>
    </w:p>
    <w:tbl>
      <w:tblPr>
        <w:tblLayout w:type="fixed"/>
        <w:tblInd w:w="9180" w:type="dxa"/>
        <w:tblCellMar>
          <w:top w:w="0" w:type="dxa"/>
          <w:left w:w="0" w:type="dxa"/>
          <w:bottom w:w="0" w:type="dxa"/>
          <w:right w:w="0" w:type="dxa"/>
        </w:tblCellMar>
      </w:tblPr>
      <w:tr>
        <w:trPr>
          <w:trHeight w:val="214"/>
        </w:trPr>
        <w:tc>
          <w:tcPr>
            <w:tcW w:w="1660" w:type="dxa"/>
            <w:vAlign w:val="bottom"/>
          </w:tcPr>
          <w:p>
            <w:pPr>
              <w:spacing w:after="0"/>
              <w:rPr>
                <w:sz w:val="20"/>
                <w:szCs w:val="20"/>
                <w:color w:val="auto"/>
              </w:rPr>
            </w:pPr>
            <w:r>
              <w:rPr>
                <w:rFonts w:ascii="Arial" w:cs="Arial" w:eastAsia="Arial" w:hAnsi="Arial"/>
                <w:sz w:val="15"/>
                <w:szCs w:val="15"/>
                <w:color w:val="998C87"/>
              </w:rPr>
              <w:t>2018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13</w:t>
            </w:r>
          </w:p>
        </w:tc>
      </w:tr>
    </w:tbl>
    <w:p>
      <w:pPr>
        <w:sectPr>
          <w:pgSz w:w="11900" w:h="16838" w:orient="portrait"/>
          <w:cols w:equalWidth="0" w:num="1">
            <w:col w:w="11220"/>
          </w:cols>
          <w:pgMar w:left="240" w:top="455" w:right="4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Items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1" w:lineRule="exact"/>
        <w:rPr>
          <w:sz w:val="20"/>
          <w:szCs w:val="20"/>
          <w:color w:val="auto"/>
        </w:rPr>
      </w:pPr>
    </w:p>
    <w:p>
      <w:pPr>
        <w:ind w:left="420" w:right="220" w:hanging="210"/>
        <w:spacing w:after="0" w:line="253" w:lineRule="auto"/>
        <w:tabs>
          <w:tab w:leader="none" w:pos="4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Several avenues to communicate with the Lead Director, the Audit Committee, the non-employee directors or any of the employee directors, including by email or in writing, and the Company reports to the directors on the status of all outstanding concerns addressed to the non-employee directors, the Chair of the Nominating and Corporate Governance Committee or the Audit Committee on a quarterly basis.</w:t>
      </w:r>
    </w:p>
    <w:p>
      <w:pPr>
        <w:spacing w:after="0" w:line="56" w:lineRule="exact"/>
        <w:rPr>
          <w:sz w:val="20"/>
          <w:szCs w:val="20"/>
          <w:color w:val="auto"/>
        </w:rPr>
      </w:pPr>
    </w:p>
    <w:p>
      <w:pPr>
        <w:ind w:left="220" w:right="160"/>
        <w:spacing w:after="0" w:line="246" w:lineRule="auto"/>
        <w:rPr>
          <w:sz w:val="20"/>
          <w:szCs w:val="20"/>
          <w:color w:val="auto"/>
        </w:rPr>
      </w:pPr>
      <w:r>
        <w:rPr>
          <w:rFonts w:ascii="Arial" w:cs="Arial" w:eastAsia="Arial" w:hAnsi="Arial"/>
          <w:sz w:val="17"/>
          <w:szCs w:val="17"/>
          <w:color w:val="auto"/>
        </w:rPr>
        <w:t>In light of these considerations, our Board believes that the Company’s Special Meeting Proposal strikes the appropriate balance between enhancing the rights of stockholders and adequately protecting long-term stockholder interests to provide that stockholders who satisfy the 25% ownership threshold and comply with certain additional procedures and limitations have the ability to require the Company to call a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140970</wp:posOffset>
            </wp:positionV>
            <wp:extent cx="6993890" cy="2095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3890" cy="209550"/>
                    </a:xfrm>
                    <a:prstGeom prst="rect">
                      <a:avLst/>
                    </a:prstGeom>
                    <a:noFill/>
                  </pic:spPr>
                </pic:pic>
              </a:graphicData>
            </a:graphic>
          </wp:anchor>
        </w:drawing>
      </w:r>
    </w:p>
    <w:p>
      <w:pPr>
        <w:spacing w:after="0" w:line="234"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998C87"/>
        </w:rPr>
        <w:t>For these reasons, the Board opposes this proposal and recommends a vote AGAINST the proposal.</w:t>
      </w:r>
    </w:p>
    <w:p>
      <w:pPr>
        <w:spacing w:after="0" w:line="377" w:lineRule="exact"/>
        <w:rPr>
          <w:sz w:val="20"/>
          <w:szCs w:val="20"/>
          <w:color w:val="auto"/>
        </w:rPr>
      </w:pPr>
    </w:p>
    <w:p>
      <w:pPr>
        <w:ind w:left="220" w:right="580"/>
        <w:spacing w:after="0" w:line="266" w:lineRule="auto"/>
        <w:rPr>
          <w:sz w:val="20"/>
          <w:szCs w:val="20"/>
          <w:color w:val="auto"/>
        </w:rPr>
      </w:pPr>
      <w:r>
        <w:rPr>
          <w:rFonts w:ascii="Arial" w:cs="Arial" w:eastAsia="Arial" w:hAnsi="Arial"/>
          <w:sz w:val="22"/>
          <w:szCs w:val="22"/>
          <w:color w:val="7F7F7F"/>
        </w:rPr>
        <w:t>ITEM 6 – Stockholder Resolution Recommending Implementation of a Simple Majority Voting Standard in our Governance Documents</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AFL-CIO Reserve Fund (the “proponent”), 815 16</w:t>
      </w:r>
      <w:r>
        <w:rPr>
          <w:rFonts w:ascii="Arial" w:cs="Arial" w:eastAsia="Arial" w:hAnsi="Arial"/>
          <w:sz w:val="14"/>
          <w:szCs w:val="14"/>
          <w:color w:val="auto"/>
        </w:rPr>
        <w:t>th</w:t>
      </w:r>
      <w:r>
        <w:rPr>
          <w:rFonts w:ascii="Arial" w:cs="Arial" w:eastAsia="Arial" w:hAnsi="Arial"/>
          <w:sz w:val="17"/>
          <w:szCs w:val="17"/>
          <w:color w:val="auto"/>
        </w:rPr>
        <w:t xml:space="preserve"> Street, N.W., Washington, D.C. 20006 (owner of 188 shares of our Class A common stock), has advised the Company that it plans to present the following proposal at the annual meeting. If properly presented at the annual meeting by or on behalf of the proponent, the Board of Directors unanimously recommends a vote “AGAINST” the following stockholder resolution. We have included the proponent’s proposal in this proxy statement pursuant to SEC rules, and the Board’s response to it follows. The proponent’s proposal contains assertions about the Company or other statements that we believe are incorrect. We have not attempted to refute all inaccuracies.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The Proponent’s Proposal</w:t>
      </w:r>
    </w:p>
    <w:p>
      <w:pPr>
        <w:spacing w:after="0" w:line="101"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ITEM 6 – Simple Majority Vote</w:t>
      </w:r>
    </w:p>
    <w:p>
      <w:pPr>
        <w:spacing w:after="0" w:line="101" w:lineRule="exact"/>
        <w:rPr>
          <w:sz w:val="20"/>
          <w:szCs w:val="20"/>
          <w:color w:val="auto"/>
        </w:rPr>
      </w:pPr>
    </w:p>
    <w:p>
      <w:pPr>
        <w:ind w:left="660" w:right="80"/>
        <w:spacing w:after="0" w:line="277" w:lineRule="auto"/>
        <w:rPr>
          <w:sz w:val="20"/>
          <w:szCs w:val="20"/>
          <w:color w:val="auto"/>
        </w:rPr>
      </w:pPr>
      <w:r>
        <w:rPr>
          <w:rFonts w:ascii="Arial" w:cs="Arial" w:eastAsia="Arial" w:hAnsi="Arial"/>
          <w:sz w:val="17"/>
          <w:szCs w:val="17"/>
          <w:b w:val="1"/>
          <w:bCs w:val="1"/>
          <w:color w:val="auto"/>
        </w:rPr>
        <w:t>RESOLVED</w:t>
      </w:r>
      <w:r>
        <w:rPr>
          <w:rFonts w:ascii="Arial" w:cs="Arial" w:eastAsia="Arial" w:hAnsi="Arial"/>
          <w:sz w:val="17"/>
          <w:szCs w:val="17"/>
          <w:color w:val="auto"/>
        </w:rPr>
        <w:t>, Shareowners of Marriott International, Inc. (the “Company”) urge the Company to take all steps necessary, in compliance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law, to remove the supermajority vote requirements in its bylaws and Certificate of Incorporation.</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7F7F7F"/>
        </w:rPr>
        <w:t>Supporting Statement</w:t>
      </w:r>
    </w:p>
    <w:p>
      <w:pPr>
        <w:spacing w:after="0" w:line="99" w:lineRule="exact"/>
        <w:rPr>
          <w:sz w:val="20"/>
          <w:szCs w:val="20"/>
          <w:color w:val="auto"/>
        </w:rPr>
      </w:pPr>
    </w:p>
    <w:p>
      <w:pPr>
        <w:ind w:left="660" w:right="20"/>
        <w:spacing w:after="0" w:line="246" w:lineRule="auto"/>
        <w:rPr>
          <w:sz w:val="20"/>
          <w:szCs w:val="20"/>
          <w:color w:val="auto"/>
        </w:rPr>
      </w:pPr>
      <w:r>
        <w:rPr>
          <w:rFonts w:ascii="Arial" w:cs="Arial" w:eastAsia="Arial" w:hAnsi="Arial"/>
          <w:sz w:val="17"/>
          <w:szCs w:val="17"/>
          <w:color w:val="auto"/>
        </w:rPr>
        <w:t>Our Company historically has been a family-owned company with a high percentage of shares held by insiders. Then in September 2016, our Company merged with Starwood Hotels to form one of the world’s largest hotel companies. After this merger, the percentage of our Company’s shares held by public investors increased significantly. Accordingly, we believe that our Company should follow best practices in corporate governance for public companies.</w:t>
      </w:r>
    </w:p>
    <w:p>
      <w:pPr>
        <w:spacing w:after="0" w:line="62" w:lineRule="exact"/>
        <w:rPr>
          <w:sz w:val="20"/>
          <w:szCs w:val="20"/>
          <w:color w:val="auto"/>
        </w:rPr>
      </w:pPr>
    </w:p>
    <w:p>
      <w:pPr>
        <w:ind w:left="660"/>
        <w:spacing w:after="0" w:line="246" w:lineRule="auto"/>
        <w:rPr>
          <w:sz w:val="20"/>
          <w:szCs w:val="20"/>
          <w:color w:val="auto"/>
        </w:rPr>
      </w:pPr>
      <w:r>
        <w:rPr>
          <w:rFonts w:ascii="Arial" w:cs="Arial" w:eastAsia="Arial" w:hAnsi="Arial"/>
          <w:sz w:val="17"/>
          <w:szCs w:val="17"/>
          <w:color w:val="auto"/>
        </w:rPr>
        <w:t>Our Company’s bylaws and Certificate of Incorporation contain provisions that require the support of two-thirds of all outstanding shares to remove or amend. Because of abstentions and broker non-votes, achieving such a supermajority vote requirement can be difficult to obtain. Many of these corporate governance provisions affect important shareholder rights. For example, the following bylaw provisions can only be amended by a supermajority vote:</w:t>
      </w:r>
    </w:p>
    <w:p>
      <w:pPr>
        <w:spacing w:after="0" w:line="75" w:lineRule="exact"/>
        <w:rPr>
          <w:sz w:val="20"/>
          <w:szCs w:val="20"/>
          <w:color w:val="auto"/>
        </w:rPr>
      </w:pPr>
    </w:p>
    <w:p>
      <w:pPr>
        <w:ind w:left="860" w:hanging="218"/>
        <w:spacing w:after="0"/>
        <w:tabs>
          <w:tab w:leader="none" w:pos="8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Shareholders cannot remove a director without a two-thirds vote (Section 3.2)</w:t>
      </w:r>
    </w:p>
    <w:p>
      <w:pPr>
        <w:spacing w:after="0" w:line="114" w:lineRule="exact"/>
        <w:rPr>
          <w:rFonts w:ascii="Arial" w:cs="Arial" w:eastAsia="Arial" w:hAnsi="Arial"/>
          <w:sz w:val="17"/>
          <w:szCs w:val="17"/>
          <w:color w:val="auto"/>
        </w:rPr>
      </w:pPr>
    </w:p>
    <w:p>
      <w:pPr>
        <w:ind w:left="860" w:hanging="218"/>
        <w:spacing w:after="0"/>
        <w:tabs>
          <w:tab w:leader="none" w:pos="8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Company’s rules pertaining to the nomination of directors (Section 3.13)</w:t>
      </w:r>
    </w:p>
    <w:p>
      <w:pPr>
        <w:spacing w:after="0" w:line="114" w:lineRule="exact"/>
        <w:rPr>
          <w:rFonts w:ascii="Arial" w:cs="Arial" w:eastAsia="Arial" w:hAnsi="Arial"/>
          <w:sz w:val="17"/>
          <w:szCs w:val="17"/>
          <w:color w:val="auto"/>
        </w:rPr>
      </w:pPr>
    </w:p>
    <w:p>
      <w:pPr>
        <w:ind w:left="860" w:hanging="218"/>
        <w:spacing w:after="0"/>
        <w:tabs>
          <w:tab w:leader="none" w:pos="8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Shareholders cannot call special meetings or act by written consent (Section 9.1)</w:t>
      </w:r>
    </w:p>
    <w:p>
      <w:pPr>
        <w:spacing w:after="0" w:line="101" w:lineRule="exact"/>
        <w:rPr>
          <w:sz w:val="20"/>
          <w:szCs w:val="20"/>
          <w:color w:val="auto"/>
        </w:rPr>
      </w:pPr>
    </w:p>
    <w:p>
      <w:pPr>
        <w:ind w:left="660" w:right="20"/>
        <w:spacing w:after="0" w:line="246" w:lineRule="auto"/>
        <w:rPr>
          <w:sz w:val="20"/>
          <w:szCs w:val="20"/>
          <w:color w:val="auto"/>
        </w:rPr>
      </w:pPr>
      <w:r>
        <w:rPr>
          <w:rFonts w:ascii="Arial" w:cs="Arial" w:eastAsia="Arial" w:hAnsi="Arial"/>
          <w:sz w:val="17"/>
          <w:szCs w:val="17"/>
          <w:color w:val="auto"/>
        </w:rPr>
        <w:t>The Council of Institutional Investors, an association of corporate, public and union employee benefit funds and endowments with combined assets that exceed $3 trillion, opposes supermajority voting requirements. According to its policies, “A majority vote of common shares outstanding should be sufficient to amend company bylaws or take other action that requires or receives a shareowner vote. Supermajority votes should not be required.”</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these reasons, we urge shareholders to vote FOR this resolution.</w:t>
      </w:r>
    </w:p>
    <w:p>
      <w:pPr>
        <w:spacing w:after="0" w:line="147" w:lineRule="exact"/>
        <w:rPr>
          <w:sz w:val="20"/>
          <w:szCs w:val="20"/>
          <w:color w:val="auto"/>
        </w:rPr>
      </w:pPr>
    </w:p>
    <w:p>
      <w:pPr>
        <w:ind w:left="540" w:hanging="330"/>
        <w:spacing w:after="0"/>
        <w:tabs>
          <w:tab w:leader="none" w:pos="540" w:val="left"/>
        </w:tabs>
        <w:numPr>
          <w:ilvl w:val="0"/>
          <w:numId w:val="57"/>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00"/>
          </w:cols>
          <w:pgMar w:left="240" w:top="455" w:right="4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Items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Board Response</w:t>
      </w:r>
    </w:p>
    <w:p>
      <w:pPr>
        <w:spacing w:after="0" w:line="101" w:lineRule="exact"/>
        <w:rPr>
          <w:sz w:val="20"/>
          <w:szCs w:val="20"/>
          <w:color w:val="auto"/>
        </w:rPr>
      </w:pPr>
    </w:p>
    <w:p>
      <w:pPr>
        <w:ind w:left="220" w:right="580"/>
        <w:spacing w:after="0" w:line="289" w:lineRule="auto"/>
        <w:rPr>
          <w:sz w:val="20"/>
          <w:szCs w:val="20"/>
          <w:color w:val="auto"/>
        </w:rPr>
      </w:pPr>
      <w:r>
        <w:rPr>
          <w:rFonts w:ascii="Arial" w:cs="Arial" w:eastAsia="Arial" w:hAnsi="Arial"/>
          <w:sz w:val="17"/>
          <w:szCs w:val="17"/>
          <w:b w:val="1"/>
          <w:bCs w:val="1"/>
          <w:color w:val="auto"/>
        </w:rPr>
        <w:t>The Board will oppose this proposal if it is properly presented at the 2018 annual meeting and recommends a vote AGAINST this proposal for the following reasons:</w:t>
      </w:r>
    </w:p>
    <w:p>
      <w:pPr>
        <w:spacing w:after="0" w:line="17" w:lineRule="exact"/>
        <w:rPr>
          <w:sz w:val="20"/>
          <w:szCs w:val="20"/>
          <w:color w:val="auto"/>
        </w:rPr>
      </w:pPr>
    </w:p>
    <w:p>
      <w:pPr>
        <w:ind w:left="220" w:right="120"/>
        <w:spacing w:after="0" w:line="242" w:lineRule="auto"/>
        <w:rPr>
          <w:sz w:val="20"/>
          <w:szCs w:val="20"/>
          <w:color w:val="auto"/>
        </w:rPr>
      </w:pPr>
      <w:r>
        <w:rPr>
          <w:rFonts w:ascii="Arial" w:cs="Arial" w:eastAsia="Arial" w:hAnsi="Arial"/>
          <w:sz w:val="17"/>
          <w:szCs w:val="17"/>
          <w:color w:val="auto"/>
        </w:rPr>
        <w:t>The Board recommends that stockholders vote “AGAINST” this proposal for a number of reasons, as discussed below. After careful consideration, the Board has determined that adopting this proposal would not serve to enhance stockholder value and, therefore, it is not in the best interests of the Company or its stockholders. The Board also notes that, at each of the 2014, 2015 and 2016 annual meetings, stockholders considered and rejected virtually identical stockholder proposals. The Board believes that the lack of majority support for the proposal reflects a strong sentiment among stockholders that the proposal is not appropriate for the Company.</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7F7F7F"/>
        </w:rPr>
        <w:t>Voting Thresholds.</w:t>
      </w:r>
    </w:p>
    <w:p>
      <w:pPr>
        <w:spacing w:after="0" w:line="99" w:lineRule="exact"/>
        <w:rPr>
          <w:sz w:val="20"/>
          <w:szCs w:val="20"/>
          <w:color w:val="auto"/>
        </w:rPr>
      </w:pPr>
    </w:p>
    <w:p>
      <w:pPr>
        <w:ind w:left="220" w:right="40"/>
        <w:spacing w:after="0" w:line="242" w:lineRule="auto"/>
        <w:rPr>
          <w:sz w:val="20"/>
          <w:szCs w:val="20"/>
          <w:color w:val="auto"/>
        </w:rPr>
      </w:pPr>
      <w:r>
        <w:rPr>
          <w:rFonts w:ascii="Arial" w:cs="Arial" w:eastAsia="Arial" w:hAnsi="Arial"/>
          <w:sz w:val="17"/>
          <w:szCs w:val="17"/>
          <w:color w:val="auto"/>
        </w:rPr>
        <w:t>A majority of votes cast is already the voting standard for electing the Company’s directors in uncontested director elections under the Company’s existing Certificate and Bylaws (collectively, the “Governance Documents”). The approval of 66 2/3% of outstanding shares is required under the Governance Documents only for certain fundamental changes to the Company’s corporate governance, including the removal of directors, certain amendments to the Governance Documents, certain transactions with “Interested Stockholders” (described below) and the approval of certain fundamental corporate changes such as a merger, consolidation, or sale of substantially all of the assets of the Company.</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7F7F7F"/>
        </w:rPr>
        <w:t>Benefit to Stockholders of Supermajority Provisions.</w:t>
      </w:r>
    </w:p>
    <w:p>
      <w:pPr>
        <w:spacing w:after="0" w:line="99" w:lineRule="exact"/>
        <w:rPr>
          <w:sz w:val="20"/>
          <w:szCs w:val="20"/>
          <w:color w:val="auto"/>
        </w:rPr>
      </w:pPr>
    </w:p>
    <w:p>
      <w:pPr>
        <w:ind w:left="220" w:right="60"/>
        <w:spacing w:after="0" w:line="237" w:lineRule="auto"/>
        <w:rPr>
          <w:sz w:val="20"/>
          <w:szCs w:val="20"/>
          <w:color w:val="auto"/>
        </w:rPr>
      </w:pPr>
      <w:r>
        <w:rPr>
          <w:rFonts w:ascii="Arial" w:cs="Arial" w:eastAsia="Arial" w:hAnsi="Arial"/>
          <w:sz w:val="17"/>
          <w:szCs w:val="17"/>
          <w:color w:val="auto"/>
        </w:rPr>
        <w:t>Delaware law permits companies to adopt supermajority voting requirements, and a number of publicly-traded companies have adopted these provisions to preserve and maximize long-term value for all stockholders. Supermajority voting requirements on fundamental corporate matters help to protect stockholders against self-interested and potentially abusive transactions proposed by certain stockholders who may seek to advance their interests over the interests of the majority of the Company’s stockholders. For example, if the stockholder proposal were implemented, certain transactions between the Company and “Interested Stockholders” (which include stockholders who beneficially own, and affiliates of the Company that at any time in the two years preceding such a transaction have beneficially owned, at least 25% of the voting power of the Company’s stock) could be approved by only a majority of votes cast. The Board believes that the current supermajority voting standard is preferable because it would encourage Interested Stockholders to negotiate transaction terms that take into account the interests of all of the Company’s stockholders and that do not sacrifice the long-term success of the Company for short-term benefits.</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7F7F7F"/>
        </w:rPr>
        <w:t>Marriott has an Excellent Corporate Governance Structure.</w:t>
      </w:r>
    </w:p>
    <w:p>
      <w:pPr>
        <w:spacing w:after="0" w:line="99" w:lineRule="exact"/>
        <w:rPr>
          <w:sz w:val="20"/>
          <w:szCs w:val="20"/>
          <w:color w:val="auto"/>
        </w:rPr>
      </w:pPr>
    </w:p>
    <w:p>
      <w:pPr>
        <w:ind w:left="220" w:right="20"/>
        <w:spacing w:after="0" w:line="246" w:lineRule="auto"/>
        <w:rPr>
          <w:sz w:val="20"/>
          <w:szCs w:val="20"/>
          <w:color w:val="auto"/>
        </w:rPr>
      </w:pPr>
      <w:r>
        <w:rPr>
          <w:rFonts w:ascii="Arial" w:cs="Arial" w:eastAsia="Arial" w:hAnsi="Arial"/>
          <w:sz w:val="17"/>
          <w:szCs w:val="17"/>
          <w:color w:val="auto"/>
        </w:rPr>
        <w:t>The Company’s Board is firmly committed to good corporate governance and has adopted a wide range of practices and procedures that promote effective Board oversight, and the Company has earned a reputation as being a leader in this area. The Board believes that the corporate governance concerns raised by the proponent are misplaced. Some of the Company’s progressive governance policies and practices include the following:</w:t>
      </w:r>
    </w:p>
    <w:p>
      <w:pPr>
        <w:spacing w:after="0" w:line="75" w:lineRule="exact"/>
        <w:rPr>
          <w:sz w:val="20"/>
          <w:szCs w:val="20"/>
          <w:color w:val="auto"/>
        </w:rPr>
      </w:pPr>
    </w:p>
    <w:p>
      <w:pPr>
        <w:ind w:left="420" w:hanging="210"/>
        <w:spacing w:after="0"/>
        <w:tabs>
          <w:tab w:leader="none" w:pos="4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directors are elected annually by a majority of votes cast in uncontested elections;</w:t>
      </w:r>
    </w:p>
    <w:p>
      <w:pPr>
        <w:spacing w:after="0" w:line="114" w:lineRule="exact"/>
        <w:rPr>
          <w:rFonts w:ascii="Arial" w:cs="Arial" w:eastAsia="Arial" w:hAnsi="Arial"/>
          <w:sz w:val="17"/>
          <w:szCs w:val="17"/>
          <w:color w:val="auto"/>
        </w:rPr>
      </w:pPr>
    </w:p>
    <w:p>
      <w:pPr>
        <w:ind w:left="420" w:right="200" w:hanging="210"/>
        <w:spacing w:after="0" w:line="274" w:lineRule="auto"/>
        <w:tabs>
          <w:tab w:leader="none" w:pos="4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Nominating and Corporate Governance Committee evaluates each director each year and makes a recommendation to the Board on the nomination of each for election;</w:t>
      </w:r>
    </w:p>
    <w:p>
      <w:pPr>
        <w:spacing w:after="0" w:line="52" w:lineRule="exact"/>
        <w:rPr>
          <w:rFonts w:ascii="Arial" w:cs="Arial" w:eastAsia="Arial" w:hAnsi="Arial"/>
          <w:sz w:val="17"/>
          <w:szCs w:val="17"/>
          <w:color w:val="auto"/>
        </w:rPr>
      </w:pPr>
    </w:p>
    <w:p>
      <w:pPr>
        <w:ind w:left="420" w:right="200" w:hanging="210"/>
        <w:spacing w:after="0" w:line="274" w:lineRule="auto"/>
        <w:tabs>
          <w:tab w:leader="none" w:pos="4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Board has appointed an independent Lead Director who also chairs our Nominating and Corporate Governance Committee and presides over regular executive sessions and other meetings of the independent directors on the Board;</w:t>
      </w:r>
    </w:p>
    <w:p>
      <w:pPr>
        <w:spacing w:after="0" w:line="52" w:lineRule="exact"/>
        <w:rPr>
          <w:rFonts w:ascii="Arial" w:cs="Arial" w:eastAsia="Arial" w:hAnsi="Arial"/>
          <w:sz w:val="17"/>
          <w:szCs w:val="17"/>
          <w:color w:val="auto"/>
        </w:rPr>
      </w:pPr>
    </w:p>
    <w:p>
      <w:pPr>
        <w:ind w:left="420" w:hanging="210"/>
        <w:spacing w:after="0"/>
        <w:tabs>
          <w:tab w:leader="none" w:pos="4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in March 2012, the Board separated the positions of Chairman and Chief Executive Officer;</w:t>
      </w:r>
    </w:p>
    <w:p>
      <w:pPr>
        <w:spacing w:after="0" w:line="114" w:lineRule="exact"/>
        <w:rPr>
          <w:rFonts w:ascii="Arial" w:cs="Arial" w:eastAsia="Arial" w:hAnsi="Arial"/>
          <w:sz w:val="17"/>
          <w:szCs w:val="17"/>
          <w:color w:val="auto"/>
        </w:rPr>
      </w:pPr>
    </w:p>
    <w:p>
      <w:pPr>
        <w:ind w:left="420" w:hanging="210"/>
        <w:spacing w:after="0"/>
        <w:tabs>
          <w:tab w:leader="none" w:pos="4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Board established a mandatory retirement age of 72 for all directors except for Mr. Marriott;</w:t>
      </w:r>
    </w:p>
    <w:p>
      <w:pPr>
        <w:spacing w:after="0" w:line="114" w:lineRule="exact"/>
        <w:rPr>
          <w:rFonts w:ascii="Arial" w:cs="Arial" w:eastAsia="Arial" w:hAnsi="Arial"/>
          <w:sz w:val="17"/>
          <w:szCs w:val="17"/>
          <w:color w:val="auto"/>
        </w:rPr>
      </w:pPr>
    </w:p>
    <w:p>
      <w:pPr>
        <w:ind w:left="420" w:hanging="210"/>
        <w:spacing w:after="0"/>
        <w:tabs>
          <w:tab w:leader="none" w:pos="4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Company did not renew a stockholder rights plan (also known as a poison pill) when it expired in 2008;</w:t>
      </w:r>
    </w:p>
    <w:p>
      <w:pPr>
        <w:spacing w:after="0" w:line="114" w:lineRule="exact"/>
        <w:rPr>
          <w:rFonts w:ascii="Arial" w:cs="Arial" w:eastAsia="Arial" w:hAnsi="Arial"/>
          <w:sz w:val="17"/>
          <w:szCs w:val="17"/>
          <w:color w:val="auto"/>
        </w:rPr>
      </w:pPr>
    </w:p>
    <w:p>
      <w:pPr>
        <w:ind w:left="420" w:hanging="210"/>
        <w:spacing w:after="0"/>
        <w:tabs>
          <w:tab w:leader="none" w:pos="4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Company amended its Bylaws in 2017 to provide a market-standard proxy access right to stockholders.</w:t>
      </w:r>
    </w:p>
    <w:p>
      <w:pPr>
        <w:spacing w:after="0" w:line="147" w:lineRule="exact"/>
        <w:rPr>
          <w:sz w:val="20"/>
          <w:szCs w:val="20"/>
          <w:color w:val="auto"/>
        </w:rPr>
      </w:pPr>
    </w:p>
    <w:tbl>
      <w:tblPr>
        <w:tblLayout w:type="fixed"/>
        <w:tblInd w:w="9180" w:type="dxa"/>
        <w:tblCellMar>
          <w:top w:w="0" w:type="dxa"/>
          <w:left w:w="0" w:type="dxa"/>
          <w:bottom w:w="0" w:type="dxa"/>
          <w:right w:w="0" w:type="dxa"/>
        </w:tblCellMar>
      </w:tblPr>
      <w:tr>
        <w:trPr>
          <w:trHeight w:val="214"/>
        </w:trPr>
        <w:tc>
          <w:tcPr>
            <w:tcW w:w="1660" w:type="dxa"/>
            <w:vAlign w:val="bottom"/>
          </w:tcPr>
          <w:p>
            <w:pPr>
              <w:spacing w:after="0"/>
              <w:rPr>
                <w:sz w:val="20"/>
                <w:szCs w:val="20"/>
                <w:color w:val="auto"/>
              </w:rPr>
            </w:pPr>
            <w:r>
              <w:rPr>
                <w:rFonts w:ascii="Arial" w:cs="Arial" w:eastAsia="Arial" w:hAnsi="Arial"/>
                <w:sz w:val="15"/>
                <w:szCs w:val="15"/>
                <w:color w:val="998C87"/>
              </w:rPr>
              <w:t>2018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15</w:t>
            </w:r>
          </w:p>
        </w:tc>
      </w:tr>
    </w:tbl>
    <w:p>
      <w:pPr>
        <w:sectPr>
          <w:pgSz w:w="11900" w:h="16838" w:orient="portrait"/>
          <w:cols w:equalWidth="0" w:num="1">
            <w:col w:w="11220"/>
          </w:cols>
          <w:pgMar w:left="240" w:top="455" w:right="4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Items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1" w:lineRule="exact"/>
        <w:rPr>
          <w:sz w:val="20"/>
          <w:szCs w:val="20"/>
          <w:color w:val="auto"/>
        </w:rPr>
      </w:pPr>
    </w:p>
    <w:p>
      <w:pPr>
        <w:jc w:val="both"/>
        <w:ind w:left="220" w:right="460"/>
        <w:spacing w:after="0" w:line="253" w:lineRule="auto"/>
        <w:rPr>
          <w:sz w:val="20"/>
          <w:szCs w:val="20"/>
          <w:color w:val="auto"/>
        </w:rPr>
      </w:pPr>
      <w:r>
        <w:rPr>
          <w:rFonts w:ascii="Arial" w:cs="Arial" w:eastAsia="Arial" w:hAnsi="Arial"/>
          <w:sz w:val="17"/>
          <w:szCs w:val="17"/>
          <w:color w:val="auto"/>
        </w:rPr>
        <w:t xml:space="preserve">In addition, the Company’s commitment to corporate governance has been recognized by independent third parties, including by </w:t>
      </w:r>
      <w:r>
        <w:rPr>
          <w:rFonts w:ascii="Arial" w:cs="Arial" w:eastAsia="Arial" w:hAnsi="Arial"/>
          <w:sz w:val="17"/>
          <w:szCs w:val="17"/>
          <w:i w:val="1"/>
          <w:iCs w:val="1"/>
          <w:color w:val="auto"/>
        </w:rPr>
        <w:t>Corporate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Secretary </w:t>
      </w:r>
      <w:r>
        <w:rPr>
          <w:rFonts w:ascii="Arial" w:cs="Arial" w:eastAsia="Arial" w:hAnsi="Arial"/>
          <w:sz w:val="17"/>
          <w:szCs w:val="17"/>
          <w:color w:val="auto"/>
        </w:rPr>
        <w:t>Magazine, which named the Company a finalist in the category of “Governance Team of the Year (large cap)” in 2016, and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Ethisphere Institute, which named Marriott among the “World’s Most Ethical Companies” in 2018, for the eleventh year.</w:t>
      </w:r>
    </w:p>
    <w:p>
      <w:pPr>
        <w:spacing w:after="0" w:line="56" w:lineRule="exact"/>
        <w:rPr>
          <w:sz w:val="20"/>
          <w:szCs w:val="20"/>
          <w:color w:val="auto"/>
        </w:rPr>
      </w:pPr>
    </w:p>
    <w:p>
      <w:pPr>
        <w:ind w:left="220"/>
        <w:spacing w:after="0" w:line="253" w:lineRule="auto"/>
        <w:rPr>
          <w:sz w:val="20"/>
          <w:szCs w:val="20"/>
          <w:color w:val="auto"/>
        </w:rPr>
      </w:pPr>
      <w:r>
        <w:rPr>
          <w:rFonts w:ascii="Arial" w:cs="Arial" w:eastAsia="Arial" w:hAnsi="Arial"/>
          <w:sz w:val="17"/>
          <w:szCs w:val="17"/>
          <w:color w:val="auto"/>
        </w:rPr>
        <w:t>Consistent with its current practice, the Board will continue to evaluate the future implementation of appropriate corporate governance changes. However, for the reasons discussed above, the Board does not believe it is in the best interests of stockholders or the Company to implement the stockholder proposal’s request for the lowest possible voting thresholds on all matters on which stockholders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137160</wp:posOffset>
            </wp:positionV>
            <wp:extent cx="6993890" cy="2095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3890" cy="209550"/>
                    </a:xfrm>
                    <a:prstGeom prst="rect">
                      <a:avLst/>
                    </a:prstGeom>
                    <a:noFill/>
                  </pic:spPr>
                </pic:pic>
              </a:graphicData>
            </a:graphic>
          </wp:anchor>
        </w:drawing>
      </w:r>
    </w:p>
    <w:p>
      <w:pPr>
        <w:spacing w:after="0" w:line="228"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998C87"/>
        </w:rPr>
        <w:t>For these reasons, the Board opposes this proposal and recommends a vote AGAINST the proposal.</w:t>
      </w:r>
    </w:p>
    <w:p>
      <w:pPr>
        <w:spacing w:after="0" w:line="213" w:lineRule="exact"/>
        <w:rPr>
          <w:sz w:val="20"/>
          <w:szCs w:val="20"/>
          <w:color w:val="auto"/>
        </w:rPr>
      </w:pPr>
    </w:p>
    <w:p>
      <w:pPr>
        <w:ind w:left="540" w:hanging="330"/>
        <w:spacing w:after="0"/>
        <w:tabs>
          <w:tab w:leader="none" w:pos="540" w:val="left"/>
        </w:tabs>
        <w:numPr>
          <w:ilvl w:val="0"/>
          <w:numId w:val="59"/>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160"/>
          </w:cols>
          <w:pgMar w:left="240" w:top="455" w:right="49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17"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998C87"/>
        </w:rPr>
        <w:t>CORPORATE GOVERNANCE</w:t>
      </w:r>
    </w:p>
    <w:p>
      <w:pPr>
        <w:spacing w:after="0" w:line="331"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Board Leadership Structure</w:t>
      </w:r>
    </w:p>
    <w:p>
      <w:pPr>
        <w:spacing w:after="0" w:line="104" w:lineRule="exact"/>
        <w:rPr>
          <w:sz w:val="20"/>
          <w:szCs w:val="20"/>
          <w:color w:val="auto"/>
        </w:rPr>
      </w:pPr>
    </w:p>
    <w:p>
      <w:pPr>
        <w:ind w:left="220" w:right="160"/>
        <w:spacing w:after="0" w:line="237" w:lineRule="auto"/>
        <w:rPr>
          <w:sz w:val="20"/>
          <w:szCs w:val="20"/>
          <w:color w:val="auto"/>
        </w:rPr>
      </w:pPr>
      <w:r>
        <w:rPr>
          <w:rFonts w:ascii="Arial" w:cs="Arial" w:eastAsia="Arial" w:hAnsi="Arial"/>
          <w:sz w:val="17"/>
          <w:szCs w:val="17"/>
          <w:color w:val="auto"/>
        </w:rPr>
        <w:t>While the Board has not mandated a particular leadership structure, effective March 31, 2012, the Board determined that the positions of Chairman of the Board and Chief Executive Officer should be held by separate individuals. The Board elected J.W. Marriott, Jr., who had served as the Chairman and CEO of the Company and its predecessors since 1985, to the position of Executive Chairman and Chairman of the Board, and Arne M. Sorenson, the former President and Chief Operating Officer, to the position of President and CEO. In his current role, Mr. Marriott continues to provide leadership to the Board by, among other things, working with the CEO, the independent Lead Director (discussed below), and the Corporate Secretary to set Board calendars, determine agendas for Board meetings, ensure proper flow of information to Board members, facilitate effective operation of the Board and its committees, help promote Board succession planning and the orientation of new directors, address issues of director performance, assist in consideration and Board adoption of the Company’s long-term and annual operating plans, and help promote senior management succession planning.</w:t>
      </w:r>
    </w:p>
    <w:p>
      <w:pPr>
        <w:spacing w:after="0" w:line="70" w:lineRule="exact"/>
        <w:rPr>
          <w:sz w:val="20"/>
          <w:szCs w:val="20"/>
          <w:color w:val="auto"/>
        </w:rPr>
      </w:pPr>
    </w:p>
    <w:p>
      <w:pPr>
        <w:ind w:left="220" w:right="60"/>
        <w:spacing w:after="0" w:line="238" w:lineRule="auto"/>
        <w:rPr>
          <w:sz w:val="20"/>
          <w:szCs w:val="20"/>
          <w:color w:val="auto"/>
        </w:rPr>
      </w:pPr>
      <w:r>
        <w:rPr>
          <w:rFonts w:ascii="Arial" w:cs="Arial" w:eastAsia="Arial" w:hAnsi="Arial"/>
          <w:sz w:val="17"/>
          <w:szCs w:val="17"/>
          <w:color w:val="auto"/>
        </w:rPr>
        <w:t>In 2013, the Board created the position of Lead Director and prescribed that he/she should be the independent Chairman of our Nominating and Corporate Governance Committee. Lawrence W. Kellner currently serves in those positions. The Lead Director’s responsibilities include chairing the executive sessions of the independent directors, coordinating the activities of the independent directors, having the authority to convene meetings of the independent directors, and serving as a liaison between the Chairman of the Board and the independent directors. The Lead Director also is a standing member of the Company’s Executive Committee. The Lead Director also reviews Board meeting agendas, coordinates the evaluation of Board and Committee performance, coordinates the assessment and evaluation of Board candidates, makes recommendations for changes to the Company’s governance practices, and is available for consultation and direct communication with major stockholders. We believe that the role played by the Lead Director provides strong, independent Board leadership.</w:t>
      </w:r>
    </w:p>
    <w:p>
      <w:pPr>
        <w:spacing w:after="0" w:line="68" w:lineRule="exact"/>
        <w:rPr>
          <w:sz w:val="20"/>
          <w:szCs w:val="20"/>
          <w:color w:val="auto"/>
        </w:rPr>
      </w:pPr>
    </w:p>
    <w:p>
      <w:pPr>
        <w:ind w:left="220" w:right="200"/>
        <w:spacing w:after="0" w:line="246" w:lineRule="auto"/>
        <w:rPr>
          <w:sz w:val="20"/>
          <w:szCs w:val="20"/>
          <w:color w:val="auto"/>
        </w:rPr>
      </w:pPr>
      <w:r>
        <w:rPr>
          <w:rFonts w:ascii="Arial" w:cs="Arial" w:eastAsia="Arial" w:hAnsi="Arial"/>
          <w:sz w:val="17"/>
          <w:szCs w:val="17"/>
          <w:color w:val="auto"/>
        </w:rPr>
        <w:t>Eleven of our 14 director nominees are independent, and the Audit, Compensation Policy, and Nominating and Corporate Governance committees are composed solely of independent directors. Consequently, the independent directors directly oversee such critical items as the Company’s financial statements, executive compensation, the selection and evaluation of directors and the development and implementation of our corporate governance programs.</w:t>
      </w:r>
    </w:p>
    <w:p>
      <w:pPr>
        <w:spacing w:after="0" w:line="62" w:lineRule="exact"/>
        <w:rPr>
          <w:sz w:val="20"/>
          <w:szCs w:val="20"/>
          <w:color w:val="auto"/>
        </w:rPr>
      </w:pPr>
    </w:p>
    <w:p>
      <w:pPr>
        <w:ind w:left="220" w:right="40"/>
        <w:spacing w:after="0" w:line="246" w:lineRule="auto"/>
        <w:rPr>
          <w:sz w:val="20"/>
          <w:szCs w:val="20"/>
          <w:color w:val="auto"/>
        </w:rPr>
      </w:pPr>
      <w:r>
        <w:rPr>
          <w:rFonts w:ascii="Arial" w:cs="Arial" w:eastAsia="Arial" w:hAnsi="Arial"/>
          <w:sz w:val="17"/>
          <w:szCs w:val="17"/>
          <w:color w:val="auto"/>
        </w:rPr>
        <w:t>The Board will continue to review our Board leadership structure as part of the succession planning process that is described in our Governance Principles. We believe that our leadership structure, in which the roles of Chairman and CEO are separate, together with an experienced and engaged Lead Director and independent key committees, is and will continue to be effective and is the optimal structure for our Company and our stockholders.</w:t>
      </w:r>
    </w:p>
    <w:p>
      <w:pPr>
        <w:spacing w:after="0" w:line="271"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Selection of Director Nominees</w:t>
      </w:r>
    </w:p>
    <w:p>
      <w:pPr>
        <w:spacing w:after="0" w:line="104" w:lineRule="exact"/>
        <w:rPr>
          <w:sz w:val="20"/>
          <w:szCs w:val="20"/>
          <w:color w:val="auto"/>
        </w:rPr>
      </w:pPr>
    </w:p>
    <w:p>
      <w:pPr>
        <w:ind w:left="220" w:right="200"/>
        <w:spacing w:after="0" w:line="239" w:lineRule="auto"/>
        <w:rPr>
          <w:sz w:val="20"/>
          <w:szCs w:val="20"/>
          <w:color w:val="auto"/>
        </w:rPr>
      </w:pPr>
      <w:r>
        <w:rPr>
          <w:rFonts w:ascii="Arial" w:cs="Arial" w:eastAsia="Arial" w:hAnsi="Arial"/>
          <w:sz w:val="17"/>
          <w:szCs w:val="17"/>
          <w:color w:val="auto"/>
        </w:rPr>
        <w:t>The Nominating and Corporate Governance Committee will consider candidates for Board membership suggested by its members, other Board members, management, and stockholders. As a stockholder, you may recommend any person for consideration as a nominee for director by writing to the Nominating and Corporate Governance Committee of the Board of Directors, c/o Marriott International, Inc., Department 52/862, 10400 Fernwood Road, Bethesda, Maryland 20817. Recommendations must include the name and address of the stockholder making the recommendation, a representation that the stockholder is a holder of record of Class A common stock, biographical information about the individual recommended and any other information the stockholder believes would be helpful to the Nominating and Corporate Governance Committee in evaluating the individual recommended.</w:t>
      </w:r>
    </w:p>
    <w:p>
      <w:pPr>
        <w:spacing w:after="0" w:line="67" w:lineRule="exact"/>
        <w:rPr>
          <w:sz w:val="20"/>
          <w:szCs w:val="20"/>
          <w:color w:val="auto"/>
        </w:rPr>
      </w:pPr>
    </w:p>
    <w:p>
      <w:pPr>
        <w:ind w:left="220" w:right="500"/>
        <w:spacing w:after="0" w:line="274" w:lineRule="auto"/>
        <w:rPr>
          <w:sz w:val="20"/>
          <w:szCs w:val="20"/>
          <w:color w:val="auto"/>
        </w:rPr>
      </w:pPr>
      <w:r>
        <w:rPr>
          <w:rFonts w:ascii="Arial" w:cs="Arial" w:eastAsia="Arial" w:hAnsi="Arial"/>
          <w:sz w:val="17"/>
          <w:szCs w:val="17"/>
          <w:color w:val="auto"/>
        </w:rPr>
        <w:t>Once the Nominating and Corporate Governance Committee has identified a candidate, the Committee evaluates the candidate against the qualifications set out in the Company’s Governance Principles, including:</w:t>
      </w:r>
    </w:p>
    <w:p>
      <w:pPr>
        <w:spacing w:after="0" w:line="53" w:lineRule="exact"/>
        <w:rPr>
          <w:sz w:val="20"/>
          <w:szCs w:val="20"/>
          <w:color w:val="auto"/>
        </w:rPr>
      </w:pPr>
    </w:p>
    <w:p>
      <w:pPr>
        <w:ind w:left="420" w:hanging="210"/>
        <w:spacing w:after="0"/>
        <w:tabs>
          <w:tab w:leader="none" w:pos="4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character, judgment, personal and professional ethics, integrity, values, and familiarity with national and international issues affecting business;</w:t>
      </w:r>
    </w:p>
    <w:p>
      <w:pPr>
        <w:spacing w:after="0" w:line="114" w:lineRule="exact"/>
        <w:rPr>
          <w:rFonts w:ascii="Arial" w:cs="Arial" w:eastAsia="Arial" w:hAnsi="Arial"/>
          <w:sz w:val="17"/>
          <w:szCs w:val="17"/>
          <w:color w:val="auto"/>
        </w:rPr>
      </w:pPr>
    </w:p>
    <w:p>
      <w:pPr>
        <w:ind w:left="420" w:hanging="210"/>
        <w:spacing w:after="0"/>
        <w:tabs>
          <w:tab w:leader="none" w:pos="4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depth of experience, skills, and knowledge complementary to the Board and the Company’s business; and</w:t>
      </w:r>
    </w:p>
    <w:p>
      <w:pPr>
        <w:spacing w:after="0" w:line="114" w:lineRule="exact"/>
        <w:rPr>
          <w:rFonts w:ascii="Arial" w:cs="Arial" w:eastAsia="Arial" w:hAnsi="Arial"/>
          <w:sz w:val="17"/>
          <w:szCs w:val="17"/>
          <w:color w:val="auto"/>
        </w:rPr>
      </w:pPr>
    </w:p>
    <w:p>
      <w:pPr>
        <w:ind w:left="420" w:hanging="210"/>
        <w:spacing w:after="0"/>
        <w:tabs>
          <w:tab w:leader="none" w:pos="4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willingness to devote sufficient time to carry out the duties and responsibilities effectively.</w:t>
      </w:r>
    </w:p>
    <w:p>
      <w:pPr>
        <w:spacing w:after="0" w:line="101" w:lineRule="exact"/>
        <w:rPr>
          <w:sz w:val="20"/>
          <w:szCs w:val="20"/>
          <w:color w:val="auto"/>
        </w:rPr>
      </w:pPr>
    </w:p>
    <w:p>
      <w:pPr>
        <w:ind w:left="220" w:right="380"/>
        <w:spacing w:after="0" w:line="253" w:lineRule="auto"/>
        <w:rPr>
          <w:sz w:val="20"/>
          <w:szCs w:val="20"/>
          <w:color w:val="auto"/>
        </w:rPr>
      </w:pPr>
      <w:r>
        <w:rPr>
          <w:rFonts w:ascii="Arial" w:cs="Arial" w:eastAsia="Arial" w:hAnsi="Arial"/>
          <w:sz w:val="17"/>
          <w:szCs w:val="17"/>
          <w:color w:val="auto"/>
        </w:rPr>
        <w:t>In addition, while the Committee does not maintain a formal diversity policy for Board membership, it may consider diversity in identifying candidates for the Board as one of several criteria that it uses as part of that process. The Committee assesses the effectiveness of its Board membership criteria in evaluating the composition of the Board. The</w:t>
      </w:r>
    </w:p>
    <w:p>
      <w:pPr>
        <w:spacing w:after="0" w:line="102" w:lineRule="exact"/>
        <w:rPr>
          <w:sz w:val="20"/>
          <w:szCs w:val="20"/>
          <w:color w:val="auto"/>
        </w:rPr>
      </w:pPr>
    </w:p>
    <w:tbl>
      <w:tblPr>
        <w:tblLayout w:type="fixed"/>
        <w:tblInd w:w="9180" w:type="dxa"/>
        <w:tblCellMar>
          <w:top w:w="0" w:type="dxa"/>
          <w:left w:w="0" w:type="dxa"/>
          <w:bottom w:w="0" w:type="dxa"/>
          <w:right w:w="0" w:type="dxa"/>
        </w:tblCellMar>
      </w:tblPr>
      <w:tr>
        <w:trPr>
          <w:trHeight w:val="214"/>
        </w:trPr>
        <w:tc>
          <w:tcPr>
            <w:tcW w:w="1660" w:type="dxa"/>
            <w:vAlign w:val="bottom"/>
          </w:tcPr>
          <w:p>
            <w:pPr>
              <w:spacing w:after="0"/>
              <w:rPr>
                <w:sz w:val="20"/>
                <w:szCs w:val="20"/>
                <w:color w:val="auto"/>
              </w:rPr>
            </w:pPr>
            <w:r>
              <w:rPr>
                <w:rFonts w:ascii="Arial" w:cs="Arial" w:eastAsia="Arial" w:hAnsi="Arial"/>
                <w:sz w:val="15"/>
                <w:szCs w:val="15"/>
                <w:color w:val="998C87"/>
              </w:rPr>
              <w:t>2018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17</w:t>
            </w:r>
          </w:p>
        </w:tc>
      </w:tr>
    </w:tbl>
    <w:p>
      <w:pPr>
        <w:sectPr>
          <w:pgSz w:w="11900" w:h="16838" w:orient="portrait"/>
          <w:cols w:equalWidth="0" w:num="1">
            <w:col w:w="11220"/>
          </w:cols>
          <w:pgMar w:left="240" w:top="455" w:right="4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1" w:lineRule="exact"/>
        <w:rPr>
          <w:sz w:val="20"/>
          <w:szCs w:val="20"/>
          <w:color w:val="auto"/>
        </w:rPr>
      </w:pPr>
    </w:p>
    <w:p>
      <w:pPr>
        <w:ind w:left="220"/>
        <w:spacing w:after="0" w:line="246" w:lineRule="auto"/>
        <w:rPr>
          <w:sz w:val="20"/>
          <w:szCs w:val="20"/>
          <w:color w:val="auto"/>
        </w:rPr>
      </w:pPr>
      <w:r>
        <w:rPr>
          <w:rFonts w:ascii="Arial" w:cs="Arial" w:eastAsia="Arial" w:hAnsi="Arial"/>
          <w:sz w:val="17"/>
          <w:szCs w:val="17"/>
          <w:color w:val="auto"/>
        </w:rPr>
        <w:t>Committee makes a recommendation to the full Board as to any persons it believes should be nominated by the Board, and the Board determines the nominees after considering the recommendation and report of the Committee. The procedures for considering candidates recommended by a stockholder for Board membership are consistent with the procedures for candidates recommended by members of the Nominating and Corporate Governance Committee, other members of the Board or management.</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graphics below provide a snapshot of our Board composition, tenure, independence, and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167640</wp:posOffset>
            </wp:positionV>
            <wp:extent cx="5756275" cy="36836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56275" cy="3683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40" w:hanging="330"/>
        <w:spacing w:after="0"/>
        <w:tabs>
          <w:tab w:leader="none" w:pos="540" w:val="left"/>
        </w:tabs>
        <w:numPr>
          <w:ilvl w:val="0"/>
          <w:numId w:val="61"/>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00"/>
          </w:cols>
          <w:pgMar w:left="240" w:top="455" w:right="4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Nominees to Our Board of Directors</w:t>
      </w:r>
    </w:p>
    <w:p>
      <w:pPr>
        <w:spacing w:after="0" w:line="104" w:lineRule="exact"/>
        <w:rPr>
          <w:sz w:val="20"/>
          <w:szCs w:val="20"/>
          <w:color w:val="auto"/>
        </w:rPr>
      </w:pPr>
    </w:p>
    <w:p>
      <w:pPr>
        <w:ind w:left="220" w:right="20"/>
        <w:spacing w:after="0" w:line="242" w:lineRule="auto"/>
        <w:rPr>
          <w:sz w:val="20"/>
          <w:szCs w:val="20"/>
          <w:color w:val="auto"/>
        </w:rPr>
      </w:pPr>
      <w:r>
        <w:rPr>
          <w:rFonts w:ascii="Arial" w:cs="Arial" w:eastAsia="Arial" w:hAnsi="Arial"/>
          <w:sz w:val="17"/>
          <w:szCs w:val="17"/>
          <w:color w:val="auto"/>
        </w:rPr>
        <w:t>Each of the following director nominees presently serves on our Board and their term of office will expire at the 2018 annual meeting. The age shown below for each director nominee is as of May 4, 2018, which is the date of the annual meeting. Each director nominee has been nominated to serve until the 2019 annual meeting of stockholders and until his or her successor is elected and qualified, or until his or her earlier death, resignation or removal. Set forth below is each director nominee’s biography as well as the qualifications and experiences each director nominee brings to our Board, in addition to the general qualifications discussed above.</w:t>
      </w:r>
    </w:p>
    <w:p>
      <w:pPr>
        <w:spacing w:after="0" w:line="218" w:lineRule="exact"/>
        <w:rPr>
          <w:sz w:val="20"/>
          <w:szCs w:val="20"/>
          <w:color w:val="auto"/>
        </w:rPr>
      </w:pPr>
    </w:p>
    <w:p>
      <w:pPr>
        <w:ind w:left="320"/>
        <w:spacing w:after="0"/>
        <w:tabs>
          <w:tab w:leader="none" w:pos="4120" w:val="left"/>
          <w:tab w:leader="none" w:pos="6920" w:val="left"/>
        </w:tabs>
        <w:rPr>
          <w:sz w:val="20"/>
          <w:szCs w:val="20"/>
          <w:color w:val="auto"/>
        </w:rPr>
      </w:pPr>
      <w:r>
        <w:rPr>
          <w:rFonts w:ascii="Arial" w:cs="Arial" w:eastAsia="Arial" w:hAnsi="Arial"/>
          <w:sz w:val="18"/>
          <w:szCs w:val="18"/>
          <w:b w:val="1"/>
          <w:bCs w:val="1"/>
          <w:color w:val="FFFFFF"/>
        </w:rPr>
        <w:t>J.W. Marriott, Jr.</w:t>
      </w:r>
      <w:r>
        <w:rPr>
          <w:sz w:val="20"/>
          <w:szCs w:val="20"/>
          <w:color w:val="auto"/>
        </w:rPr>
        <w:tab/>
      </w:r>
      <w:r>
        <w:rPr>
          <w:rFonts w:ascii="Arial" w:cs="Arial" w:eastAsia="Arial" w:hAnsi="Arial"/>
          <w:sz w:val="15"/>
          <w:szCs w:val="15"/>
          <w:b w:val="1"/>
          <w:bCs w:val="1"/>
          <w:color w:val="FFFFFF"/>
        </w:rPr>
        <w:t>Age: 86</w:t>
      </w:r>
      <w:r>
        <w:rPr>
          <w:sz w:val="20"/>
          <w:szCs w:val="20"/>
          <w:color w:val="auto"/>
        </w:rPr>
        <w:tab/>
      </w:r>
      <w:r>
        <w:rPr>
          <w:rFonts w:ascii="Arial" w:cs="Arial" w:eastAsia="Arial" w:hAnsi="Arial"/>
          <w:sz w:val="15"/>
          <w:szCs w:val="15"/>
          <w:b w:val="1"/>
          <w:bCs w:val="1"/>
          <w:color w:val="FFFFFF"/>
        </w:rPr>
        <w:t>Director since: 1964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-123825</wp:posOffset>
            </wp:positionV>
            <wp:extent cx="6989445"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89445" cy="171450"/>
                    </a:xfrm>
                    <a:prstGeom prst="rect">
                      <a:avLst/>
                    </a:prstGeom>
                    <a:noFill/>
                  </pic:spPr>
                </pic:pic>
              </a:graphicData>
            </a:graphic>
          </wp:anchor>
        </w:drawing>
      </w:r>
    </w:p>
    <w:p>
      <w:pPr>
        <w:spacing w:after="0" w:line="19"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3480" w:type="dxa"/>
            <w:vAlign w:val="bottom"/>
            <w:vMerge w:val="restart"/>
            <w:shd w:val="clear" w:color="auto" w:fill="E5E5E5"/>
          </w:tcPr>
          <w:p>
            <w:pPr>
              <w:ind w:left="1660"/>
              <w:spacing w:after="0"/>
              <w:rPr>
                <w:sz w:val="20"/>
                <w:szCs w:val="20"/>
                <w:color w:val="auto"/>
              </w:rPr>
            </w:pPr>
            <w:r>
              <w:rPr>
                <w:rFonts w:ascii="Arial" w:cs="Arial" w:eastAsia="Arial" w:hAnsi="Arial"/>
                <w:sz w:val="14"/>
                <w:szCs w:val="14"/>
                <w:b w:val="1"/>
                <w:bCs w:val="1"/>
                <w:color w:val="998C87"/>
              </w:rPr>
              <w:t>Executive Chairman</w:t>
            </w:r>
          </w:p>
        </w:tc>
        <w:tc>
          <w:tcPr>
            <w:tcW w:w="7520" w:type="dxa"/>
            <w:vAlign w:val="bottom"/>
            <w:shd w:val="clear" w:color="auto" w:fill="E5E5E5"/>
          </w:tcPr>
          <w:p>
            <w:pPr>
              <w:ind w:left="440"/>
              <w:spacing w:after="0"/>
              <w:rPr>
                <w:sz w:val="20"/>
                <w:szCs w:val="20"/>
                <w:color w:val="auto"/>
              </w:rPr>
            </w:pPr>
            <w:r>
              <w:rPr>
                <w:rFonts w:ascii="Arial" w:cs="Arial" w:eastAsia="Arial" w:hAnsi="Arial"/>
                <w:sz w:val="17"/>
                <w:szCs w:val="17"/>
                <w:color w:val="auto"/>
              </w:rPr>
              <w:t>Mr. Marriott was elected Executive Chairman effective March 31, 2012, having relinquished</w:t>
            </w:r>
          </w:p>
        </w:tc>
        <w:tc>
          <w:tcPr>
            <w:tcW w:w="0" w:type="dxa"/>
            <w:vAlign w:val="bottom"/>
          </w:tcPr>
          <w:p>
            <w:pPr>
              <w:spacing w:after="0"/>
              <w:rPr>
                <w:sz w:val="1"/>
                <w:szCs w:val="1"/>
                <w:color w:val="auto"/>
              </w:rPr>
            </w:pPr>
          </w:p>
        </w:tc>
      </w:tr>
      <w:tr>
        <w:trPr>
          <w:trHeight w:val="94"/>
        </w:trPr>
        <w:tc>
          <w:tcPr>
            <w:tcW w:w="3480" w:type="dxa"/>
            <w:vAlign w:val="bottom"/>
            <w:vMerge w:val="continue"/>
            <w:shd w:val="clear" w:color="auto" w:fill="E5E5E5"/>
          </w:tcPr>
          <w:p>
            <w:pPr>
              <w:spacing w:after="0"/>
              <w:rPr>
                <w:sz w:val="8"/>
                <w:szCs w:val="8"/>
                <w:color w:val="auto"/>
              </w:rPr>
            </w:pPr>
          </w:p>
        </w:tc>
        <w:tc>
          <w:tcPr>
            <w:tcW w:w="7520" w:type="dxa"/>
            <w:vAlign w:val="bottom"/>
            <w:vMerge w:val="restart"/>
            <w:shd w:val="clear" w:color="auto" w:fill="E5E5E5"/>
          </w:tcPr>
          <w:p>
            <w:pPr>
              <w:ind w:left="440"/>
              <w:spacing w:after="0" w:line="189" w:lineRule="exact"/>
              <w:rPr>
                <w:sz w:val="20"/>
                <w:szCs w:val="20"/>
                <w:color w:val="auto"/>
              </w:rPr>
            </w:pPr>
            <w:r>
              <w:rPr>
                <w:rFonts w:ascii="Arial" w:cs="Arial" w:eastAsia="Arial" w:hAnsi="Arial"/>
                <w:sz w:val="17"/>
                <w:szCs w:val="17"/>
                <w:color w:val="auto"/>
              </w:rPr>
              <w:t>his position as Chief Executive Officer. He had served as Chief Executive Officer of the</w:t>
            </w:r>
          </w:p>
        </w:tc>
        <w:tc>
          <w:tcPr>
            <w:tcW w:w="0" w:type="dxa"/>
            <w:vAlign w:val="bottom"/>
          </w:tcPr>
          <w:p>
            <w:pPr>
              <w:spacing w:after="0"/>
              <w:rPr>
                <w:sz w:val="1"/>
                <w:szCs w:val="1"/>
                <w:color w:val="auto"/>
              </w:rPr>
            </w:pPr>
          </w:p>
        </w:tc>
      </w:tr>
      <w:tr>
        <w:trPr>
          <w:trHeight w:val="95"/>
        </w:trPr>
        <w:tc>
          <w:tcPr>
            <w:tcW w:w="3480" w:type="dxa"/>
            <w:vAlign w:val="bottom"/>
            <w:vMerge w:val="restart"/>
            <w:shd w:val="clear" w:color="auto" w:fill="E5E5E5"/>
          </w:tcPr>
          <w:p>
            <w:pPr>
              <w:ind w:left="1660"/>
              <w:spacing w:after="0"/>
              <w:rPr>
                <w:sz w:val="20"/>
                <w:szCs w:val="20"/>
                <w:color w:val="auto"/>
              </w:rPr>
            </w:pPr>
            <w:r>
              <w:rPr>
                <w:rFonts w:ascii="Arial" w:cs="Arial" w:eastAsia="Arial" w:hAnsi="Arial"/>
                <w:sz w:val="14"/>
                <w:szCs w:val="14"/>
                <w:b w:val="1"/>
                <w:bCs w:val="1"/>
                <w:color w:val="998C87"/>
              </w:rPr>
              <w:t>Former Chief</w:t>
            </w:r>
          </w:p>
        </w:tc>
        <w:tc>
          <w:tcPr>
            <w:tcW w:w="7520" w:type="dxa"/>
            <w:vAlign w:val="bottom"/>
            <w:vMerge w:val="continue"/>
            <w:shd w:val="clear" w:color="auto" w:fill="E5E5E5"/>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3480" w:type="dxa"/>
            <w:vAlign w:val="bottom"/>
            <w:vMerge w:val="continue"/>
            <w:shd w:val="clear" w:color="auto" w:fill="E5E5E5"/>
          </w:tcPr>
          <w:p>
            <w:pPr>
              <w:spacing w:after="0"/>
              <w:rPr>
                <w:sz w:val="9"/>
                <w:szCs w:val="9"/>
                <w:color w:val="auto"/>
              </w:rPr>
            </w:pPr>
          </w:p>
        </w:tc>
        <w:tc>
          <w:tcPr>
            <w:tcW w:w="7520" w:type="dxa"/>
            <w:vAlign w:val="bottom"/>
            <w:vMerge w:val="restart"/>
            <w:shd w:val="clear" w:color="auto" w:fill="E5E5E5"/>
          </w:tcPr>
          <w:p>
            <w:pPr>
              <w:ind w:left="440"/>
              <w:spacing w:after="0" w:line="189" w:lineRule="exact"/>
              <w:rPr>
                <w:sz w:val="20"/>
                <w:szCs w:val="20"/>
                <w:color w:val="auto"/>
              </w:rPr>
            </w:pPr>
            <w:r>
              <w:rPr>
                <w:rFonts w:ascii="Arial" w:cs="Arial" w:eastAsia="Arial" w:hAnsi="Arial"/>
                <w:sz w:val="17"/>
                <w:szCs w:val="17"/>
                <w:color w:val="auto"/>
              </w:rPr>
              <w:t>Company and its predecessors since 1972. He continues to serve as Chairman of the</w:t>
            </w:r>
          </w:p>
        </w:tc>
        <w:tc>
          <w:tcPr>
            <w:tcW w:w="0" w:type="dxa"/>
            <w:vAlign w:val="bottom"/>
          </w:tcPr>
          <w:p>
            <w:pPr>
              <w:spacing w:after="0"/>
              <w:rPr>
                <w:sz w:val="1"/>
                <w:szCs w:val="1"/>
                <w:color w:val="auto"/>
              </w:rPr>
            </w:pPr>
          </w:p>
        </w:tc>
      </w:tr>
      <w:tr>
        <w:trPr>
          <w:trHeight w:val="82"/>
        </w:trPr>
        <w:tc>
          <w:tcPr>
            <w:tcW w:w="3480" w:type="dxa"/>
            <w:vAlign w:val="bottom"/>
            <w:vMerge w:val="restart"/>
            <w:shd w:val="clear" w:color="auto" w:fill="E5E5E5"/>
          </w:tcPr>
          <w:p>
            <w:pPr>
              <w:ind w:left="1660"/>
              <w:spacing w:after="0"/>
              <w:rPr>
                <w:sz w:val="20"/>
                <w:szCs w:val="20"/>
                <w:color w:val="auto"/>
              </w:rPr>
            </w:pPr>
            <w:r>
              <w:rPr>
                <w:rFonts w:ascii="Arial" w:cs="Arial" w:eastAsia="Arial" w:hAnsi="Arial"/>
                <w:sz w:val="14"/>
                <w:szCs w:val="14"/>
                <w:b w:val="1"/>
                <w:bCs w:val="1"/>
                <w:color w:val="998C87"/>
              </w:rPr>
              <w:t>Executive Officer</w:t>
            </w:r>
          </w:p>
        </w:tc>
        <w:tc>
          <w:tcPr>
            <w:tcW w:w="7520" w:type="dxa"/>
            <w:vAlign w:val="bottom"/>
            <w:vMerge w:val="continue"/>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3480" w:type="dxa"/>
            <w:vAlign w:val="bottom"/>
            <w:vMerge w:val="continue"/>
            <w:shd w:val="clear" w:color="auto" w:fill="E5E5E5"/>
          </w:tcPr>
          <w:p>
            <w:pPr>
              <w:spacing w:after="0"/>
              <w:rPr>
                <w:sz w:val="10"/>
                <w:szCs w:val="10"/>
                <w:color w:val="auto"/>
              </w:rPr>
            </w:pPr>
          </w:p>
        </w:tc>
        <w:tc>
          <w:tcPr>
            <w:tcW w:w="7520" w:type="dxa"/>
            <w:vAlign w:val="bottom"/>
            <w:vMerge w:val="restart"/>
            <w:shd w:val="clear" w:color="auto" w:fill="E5E5E5"/>
          </w:tcPr>
          <w:p>
            <w:pPr>
              <w:ind w:left="440"/>
              <w:spacing w:after="0" w:line="189" w:lineRule="exact"/>
              <w:rPr>
                <w:sz w:val="20"/>
                <w:szCs w:val="20"/>
                <w:color w:val="auto"/>
              </w:rPr>
            </w:pPr>
            <w:r>
              <w:rPr>
                <w:rFonts w:ascii="Arial" w:cs="Arial" w:eastAsia="Arial" w:hAnsi="Arial"/>
                <w:sz w:val="17"/>
                <w:szCs w:val="17"/>
                <w:color w:val="auto"/>
              </w:rPr>
              <w:t>Board, a position he has held since 1985. He joined Marriott Corporation (formerly Hot</w:t>
            </w:r>
          </w:p>
        </w:tc>
        <w:tc>
          <w:tcPr>
            <w:tcW w:w="0" w:type="dxa"/>
            <w:vAlign w:val="bottom"/>
          </w:tcPr>
          <w:p>
            <w:pPr>
              <w:spacing w:after="0"/>
              <w:rPr>
                <w:sz w:val="1"/>
                <w:szCs w:val="1"/>
                <w:color w:val="auto"/>
              </w:rPr>
            </w:pPr>
          </w:p>
        </w:tc>
      </w:tr>
      <w:tr>
        <w:trPr>
          <w:trHeight w:val="68"/>
        </w:trPr>
        <w:tc>
          <w:tcPr>
            <w:tcW w:w="3480" w:type="dxa"/>
            <w:vAlign w:val="bottom"/>
            <w:shd w:val="clear" w:color="auto" w:fill="E5E5E5"/>
          </w:tcPr>
          <w:p>
            <w:pPr>
              <w:spacing w:after="0"/>
              <w:rPr>
                <w:sz w:val="5"/>
                <w:szCs w:val="5"/>
                <w:color w:val="auto"/>
              </w:rPr>
            </w:pPr>
          </w:p>
        </w:tc>
        <w:tc>
          <w:tcPr>
            <w:tcW w:w="7520" w:type="dxa"/>
            <w:vAlign w:val="bottom"/>
            <w:vMerge w:val="continue"/>
            <w:shd w:val="clear" w:color="auto" w:fill="E5E5E5"/>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3480" w:type="dxa"/>
            <w:vAlign w:val="bottom"/>
            <w:shd w:val="clear" w:color="auto" w:fill="E5E5E5"/>
          </w:tcPr>
          <w:p>
            <w:pPr>
              <w:spacing w:after="0"/>
              <w:rPr>
                <w:sz w:val="16"/>
                <w:szCs w:val="16"/>
                <w:color w:val="auto"/>
              </w:rPr>
            </w:pPr>
          </w:p>
        </w:tc>
        <w:tc>
          <w:tcPr>
            <w:tcW w:w="7520" w:type="dxa"/>
            <w:vAlign w:val="bottom"/>
            <w:shd w:val="clear" w:color="auto" w:fill="E5E5E5"/>
          </w:tcPr>
          <w:p>
            <w:pPr>
              <w:ind w:left="440"/>
              <w:spacing w:after="0" w:line="189" w:lineRule="exact"/>
              <w:rPr>
                <w:sz w:val="20"/>
                <w:szCs w:val="20"/>
                <w:color w:val="auto"/>
              </w:rPr>
            </w:pPr>
            <w:r>
              <w:rPr>
                <w:rFonts w:ascii="Arial" w:cs="Arial" w:eastAsia="Arial" w:hAnsi="Arial"/>
                <w:sz w:val="17"/>
                <w:szCs w:val="17"/>
                <w:color w:val="auto"/>
              </w:rPr>
              <w:t>Shoppes, Inc.) in 1956, became President in 1964, Chief Executive Officer in 1972 and</w:t>
            </w:r>
          </w:p>
        </w:tc>
        <w:tc>
          <w:tcPr>
            <w:tcW w:w="0" w:type="dxa"/>
            <w:vAlign w:val="bottom"/>
          </w:tcPr>
          <w:p>
            <w:pPr>
              <w:spacing w:after="0"/>
              <w:rPr>
                <w:sz w:val="1"/>
                <w:szCs w:val="1"/>
                <w:color w:val="auto"/>
              </w:rPr>
            </w:pPr>
          </w:p>
        </w:tc>
      </w:tr>
      <w:tr>
        <w:trPr>
          <w:trHeight w:val="189"/>
        </w:trPr>
        <w:tc>
          <w:tcPr>
            <w:tcW w:w="3480" w:type="dxa"/>
            <w:vAlign w:val="bottom"/>
            <w:shd w:val="clear" w:color="auto" w:fill="E5E5E5"/>
          </w:tcPr>
          <w:p>
            <w:pPr>
              <w:spacing w:after="0"/>
              <w:rPr>
                <w:sz w:val="16"/>
                <w:szCs w:val="16"/>
                <w:color w:val="auto"/>
              </w:rPr>
            </w:pPr>
          </w:p>
        </w:tc>
        <w:tc>
          <w:tcPr>
            <w:tcW w:w="7520" w:type="dxa"/>
            <w:vAlign w:val="bottom"/>
            <w:shd w:val="clear" w:color="auto" w:fill="E5E5E5"/>
          </w:tcPr>
          <w:p>
            <w:pPr>
              <w:ind w:left="440"/>
              <w:spacing w:after="0" w:line="189" w:lineRule="exact"/>
              <w:rPr>
                <w:sz w:val="20"/>
                <w:szCs w:val="20"/>
                <w:color w:val="auto"/>
              </w:rPr>
            </w:pPr>
            <w:r>
              <w:rPr>
                <w:rFonts w:ascii="Arial" w:cs="Arial" w:eastAsia="Arial" w:hAnsi="Arial"/>
                <w:sz w:val="17"/>
                <w:szCs w:val="17"/>
                <w:color w:val="auto"/>
              </w:rPr>
              <w:t>Chairman of the Board in 1985. He serves on the board of trustees of The J. Willard &amp; Alice</w:t>
            </w:r>
          </w:p>
        </w:tc>
        <w:tc>
          <w:tcPr>
            <w:tcW w:w="0" w:type="dxa"/>
            <w:vAlign w:val="bottom"/>
          </w:tcPr>
          <w:p>
            <w:pPr>
              <w:spacing w:after="0"/>
              <w:rPr>
                <w:sz w:val="1"/>
                <w:szCs w:val="1"/>
                <w:color w:val="auto"/>
              </w:rPr>
            </w:pPr>
          </w:p>
        </w:tc>
      </w:tr>
      <w:tr>
        <w:trPr>
          <w:trHeight w:val="189"/>
        </w:trPr>
        <w:tc>
          <w:tcPr>
            <w:tcW w:w="3480" w:type="dxa"/>
            <w:vAlign w:val="bottom"/>
            <w:shd w:val="clear" w:color="auto" w:fill="E5E5E5"/>
          </w:tcPr>
          <w:p>
            <w:pPr>
              <w:spacing w:after="0"/>
              <w:rPr>
                <w:sz w:val="16"/>
                <w:szCs w:val="16"/>
                <w:color w:val="auto"/>
              </w:rPr>
            </w:pPr>
          </w:p>
        </w:tc>
        <w:tc>
          <w:tcPr>
            <w:tcW w:w="7520" w:type="dxa"/>
            <w:vAlign w:val="bottom"/>
            <w:shd w:val="clear" w:color="auto" w:fill="E5E5E5"/>
          </w:tcPr>
          <w:p>
            <w:pPr>
              <w:ind w:left="440"/>
              <w:spacing w:after="0" w:line="189" w:lineRule="exact"/>
              <w:rPr>
                <w:sz w:val="20"/>
                <w:szCs w:val="20"/>
                <w:color w:val="auto"/>
              </w:rPr>
            </w:pPr>
            <w:r>
              <w:rPr>
                <w:rFonts w:ascii="Arial" w:cs="Arial" w:eastAsia="Arial" w:hAnsi="Arial"/>
                <w:sz w:val="17"/>
                <w:szCs w:val="17"/>
                <w:color w:val="auto"/>
              </w:rPr>
              <w:t>S. Marriott Foundation and is a member of the Executive Committee of the World Travel &amp;</w:t>
            </w:r>
          </w:p>
        </w:tc>
        <w:tc>
          <w:tcPr>
            <w:tcW w:w="0" w:type="dxa"/>
            <w:vAlign w:val="bottom"/>
          </w:tcPr>
          <w:p>
            <w:pPr>
              <w:spacing w:after="0"/>
              <w:rPr>
                <w:sz w:val="1"/>
                <w:szCs w:val="1"/>
                <w:color w:val="auto"/>
              </w:rPr>
            </w:pPr>
          </w:p>
        </w:tc>
      </w:tr>
      <w:tr>
        <w:trPr>
          <w:trHeight w:val="189"/>
        </w:trPr>
        <w:tc>
          <w:tcPr>
            <w:tcW w:w="3480" w:type="dxa"/>
            <w:vAlign w:val="bottom"/>
            <w:shd w:val="clear" w:color="auto" w:fill="E5E5E5"/>
          </w:tcPr>
          <w:p>
            <w:pPr>
              <w:spacing w:after="0"/>
              <w:rPr>
                <w:sz w:val="16"/>
                <w:szCs w:val="16"/>
                <w:color w:val="auto"/>
              </w:rPr>
            </w:pPr>
          </w:p>
        </w:tc>
        <w:tc>
          <w:tcPr>
            <w:tcW w:w="7520" w:type="dxa"/>
            <w:vAlign w:val="bottom"/>
            <w:shd w:val="clear" w:color="auto" w:fill="E5E5E5"/>
          </w:tcPr>
          <w:p>
            <w:pPr>
              <w:ind w:left="440"/>
              <w:spacing w:after="0" w:line="189" w:lineRule="exact"/>
              <w:rPr>
                <w:sz w:val="20"/>
                <w:szCs w:val="20"/>
                <w:color w:val="auto"/>
              </w:rPr>
            </w:pPr>
            <w:r>
              <w:rPr>
                <w:rFonts w:ascii="Arial" w:cs="Arial" w:eastAsia="Arial" w:hAnsi="Arial"/>
                <w:sz w:val="17"/>
                <w:szCs w:val="17"/>
                <w:color w:val="auto"/>
              </w:rPr>
              <w:t>Tourism Council. He is the father of Deborah M. Harrison, a member of the Company’s</w:t>
            </w:r>
          </w:p>
        </w:tc>
        <w:tc>
          <w:tcPr>
            <w:tcW w:w="0" w:type="dxa"/>
            <w:vAlign w:val="bottom"/>
          </w:tcPr>
          <w:p>
            <w:pPr>
              <w:spacing w:after="0"/>
              <w:rPr>
                <w:sz w:val="1"/>
                <w:szCs w:val="1"/>
                <w:color w:val="auto"/>
              </w:rPr>
            </w:pPr>
          </w:p>
        </w:tc>
      </w:tr>
      <w:tr>
        <w:trPr>
          <w:trHeight w:val="189"/>
        </w:trPr>
        <w:tc>
          <w:tcPr>
            <w:tcW w:w="3480" w:type="dxa"/>
            <w:vAlign w:val="bottom"/>
            <w:shd w:val="clear" w:color="auto" w:fill="E5E5E5"/>
          </w:tcPr>
          <w:p>
            <w:pPr>
              <w:spacing w:after="0"/>
              <w:rPr>
                <w:sz w:val="16"/>
                <w:szCs w:val="16"/>
                <w:color w:val="auto"/>
              </w:rPr>
            </w:pPr>
          </w:p>
        </w:tc>
        <w:tc>
          <w:tcPr>
            <w:tcW w:w="7520" w:type="dxa"/>
            <w:vAlign w:val="bottom"/>
            <w:shd w:val="clear" w:color="auto" w:fill="E5E5E5"/>
          </w:tcPr>
          <w:p>
            <w:pPr>
              <w:ind w:left="440"/>
              <w:spacing w:after="0" w:line="189" w:lineRule="exact"/>
              <w:rPr>
                <w:sz w:val="20"/>
                <w:szCs w:val="20"/>
                <w:color w:val="auto"/>
              </w:rPr>
            </w:pPr>
            <w:r>
              <w:rPr>
                <w:rFonts w:ascii="Arial" w:cs="Arial" w:eastAsia="Arial" w:hAnsi="Arial"/>
                <w:sz w:val="17"/>
                <w:szCs w:val="17"/>
                <w:color w:val="auto"/>
              </w:rPr>
              <w:t>Board of Directors. Mr. Marriott has been a director of the Company and its predecessors</w:t>
            </w:r>
          </w:p>
        </w:tc>
        <w:tc>
          <w:tcPr>
            <w:tcW w:w="0" w:type="dxa"/>
            <w:vAlign w:val="bottom"/>
          </w:tcPr>
          <w:p>
            <w:pPr>
              <w:spacing w:after="0"/>
              <w:rPr>
                <w:sz w:val="1"/>
                <w:szCs w:val="1"/>
                <w:color w:val="auto"/>
              </w:rPr>
            </w:pPr>
          </w:p>
        </w:tc>
      </w:tr>
      <w:tr>
        <w:trPr>
          <w:trHeight w:val="231"/>
        </w:trPr>
        <w:tc>
          <w:tcPr>
            <w:tcW w:w="3480" w:type="dxa"/>
            <w:vAlign w:val="bottom"/>
            <w:shd w:val="clear" w:color="auto" w:fill="E5E5E5"/>
          </w:tcPr>
          <w:p>
            <w:pPr>
              <w:spacing w:after="0"/>
              <w:rPr>
                <w:sz w:val="20"/>
                <w:szCs w:val="20"/>
                <w:color w:val="auto"/>
              </w:rPr>
            </w:pPr>
          </w:p>
        </w:tc>
        <w:tc>
          <w:tcPr>
            <w:tcW w:w="7520" w:type="dxa"/>
            <w:vAlign w:val="bottom"/>
            <w:shd w:val="clear" w:color="auto" w:fill="E5E5E5"/>
          </w:tcPr>
          <w:p>
            <w:pPr>
              <w:ind w:left="440"/>
              <w:spacing w:after="0"/>
              <w:rPr>
                <w:sz w:val="20"/>
                <w:szCs w:val="20"/>
                <w:color w:val="auto"/>
              </w:rPr>
            </w:pPr>
            <w:r>
              <w:rPr>
                <w:rFonts w:ascii="Arial" w:cs="Arial" w:eastAsia="Arial" w:hAnsi="Arial"/>
                <w:sz w:val="17"/>
                <w:szCs w:val="17"/>
                <w:color w:val="auto"/>
              </w:rPr>
              <w:t>since 1964.</w:t>
            </w:r>
          </w:p>
        </w:tc>
        <w:tc>
          <w:tcPr>
            <w:tcW w:w="0" w:type="dxa"/>
            <w:vAlign w:val="bottom"/>
          </w:tcPr>
          <w:p>
            <w:pPr>
              <w:spacing w:after="0"/>
              <w:rPr>
                <w:sz w:val="1"/>
                <w:szCs w:val="1"/>
                <w:color w:val="auto"/>
              </w:rPr>
            </w:pPr>
          </w:p>
        </w:tc>
      </w:tr>
      <w:tr>
        <w:trPr>
          <w:trHeight w:val="121"/>
        </w:trPr>
        <w:tc>
          <w:tcPr>
            <w:tcW w:w="3480" w:type="dxa"/>
            <w:vAlign w:val="bottom"/>
            <w:shd w:val="clear" w:color="auto" w:fill="E5E5E5"/>
          </w:tcPr>
          <w:p>
            <w:pPr>
              <w:spacing w:after="0"/>
              <w:rPr>
                <w:sz w:val="10"/>
                <w:szCs w:val="10"/>
                <w:color w:val="auto"/>
              </w:rPr>
            </w:pPr>
          </w:p>
        </w:tc>
        <w:tc>
          <w:tcPr>
            <w:tcW w:w="7520" w:type="dxa"/>
            <w:vAlign w:val="bottom"/>
            <w:shd w:val="clear" w:color="auto" w:fill="E5E5E5"/>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-1241425</wp:posOffset>
            </wp:positionV>
            <wp:extent cx="890905" cy="11309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90905" cy="1130935"/>
                    </a:xfrm>
                    <a:prstGeom prst="rect">
                      <a:avLst/>
                    </a:prstGeom>
                    <a:noFill/>
                  </pic:spPr>
                </pic:pic>
              </a:graphicData>
            </a:graphic>
          </wp:anchor>
        </w:drawing>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998C87"/>
        </w:rPr>
        <w:t>Professional Highlights:</w:t>
      </w:r>
    </w:p>
    <w:p>
      <w:pPr>
        <w:spacing w:after="0" w:line="49" w:lineRule="exact"/>
        <w:rPr>
          <w:sz w:val="20"/>
          <w:szCs w:val="20"/>
          <w:color w:val="auto"/>
        </w:rPr>
      </w:pPr>
    </w:p>
    <w:p>
      <w:pPr>
        <w:ind w:left="220" w:right="200"/>
        <w:spacing w:after="0" w:line="253" w:lineRule="auto"/>
        <w:rPr>
          <w:sz w:val="20"/>
          <w:szCs w:val="20"/>
          <w:color w:val="auto"/>
        </w:rPr>
      </w:pPr>
      <w:r>
        <w:rPr>
          <w:rFonts w:ascii="Arial" w:cs="Arial" w:eastAsia="Arial" w:hAnsi="Arial"/>
          <w:sz w:val="17"/>
          <w:szCs w:val="17"/>
          <w:color w:val="auto"/>
        </w:rPr>
        <w:t>As a result of his service as CEO of the Company for over 40 years, Mr. Marriott brings to the Board and our Executive Committee, which he chairs, extensive leadership experience with, and knowledge of, the Company’s business and strategy as well as a historical perspective on the Company’s growth and operations. Mr. Marriott’s iconic status in the hospitality industry provides a unique advantage to the Company.</w:t>
      </w:r>
    </w:p>
    <w:p>
      <w:pPr>
        <w:spacing w:after="0" w:line="219" w:lineRule="exact"/>
        <w:rPr>
          <w:sz w:val="20"/>
          <w:szCs w:val="20"/>
          <w:color w:val="auto"/>
        </w:rPr>
      </w:pPr>
    </w:p>
    <w:tbl>
      <w:tblPr>
        <w:tblLayout w:type="fixed"/>
        <w:tblInd w:w="220" w:type="dxa"/>
        <w:tblCellMar>
          <w:top w:w="0" w:type="dxa"/>
          <w:left w:w="0" w:type="dxa"/>
          <w:bottom w:w="0" w:type="dxa"/>
          <w:right w:w="0" w:type="dxa"/>
        </w:tblCellMar>
      </w:tblPr>
      <w:tr>
        <w:trPr>
          <w:trHeight w:val="256"/>
        </w:trPr>
        <w:tc>
          <w:tcPr>
            <w:tcW w:w="3400" w:type="dxa"/>
            <w:vAlign w:val="bottom"/>
            <w:shd w:val="clear" w:color="auto" w:fill="998C87"/>
          </w:tcPr>
          <w:p>
            <w:pPr>
              <w:ind w:left="100"/>
              <w:spacing w:after="0"/>
              <w:rPr>
                <w:sz w:val="20"/>
                <w:szCs w:val="20"/>
                <w:color w:val="auto"/>
              </w:rPr>
            </w:pPr>
            <w:r>
              <w:rPr>
                <w:rFonts w:ascii="Arial" w:cs="Arial" w:eastAsia="Arial" w:hAnsi="Arial"/>
                <w:sz w:val="18"/>
                <w:szCs w:val="18"/>
                <w:b w:val="1"/>
                <w:bCs w:val="1"/>
                <w:color w:val="FFFFFF"/>
              </w:rPr>
              <w:t>Mary K. Bush</w:t>
            </w:r>
          </w:p>
        </w:tc>
        <w:tc>
          <w:tcPr>
            <w:tcW w:w="2200" w:type="dxa"/>
            <w:vAlign w:val="bottom"/>
            <w:shd w:val="clear" w:color="auto" w:fill="998C87"/>
          </w:tcPr>
          <w:p>
            <w:pPr>
              <w:ind w:left="520"/>
              <w:spacing w:after="0"/>
              <w:rPr>
                <w:sz w:val="20"/>
                <w:szCs w:val="20"/>
                <w:color w:val="auto"/>
              </w:rPr>
            </w:pPr>
            <w:r>
              <w:rPr>
                <w:rFonts w:ascii="Arial" w:cs="Arial" w:eastAsia="Arial" w:hAnsi="Arial"/>
                <w:sz w:val="15"/>
                <w:szCs w:val="15"/>
                <w:b w:val="1"/>
                <w:bCs w:val="1"/>
                <w:color w:val="FFFFFF"/>
              </w:rPr>
              <w:t>Age: 70</w:t>
            </w:r>
          </w:p>
        </w:tc>
        <w:tc>
          <w:tcPr>
            <w:tcW w:w="5400" w:type="dxa"/>
            <w:vAlign w:val="bottom"/>
            <w:shd w:val="clear" w:color="auto" w:fill="998C87"/>
          </w:tcPr>
          <w:p>
            <w:pPr>
              <w:ind w:left="1120"/>
              <w:spacing w:after="0"/>
              <w:rPr>
                <w:sz w:val="20"/>
                <w:szCs w:val="20"/>
                <w:color w:val="auto"/>
              </w:rPr>
            </w:pPr>
            <w:r>
              <w:rPr>
                <w:rFonts w:ascii="Arial" w:cs="Arial" w:eastAsia="Arial" w:hAnsi="Arial"/>
                <w:sz w:val="15"/>
                <w:szCs w:val="15"/>
                <w:b w:val="1"/>
                <w:bCs w:val="1"/>
                <w:color w:val="FFFFFF"/>
              </w:rPr>
              <w:t>Director since: 2008</w:t>
            </w:r>
          </w:p>
        </w:tc>
        <w:tc>
          <w:tcPr>
            <w:tcW w:w="0" w:type="dxa"/>
            <w:vAlign w:val="bottom"/>
          </w:tcPr>
          <w:p>
            <w:pPr>
              <w:spacing w:after="0"/>
              <w:rPr>
                <w:sz w:val="1"/>
                <w:szCs w:val="1"/>
                <w:color w:val="auto"/>
              </w:rPr>
            </w:pPr>
          </w:p>
        </w:tc>
      </w:tr>
      <w:tr>
        <w:trPr>
          <w:trHeight w:val="174"/>
        </w:trPr>
        <w:tc>
          <w:tcPr>
            <w:tcW w:w="3400" w:type="dxa"/>
            <w:vAlign w:val="bottom"/>
            <w:vMerge w:val="restart"/>
          </w:tcPr>
          <w:p>
            <w:pPr>
              <w:ind w:left="1660"/>
              <w:spacing w:after="0"/>
              <w:rPr>
                <w:sz w:val="20"/>
                <w:szCs w:val="20"/>
                <w:color w:val="auto"/>
              </w:rPr>
            </w:pPr>
            <w:r>
              <w:rPr>
                <w:rFonts w:ascii="Arial" w:cs="Arial" w:eastAsia="Arial" w:hAnsi="Arial"/>
                <w:sz w:val="14"/>
                <w:szCs w:val="14"/>
                <w:b w:val="1"/>
                <w:bCs w:val="1"/>
                <w:color w:val="998C87"/>
              </w:rPr>
              <w:t>President of Bush</w:t>
            </w:r>
          </w:p>
        </w:tc>
        <w:tc>
          <w:tcPr>
            <w:tcW w:w="7600" w:type="dxa"/>
            <w:vAlign w:val="bottom"/>
            <w:gridSpan w:val="2"/>
          </w:tcPr>
          <w:p>
            <w:pPr>
              <w:ind w:left="520"/>
              <w:spacing w:after="0" w:line="174" w:lineRule="exact"/>
              <w:rPr>
                <w:sz w:val="20"/>
                <w:szCs w:val="20"/>
                <w:color w:val="auto"/>
              </w:rPr>
            </w:pPr>
            <w:r>
              <w:rPr>
                <w:rFonts w:ascii="Arial" w:cs="Arial" w:eastAsia="Arial" w:hAnsi="Arial"/>
                <w:sz w:val="17"/>
                <w:szCs w:val="17"/>
                <w:color w:val="auto"/>
              </w:rPr>
              <w:t>The Honorable Mary K. Bush has served as President of Bush International, LLC, an</w:t>
            </w:r>
          </w:p>
        </w:tc>
        <w:tc>
          <w:tcPr>
            <w:tcW w:w="0" w:type="dxa"/>
            <w:vAlign w:val="bottom"/>
          </w:tcPr>
          <w:p>
            <w:pPr>
              <w:spacing w:after="0"/>
              <w:rPr>
                <w:sz w:val="1"/>
                <w:szCs w:val="1"/>
                <w:color w:val="auto"/>
              </w:rPr>
            </w:pPr>
          </w:p>
        </w:tc>
      </w:tr>
      <w:tr>
        <w:trPr>
          <w:trHeight w:val="53"/>
        </w:trPr>
        <w:tc>
          <w:tcPr>
            <w:tcW w:w="3400" w:type="dxa"/>
            <w:vAlign w:val="bottom"/>
            <w:vMerge w:val="continue"/>
          </w:tcPr>
          <w:p>
            <w:pPr>
              <w:spacing w:after="0"/>
              <w:rPr>
                <w:sz w:val="4"/>
                <w:szCs w:val="4"/>
                <w:color w:val="auto"/>
              </w:rPr>
            </w:pPr>
          </w:p>
        </w:tc>
        <w:tc>
          <w:tcPr>
            <w:tcW w:w="7600" w:type="dxa"/>
            <w:vAlign w:val="bottom"/>
            <w:gridSpan w:val="2"/>
            <w:vMerge w:val="restart"/>
          </w:tcPr>
          <w:p>
            <w:pPr>
              <w:ind w:left="520"/>
              <w:spacing w:after="0"/>
              <w:rPr>
                <w:sz w:val="20"/>
                <w:szCs w:val="20"/>
                <w:color w:val="auto"/>
              </w:rPr>
            </w:pPr>
            <w:r>
              <w:rPr>
                <w:rFonts w:ascii="Arial" w:cs="Arial" w:eastAsia="Arial" w:hAnsi="Arial"/>
                <w:sz w:val="17"/>
                <w:szCs w:val="17"/>
                <w:color w:val="auto"/>
              </w:rPr>
              <w:t>advisor to U.S. corporations and foreign governments on international capital markets,</w:t>
            </w:r>
          </w:p>
        </w:tc>
        <w:tc>
          <w:tcPr>
            <w:tcW w:w="0" w:type="dxa"/>
            <w:vAlign w:val="bottom"/>
          </w:tcPr>
          <w:p>
            <w:pPr>
              <w:spacing w:after="0"/>
              <w:rPr>
                <w:sz w:val="1"/>
                <w:szCs w:val="1"/>
                <w:color w:val="auto"/>
              </w:rPr>
            </w:pPr>
          </w:p>
        </w:tc>
      </w:tr>
      <w:tr>
        <w:trPr>
          <w:trHeight w:val="157"/>
        </w:trPr>
        <w:tc>
          <w:tcPr>
            <w:tcW w:w="3400" w:type="dxa"/>
            <w:vAlign w:val="bottom"/>
          </w:tcPr>
          <w:p>
            <w:pPr>
              <w:ind w:left="1660"/>
              <w:spacing w:after="0" w:line="157" w:lineRule="exact"/>
              <w:rPr>
                <w:sz w:val="20"/>
                <w:szCs w:val="20"/>
                <w:color w:val="auto"/>
              </w:rPr>
            </w:pPr>
            <w:r>
              <w:rPr>
                <w:rFonts w:ascii="Arial" w:cs="Arial" w:eastAsia="Arial" w:hAnsi="Arial"/>
                <w:sz w:val="14"/>
                <w:szCs w:val="14"/>
                <w:b w:val="1"/>
                <w:bCs w:val="1"/>
                <w:color w:val="998C87"/>
              </w:rPr>
              <w:t>International, LLC</w:t>
            </w:r>
          </w:p>
        </w:tc>
        <w:tc>
          <w:tcPr>
            <w:tcW w:w="76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-252730</wp:posOffset>
            </wp:positionV>
            <wp:extent cx="6989445" cy="21926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89445" cy="2192655"/>
                    </a:xfrm>
                    <a:prstGeom prst="rect">
                      <a:avLst/>
                    </a:prstGeom>
                    <a:noFill/>
                  </pic:spPr>
                </pic:pic>
              </a:graphicData>
            </a:graphic>
          </wp:anchor>
        </w:drawing>
      </w:r>
    </w:p>
    <w:p>
      <w:pPr>
        <w:ind w:left="4140" w:right="180"/>
        <w:spacing w:after="0" w:line="231" w:lineRule="auto"/>
        <w:rPr>
          <w:sz w:val="20"/>
          <w:szCs w:val="20"/>
          <w:color w:val="auto"/>
        </w:rPr>
      </w:pPr>
      <w:r>
        <w:rPr>
          <w:rFonts w:ascii="Arial" w:cs="Arial" w:eastAsia="Arial" w:hAnsi="Arial"/>
          <w:sz w:val="17"/>
          <w:szCs w:val="17"/>
          <w:color w:val="auto"/>
        </w:rPr>
        <w:t>strategic business and economic matters, since 1991. She has held several Presidential appointments including the U.S. Government’s representative on the IMF Board and Director of Sallie Mae. She also was head of the Federal Home Loan Bank System during the aftermath of the Savings and Loan crisis and was advisor to the Deputy Secretary of the U.S. Treasury Department. Earlier in her career, she managed global banking and corporate finance relationships at New York money center banks including Citibank, Banker’s Trust, and Chase. In 2006, President Bush appointed her Chairman of the Congressionally chartered HELP Commission on reforming foreign aid. In 2007, she was appointed by the Secretary of the Treasury to the U.S. Treasury Advisory Committee on the Auditing Profession. She serves on the board of directors of Bloom Energy, Inc., Discover Financial Services, ManTech International Corporation, and T. Rowe Price Group, Inc.</w:t>
      </w:r>
    </w:p>
    <w:p>
      <w:pPr>
        <w:spacing w:after="0" w:line="8" w:lineRule="exact"/>
        <w:rPr>
          <w:sz w:val="20"/>
          <w:szCs w:val="20"/>
          <w:color w:val="auto"/>
        </w:rPr>
      </w:pPr>
    </w:p>
    <w:p>
      <w:pPr>
        <w:ind w:left="4140" w:right="180"/>
        <w:spacing w:after="0" w:line="236" w:lineRule="auto"/>
        <w:rPr>
          <w:sz w:val="20"/>
          <w:szCs w:val="20"/>
          <w:color w:val="auto"/>
        </w:rPr>
      </w:pPr>
      <w:r>
        <w:rPr>
          <w:rFonts w:ascii="Arial" w:cs="Arial" w:eastAsia="Arial" w:hAnsi="Arial"/>
          <w:sz w:val="17"/>
          <w:szCs w:val="17"/>
          <w:color w:val="auto"/>
        </w:rPr>
        <w:t>Ms. Bush also was a director of Briggs &amp; Stratton, Inc. from 2004 to 2009, of United Airlines from 2006 to 2010 and of the Pioneer Family of Mutual Funds from 1997 to 2012. Ms. Bush is Chairman of Capital Partners for Education, an education not-for-profit corporation. She also serves on the Kennedy Center’s Community Advisory Board. Ms. Bush has been a director of the Company since 2008.</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998C87"/>
        </w:rPr>
        <w:t>Professional Highlights:</w:t>
      </w:r>
    </w:p>
    <w:p>
      <w:pPr>
        <w:spacing w:after="0" w:line="49" w:lineRule="exact"/>
        <w:rPr>
          <w:sz w:val="20"/>
          <w:szCs w:val="20"/>
          <w:color w:val="auto"/>
        </w:rPr>
      </w:pPr>
    </w:p>
    <w:p>
      <w:pPr>
        <w:ind w:left="220" w:right="420"/>
        <w:spacing w:after="0" w:line="253" w:lineRule="auto"/>
        <w:rPr>
          <w:sz w:val="20"/>
          <w:szCs w:val="20"/>
          <w:color w:val="auto"/>
        </w:rPr>
      </w:pPr>
      <w:r>
        <w:rPr>
          <w:rFonts w:ascii="Arial" w:cs="Arial" w:eastAsia="Arial" w:hAnsi="Arial"/>
          <w:sz w:val="17"/>
          <w:szCs w:val="17"/>
          <w:color w:val="auto"/>
        </w:rPr>
        <w:t>Ms. Bush brings to the Board, our Audit Committee and our Compensation Policy Committee extensive financial, international and U.S. government experience, her knowledge of corporate governance and financial oversight gained from her membership on the boards of other public companies, knowledge of public policy matters and capital markets and her significant experience in international arenas.</w:t>
      </w:r>
    </w:p>
    <w:p>
      <w:pPr>
        <w:spacing w:after="0" w:line="102" w:lineRule="exact"/>
        <w:rPr>
          <w:sz w:val="20"/>
          <w:szCs w:val="20"/>
          <w:color w:val="auto"/>
        </w:rPr>
      </w:pPr>
    </w:p>
    <w:tbl>
      <w:tblPr>
        <w:tblLayout w:type="fixed"/>
        <w:tblInd w:w="9180" w:type="dxa"/>
        <w:tblCellMar>
          <w:top w:w="0" w:type="dxa"/>
          <w:left w:w="0" w:type="dxa"/>
          <w:bottom w:w="0" w:type="dxa"/>
          <w:right w:w="0" w:type="dxa"/>
        </w:tblCellMar>
      </w:tblPr>
      <w:tr>
        <w:trPr>
          <w:trHeight w:val="214"/>
        </w:trPr>
        <w:tc>
          <w:tcPr>
            <w:tcW w:w="1660" w:type="dxa"/>
            <w:vAlign w:val="bottom"/>
          </w:tcPr>
          <w:p>
            <w:pPr>
              <w:spacing w:after="0"/>
              <w:rPr>
                <w:sz w:val="20"/>
                <w:szCs w:val="20"/>
                <w:color w:val="auto"/>
              </w:rPr>
            </w:pPr>
            <w:r>
              <w:rPr>
                <w:rFonts w:ascii="Arial" w:cs="Arial" w:eastAsia="Arial" w:hAnsi="Arial"/>
                <w:sz w:val="15"/>
                <w:szCs w:val="15"/>
                <w:color w:val="998C87"/>
              </w:rPr>
              <w:t>2018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19</w:t>
            </w:r>
          </w:p>
        </w:tc>
      </w:tr>
    </w:tbl>
    <w:p>
      <w:pPr>
        <w:sectPr>
          <w:pgSz w:w="11900" w:h="16838" w:orient="portrait"/>
          <w:cols w:equalWidth="0" w:num="1">
            <w:col w:w="11220"/>
          </w:cols>
          <w:pgMar w:left="240" w:top="455" w:right="4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49" w:lineRule="exact"/>
        <w:rPr>
          <w:sz w:val="20"/>
          <w:szCs w:val="20"/>
          <w:color w:val="auto"/>
        </w:rPr>
      </w:pPr>
    </w:p>
    <w:tbl>
      <w:tblPr>
        <w:tblLayout w:type="fixed"/>
        <w:tblInd w:w="220" w:type="dxa"/>
        <w:tblCellMar>
          <w:top w:w="0" w:type="dxa"/>
          <w:left w:w="0" w:type="dxa"/>
          <w:bottom w:w="0" w:type="dxa"/>
          <w:right w:w="0" w:type="dxa"/>
        </w:tblCellMar>
      </w:tblPr>
      <w:tr>
        <w:trPr>
          <w:trHeight w:val="256"/>
        </w:trPr>
        <w:tc>
          <w:tcPr>
            <w:tcW w:w="3580" w:type="dxa"/>
            <w:vAlign w:val="bottom"/>
            <w:shd w:val="clear" w:color="auto" w:fill="998C87"/>
          </w:tcPr>
          <w:p>
            <w:pPr>
              <w:ind w:left="100"/>
              <w:spacing w:after="0"/>
              <w:rPr>
                <w:sz w:val="20"/>
                <w:szCs w:val="20"/>
                <w:color w:val="auto"/>
              </w:rPr>
            </w:pPr>
            <w:r>
              <w:rPr>
                <w:rFonts w:ascii="Arial" w:cs="Arial" w:eastAsia="Arial" w:hAnsi="Arial"/>
                <w:sz w:val="18"/>
                <w:szCs w:val="18"/>
                <w:b w:val="1"/>
                <w:bCs w:val="1"/>
                <w:color w:val="FFFFFF"/>
              </w:rPr>
              <w:t>Bruce W. Duncan</w:t>
            </w:r>
          </w:p>
        </w:tc>
        <w:tc>
          <w:tcPr>
            <w:tcW w:w="2020" w:type="dxa"/>
            <w:vAlign w:val="bottom"/>
            <w:shd w:val="clear" w:color="auto" w:fill="998C87"/>
          </w:tcPr>
          <w:p>
            <w:pPr>
              <w:ind w:left="340"/>
              <w:spacing w:after="0"/>
              <w:rPr>
                <w:sz w:val="20"/>
                <w:szCs w:val="20"/>
                <w:color w:val="auto"/>
              </w:rPr>
            </w:pPr>
            <w:r>
              <w:rPr>
                <w:rFonts w:ascii="Arial" w:cs="Arial" w:eastAsia="Arial" w:hAnsi="Arial"/>
                <w:sz w:val="15"/>
                <w:szCs w:val="15"/>
                <w:b w:val="1"/>
                <w:bCs w:val="1"/>
                <w:color w:val="FFFFFF"/>
              </w:rPr>
              <w:t>Age: 66</w:t>
            </w:r>
          </w:p>
        </w:tc>
        <w:tc>
          <w:tcPr>
            <w:tcW w:w="5400" w:type="dxa"/>
            <w:vAlign w:val="bottom"/>
            <w:shd w:val="clear" w:color="auto" w:fill="998C87"/>
          </w:tcPr>
          <w:p>
            <w:pPr>
              <w:ind w:left="1120"/>
              <w:spacing w:after="0"/>
              <w:rPr>
                <w:sz w:val="20"/>
                <w:szCs w:val="20"/>
                <w:color w:val="auto"/>
              </w:rPr>
            </w:pPr>
            <w:r>
              <w:rPr>
                <w:rFonts w:ascii="Arial" w:cs="Arial" w:eastAsia="Arial" w:hAnsi="Arial"/>
                <w:sz w:val="15"/>
                <w:szCs w:val="15"/>
                <w:b w:val="1"/>
                <w:bCs w:val="1"/>
                <w:color w:val="FFFFFF"/>
              </w:rPr>
              <w:t>Director since: 2016</w:t>
            </w:r>
          </w:p>
        </w:tc>
        <w:tc>
          <w:tcPr>
            <w:tcW w:w="0" w:type="dxa"/>
            <w:vAlign w:val="bottom"/>
          </w:tcPr>
          <w:p>
            <w:pPr>
              <w:spacing w:after="0"/>
              <w:rPr>
                <w:sz w:val="1"/>
                <w:szCs w:val="1"/>
                <w:color w:val="auto"/>
              </w:rPr>
            </w:pPr>
          </w:p>
        </w:tc>
      </w:tr>
      <w:tr>
        <w:trPr>
          <w:trHeight w:val="174"/>
        </w:trPr>
        <w:tc>
          <w:tcPr>
            <w:tcW w:w="3580" w:type="dxa"/>
            <w:vAlign w:val="bottom"/>
            <w:vMerge w:val="restart"/>
          </w:tcPr>
          <w:p>
            <w:pPr>
              <w:ind w:left="1660"/>
              <w:spacing w:after="0"/>
              <w:rPr>
                <w:sz w:val="20"/>
                <w:szCs w:val="20"/>
                <w:color w:val="auto"/>
              </w:rPr>
            </w:pPr>
            <w:r>
              <w:rPr>
                <w:rFonts w:ascii="Arial" w:cs="Arial" w:eastAsia="Arial" w:hAnsi="Arial"/>
                <w:sz w:val="14"/>
                <w:szCs w:val="14"/>
                <w:b w:val="1"/>
                <w:bCs w:val="1"/>
                <w:color w:val="998C87"/>
              </w:rPr>
              <w:t>Chairman of the Board,</w:t>
            </w:r>
          </w:p>
        </w:tc>
        <w:tc>
          <w:tcPr>
            <w:tcW w:w="7420" w:type="dxa"/>
            <w:vAlign w:val="bottom"/>
            <w:gridSpan w:val="2"/>
          </w:tcPr>
          <w:p>
            <w:pPr>
              <w:ind w:left="340"/>
              <w:spacing w:after="0" w:line="174" w:lineRule="exact"/>
              <w:rPr>
                <w:sz w:val="20"/>
                <w:szCs w:val="20"/>
                <w:color w:val="auto"/>
              </w:rPr>
            </w:pPr>
            <w:r>
              <w:rPr>
                <w:rFonts w:ascii="Arial" w:cs="Arial" w:eastAsia="Arial" w:hAnsi="Arial"/>
                <w:sz w:val="17"/>
                <w:szCs w:val="17"/>
                <w:color w:val="auto"/>
              </w:rPr>
              <w:t>Mr. Duncan has been Chairman of the Board of First Industrial Realty Trust, Inc., a real</w:t>
            </w:r>
          </w:p>
        </w:tc>
        <w:tc>
          <w:tcPr>
            <w:tcW w:w="0" w:type="dxa"/>
            <w:vAlign w:val="bottom"/>
          </w:tcPr>
          <w:p>
            <w:pPr>
              <w:spacing w:after="0"/>
              <w:rPr>
                <w:sz w:val="1"/>
                <w:szCs w:val="1"/>
                <w:color w:val="auto"/>
              </w:rPr>
            </w:pPr>
          </w:p>
        </w:tc>
      </w:tr>
      <w:tr>
        <w:trPr>
          <w:trHeight w:val="53"/>
        </w:trPr>
        <w:tc>
          <w:tcPr>
            <w:tcW w:w="3580" w:type="dxa"/>
            <w:vAlign w:val="bottom"/>
            <w:vMerge w:val="continue"/>
          </w:tcPr>
          <w:p>
            <w:pPr>
              <w:spacing w:after="0"/>
              <w:rPr>
                <w:sz w:val="4"/>
                <w:szCs w:val="4"/>
                <w:color w:val="auto"/>
              </w:rPr>
            </w:pPr>
          </w:p>
        </w:tc>
        <w:tc>
          <w:tcPr>
            <w:tcW w:w="7420" w:type="dxa"/>
            <w:vAlign w:val="bottom"/>
            <w:gridSpan w:val="2"/>
            <w:vMerge w:val="restart"/>
          </w:tcPr>
          <w:p>
            <w:pPr>
              <w:ind w:left="340"/>
              <w:spacing w:after="0"/>
              <w:rPr>
                <w:sz w:val="20"/>
                <w:szCs w:val="20"/>
                <w:color w:val="auto"/>
              </w:rPr>
            </w:pPr>
            <w:r>
              <w:rPr>
                <w:rFonts w:ascii="Arial" w:cs="Arial" w:eastAsia="Arial" w:hAnsi="Arial"/>
                <w:sz w:val="17"/>
                <w:szCs w:val="17"/>
                <w:color w:val="auto"/>
              </w:rPr>
              <w:t>estate investment trust that engages in the ownership, management, acquisition, sale,</w:t>
            </w:r>
          </w:p>
        </w:tc>
        <w:tc>
          <w:tcPr>
            <w:tcW w:w="0" w:type="dxa"/>
            <w:vAlign w:val="bottom"/>
          </w:tcPr>
          <w:p>
            <w:pPr>
              <w:spacing w:after="0"/>
              <w:rPr>
                <w:sz w:val="1"/>
                <w:szCs w:val="1"/>
                <w:color w:val="auto"/>
              </w:rPr>
            </w:pPr>
          </w:p>
        </w:tc>
      </w:tr>
      <w:tr>
        <w:trPr>
          <w:trHeight w:val="150"/>
        </w:trPr>
        <w:tc>
          <w:tcPr>
            <w:tcW w:w="3580" w:type="dxa"/>
            <w:vAlign w:val="bottom"/>
          </w:tcPr>
          <w:p>
            <w:pPr>
              <w:ind w:left="1660"/>
              <w:spacing w:after="0" w:line="150" w:lineRule="exact"/>
              <w:rPr>
                <w:sz w:val="20"/>
                <w:szCs w:val="20"/>
                <w:color w:val="auto"/>
              </w:rPr>
            </w:pPr>
            <w:r>
              <w:rPr>
                <w:rFonts w:ascii="Arial" w:cs="Arial" w:eastAsia="Arial" w:hAnsi="Arial"/>
                <w:sz w:val="14"/>
                <w:szCs w:val="14"/>
                <w:b w:val="1"/>
                <w:bCs w:val="1"/>
                <w:color w:val="998C87"/>
              </w:rPr>
              <w:t>First Industrial Realty</w:t>
            </w:r>
          </w:p>
        </w:tc>
        <w:tc>
          <w:tcPr>
            <w:tcW w:w="74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580" w:type="dxa"/>
            <w:vAlign w:val="bottom"/>
          </w:tcPr>
          <w:p>
            <w:pPr>
              <w:ind w:left="1660"/>
              <w:spacing w:after="0"/>
              <w:rPr>
                <w:sz w:val="20"/>
                <w:szCs w:val="20"/>
                <w:color w:val="auto"/>
              </w:rPr>
            </w:pPr>
            <w:r>
              <w:rPr>
                <w:rFonts w:ascii="Arial" w:cs="Arial" w:eastAsia="Arial" w:hAnsi="Arial"/>
                <w:sz w:val="14"/>
                <w:szCs w:val="14"/>
                <w:b w:val="1"/>
                <w:bCs w:val="1"/>
                <w:color w:val="998C87"/>
              </w:rPr>
              <w:t>Trust, Inc.</w:t>
            </w:r>
          </w:p>
        </w:tc>
        <w:tc>
          <w:tcPr>
            <w:tcW w:w="7420" w:type="dxa"/>
            <w:vAlign w:val="bottom"/>
            <w:gridSpan w:val="2"/>
          </w:tcPr>
          <w:p>
            <w:pPr>
              <w:ind w:left="340"/>
              <w:spacing w:after="0"/>
              <w:rPr>
                <w:sz w:val="20"/>
                <w:szCs w:val="20"/>
                <w:color w:val="auto"/>
              </w:rPr>
            </w:pPr>
            <w:r>
              <w:rPr>
                <w:rFonts w:ascii="Arial" w:cs="Arial" w:eastAsia="Arial" w:hAnsi="Arial"/>
                <w:sz w:val="17"/>
                <w:szCs w:val="17"/>
                <w:color w:val="auto"/>
              </w:rPr>
              <w:t>development and redevelopment of industrial real estate properties, since November 2016.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-372110</wp:posOffset>
            </wp:positionV>
            <wp:extent cx="6989445" cy="19532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89445" cy="1953260"/>
                    </a:xfrm>
                    <a:prstGeom prst="rect">
                      <a:avLst/>
                    </a:prstGeom>
                    <a:noFill/>
                  </pic:spPr>
                </pic:pic>
              </a:graphicData>
            </a:graphic>
          </wp:anchor>
        </w:drawing>
      </w:r>
    </w:p>
    <w:p>
      <w:pPr>
        <w:ind w:left="4140" w:right="200"/>
        <w:spacing w:after="0" w:line="231" w:lineRule="auto"/>
        <w:rPr>
          <w:sz w:val="20"/>
          <w:szCs w:val="20"/>
          <w:color w:val="auto"/>
        </w:rPr>
      </w:pPr>
      <w:r>
        <w:rPr>
          <w:rFonts w:ascii="Arial" w:cs="Arial" w:eastAsia="Arial" w:hAnsi="Arial"/>
          <w:sz w:val="17"/>
          <w:szCs w:val="17"/>
          <w:color w:val="auto"/>
        </w:rPr>
        <w:t>Prior to that, he was President and Chief Executive Officer of that company from January 2009. From April to September 2007, Mr. Duncan served as Chief Executive Officer of Starwood on an interim basis. He also was a senior advisor to Kohlberg Kravis &amp; Roberts &amp; Co., a global investment firm, from July 2008 to January 2009. He was also a private investor from January 2006 to January 2009. From May 2005 to December 2005,</w:t>
      </w:r>
    </w:p>
    <w:p>
      <w:pPr>
        <w:spacing w:after="0" w:line="4" w:lineRule="exact"/>
        <w:rPr>
          <w:sz w:val="20"/>
          <w:szCs w:val="20"/>
          <w:color w:val="auto"/>
        </w:rPr>
      </w:pPr>
    </w:p>
    <w:p>
      <w:pPr>
        <w:ind w:left="4140" w:right="300"/>
        <w:spacing w:after="0" w:line="234" w:lineRule="auto"/>
        <w:rPr>
          <w:sz w:val="20"/>
          <w:szCs w:val="20"/>
          <w:color w:val="auto"/>
        </w:rPr>
      </w:pPr>
      <w:r>
        <w:rPr>
          <w:rFonts w:ascii="Arial" w:cs="Arial" w:eastAsia="Arial" w:hAnsi="Arial"/>
          <w:sz w:val="17"/>
          <w:szCs w:val="17"/>
          <w:color w:val="auto"/>
        </w:rPr>
        <w:t>Mr. Duncan was Chief Executive Officer and Trustee of Equity Residential (“EQR”), a publicly traded real estate investment trust, and held various positions at EQR from March 2002 to December 2005, including President, Chief Executive Officer and Trustee from January 2003 to May 2005, and President and Trustee from March 2002 to December 2002. Mr. Duncan also serves on the board of directors of Boston Properties, Inc. and T. Rowe Price Mutual Funds. Mr. Duncan has been a director of the Company since September 2016 and previously served on the Starwood board of directors from 1999 to September 2016.</w:t>
      </w:r>
    </w:p>
    <w:p>
      <w:pPr>
        <w:spacing w:after="0" w:line="97"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998C87"/>
        </w:rPr>
        <w:t>Professional Highlights:</w:t>
      </w:r>
    </w:p>
    <w:p>
      <w:pPr>
        <w:spacing w:after="0" w:line="49" w:lineRule="exact"/>
        <w:rPr>
          <w:sz w:val="20"/>
          <w:szCs w:val="20"/>
          <w:color w:val="auto"/>
        </w:rPr>
      </w:pPr>
    </w:p>
    <w:p>
      <w:pPr>
        <w:ind w:left="220" w:right="20"/>
        <w:spacing w:after="0" w:line="246" w:lineRule="auto"/>
        <w:rPr>
          <w:sz w:val="20"/>
          <w:szCs w:val="20"/>
          <w:color w:val="auto"/>
        </w:rPr>
      </w:pPr>
      <w:r>
        <w:rPr>
          <w:rFonts w:ascii="Arial" w:cs="Arial" w:eastAsia="Arial" w:hAnsi="Arial"/>
          <w:sz w:val="17"/>
          <w:szCs w:val="17"/>
          <w:color w:val="auto"/>
        </w:rPr>
        <w:t>As the Chairman and former Chief Executive Officer of First Industrial Realty and former Chief Executive Officer of EQR, Mr. Duncan brings to the Board and our Finance Committee extensive experience in real estate matters and investment strategy, as well as valuable experience as Chief Executive Officer of other publicly traded companies. He also brings a deep understanding of the hospitality industry as a result of his extensive tenure with Starwood, including as the interim Chief Executive Officer of Starwood.</w:t>
      </w:r>
    </w:p>
    <w:p>
      <w:pPr>
        <w:spacing w:after="0" w:line="225" w:lineRule="exact"/>
        <w:rPr>
          <w:sz w:val="20"/>
          <w:szCs w:val="20"/>
          <w:color w:val="auto"/>
        </w:rPr>
      </w:pPr>
    </w:p>
    <w:tbl>
      <w:tblPr>
        <w:tblLayout w:type="fixed"/>
        <w:tblInd w:w="220" w:type="dxa"/>
        <w:tblCellMar>
          <w:top w:w="0" w:type="dxa"/>
          <w:left w:w="0" w:type="dxa"/>
          <w:bottom w:w="0" w:type="dxa"/>
          <w:right w:w="0" w:type="dxa"/>
        </w:tblCellMar>
      </w:tblPr>
      <w:tr>
        <w:trPr>
          <w:trHeight w:val="256"/>
        </w:trPr>
        <w:tc>
          <w:tcPr>
            <w:tcW w:w="3560" w:type="dxa"/>
            <w:vAlign w:val="bottom"/>
            <w:shd w:val="clear" w:color="auto" w:fill="998C87"/>
          </w:tcPr>
          <w:p>
            <w:pPr>
              <w:ind w:left="100"/>
              <w:spacing w:after="0"/>
              <w:rPr>
                <w:sz w:val="20"/>
                <w:szCs w:val="20"/>
                <w:color w:val="auto"/>
              </w:rPr>
            </w:pPr>
            <w:r>
              <w:rPr>
                <w:rFonts w:ascii="Arial" w:cs="Arial" w:eastAsia="Arial" w:hAnsi="Arial"/>
                <w:sz w:val="18"/>
                <w:szCs w:val="18"/>
                <w:b w:val="1"/>
                <w:bCs w:val="1"/>
                <w:color w:val="FFFFFF"/>
              </w:rPr>
              <w:t>Deborah Marriott Harrison</w:t>
            </w:r>
          </w:p>
        </w:tc>
        <w:tc>
          <w:tcPr>
            <w:tcW w:w="2040" w:type="dxa"/>
            <w:vAlign w:val="bottom"/>
            <w:shd w:val="clear" w:color="auto" w:fill="998C87"/>
          </w:tcPr>
          <w:p>
            <w:pPr>
              <w:ind w:left="360"/>
              <w:spacing w:after="0"/>
              <w:rPr>
                <w:sz w:val="20"/>
                <w:szCs w:val="20"/>
                <w:color w:val="auto"/>
              </w:rPr>
            </w:pPr>
            <w:r>
              <w:rPr>
                <w:rFonts w:ascii="Arial" w:cs="Arial" w:eastAsia="Arial" w:hAnsi="Arial"/>
                <w:sz w:val="15"/>
                <w:szCs w:val="15"/>
                <w:b w:val="1"/>
                <w:bCs w:val="1"/>
                <w:color w:val="FFFFFF"/>
              </w:rPr>
              <w:t>Age: 61</w:t>
            </w:r>
          </w:p>
        </w:tc>
        <w:tc>
          <w:tcPr>
            <w:tcW w:w="5400" w:type="dxa"/>
            <w:vAlign w:val="bottom"/>
            <w:shd w:val="clear" w:color="auto" w:fill="998C87"/>
          </w:tcPr>
          <w:p>
            <w:pPr>
              <w:ind w:left="1120"/>
              <w:spacing w:after="0"/>
              <w:rPr>
                <w:sz w:val="20"/>
                <w:szCs w:val="20"/>
                <w:color w:val="auto"/>
              </w:rPr>
            </w:pPr>
            <w:r>
              <w:rPr>
                <w:rFonts w:ascii="Arial" w:cs="Arial" w:eastAsia="Arial" w:hAnsi="Arial"/>
                <w:sz w:val="15"/>
                <w:szCs w:val="15"/>
                <w:b w:val="1"/>
                <w:bCs w:val="1"/>
                <w:color w:val="FFFFFF"/>
              </w:rPr>
              <w:t>Director since: 2014</w:t>
            </w:r>
          </w:p>
        </w:tc>
        <w:tc>
          <w:tcPr>
            <w:tcW w:w="0" w:type="dxa"/>
            <w:vAlign w:val="bottom"/>
          </w:tcPr>
          <w:p>
            <w:pPr>
              <w:spacing w:after="0"/>
              <w:rPr>
                <w:sz w:val="1"/>
                <w:szCs w:val="1"/>
                <w:color w:val="auto"/>
              </w:rPr>
            </w:pPr>
          </w:p>
        </w:tc>
      </w:tr>
      <w:tr>
        <w:trPr>
          <w:trHeight w:val="174"/>
        </w:trPr>
        <w:tc>
          <w:tcPr>
            <w:tcW w:w="3560" w:type="dxa"/>
            <w:vAlign w:val="bottom"/>
            <w:vMerge w:val="restart"/>
          </w:tcPr>
          <w:p>
            <w:pPr>
              <w:ind w:left="1660"/>
              <w:spacing w:after="0"/>
              <w:rPr>
                <w:sz w:val="20"/>
                <w:szCs w:val="20"/>
                <w:color w:val="auto"/>
              </w:rPr>
            </w:pPr>
            <w:r>
              <w:rPr>
                <w:rFonts w:ascii="Arial" w:cs="Arial" w:eastAsia="Arial" w:hAnsi="Arial"/>
                <w:sz w:val="14"/>
                <w:szCs w:val="14"/>
                <w:b w:val="1"/>
                <w:bCs w:val="1"/>
                <w:color w:val="998C87"/>
              </w:rPr>
              <w:t>Global Officer, Marriott</w:t>
            </w:r>
          </w:p>
        </w:tc>
        <w:tc>
          <w:tcPr>
            <w:tcW w:w="7440" w:type="dxa"/>
            <w:vAlign w:val="bottom"/>
            <w:gridSpan w:val="2"/>
          </w:tcPr>
          <w:p>
            <w:pPr>
              <w:ind w:left="360"/>
              <w:spacing w:after="0" w:line="174" w:lineRule="exact"/>
              <w:rPr>
                <w:sz w:val="20"/>
                <w:szCs w:val="20"/>
                <w:color w:val="auto"/>
              </w:rPr>
            </w:pPr>
            <w:r>
              <w:rPr>
                <w:rFonts w:ascii="Arial" w:cs="Arial" w:eastAsia="Arial" w:hAnsi="Arial"/>
                <w:sz w:val="17"/>
                <w:szCs w:val="17"/>
                <w:color w:val="auto"/>
              </w:rPr>
              <w:t>Mrs. Harrison has been the Company’s Global Officer, Marriott Culture and Business</w:t>
            </w:r>
          </w:p>
        </w:tc>
        <w:tc>
          <w:tcPr>
            <w:tcW w:w="0" w:type="dxa"/>
            <w:vAlign w:val="bottom"/>
          </w:tcPr>
          <w:p>
            <w:pPr>
              <w:spacing w:after="0"/>
              <w:rPr>
                <w:sz w:val="1"/>
                <w:szCs w:val="1"/>
                <w:color w:val="auto"/>
              </w:rPr>
            </w:pPr>
          </w:p>
        </w:tc>
      </w:tr>
      <w:tr>
        <w:trPr>
          <w:trHeight w:val="53"/>
        </w:trPr>
        <w:tc>
          <w:tcPr>
            <w:tcW w:w="3560" w:type="dxa"/>
            <w:vAlign w:val="bottom"/>
            <w:vMerge w:val="continue"/>
          </w:tcPr>
          <w:p>
            <w:pPr>
              <w:spacing w:after="0"/>
              <w:rPr>
                <w:sz w:val="4"/>
                <w:szCs w:val="4"/>
                <w:color w:val="auto"/>
              </w:rPr>
            </w:pPr>
          </w:p>
        </w:tc>
        <w:tc>
          <w:tcPr>
            <w:tcW w:w="7440" w:type="dxa"/>
            <w:vAlign w:val="bottom"/>
            <w:gridSpan w:val="2"/>
            <w:vMerge w:val="restart"/>
          </w:tcPr>
          <w:p>
            <w:pPr>
              <w:ind w:left="360"/>
              <w:spacing w:after="0"/>
              <w:rPr>
                <w:sz w:val="20"/>
                <w:szCs w:val="20"/>
                <w:color w:val="auto"/>
              </w:rPr>
            </w:pPr>
            <w:r>
              <w:rPr>
                <w:rFonts w:ascii="Arial" w:cs="Arial" w:eastAsia="Arial" w:hAnsi="Arial"/>
                <w:sz w:val="17"/>
                <w:szCs w:val="17"/>
                <w:color w:val="auto"/>
              </w:rPr>
              <w:t>Councils since October 2013. She formerly served as Senior Vice President of Government</w:t>
            </w:r>
          </w:p>
        </w:tc>
        <w:tc>
          <w:tcPr>
            <w:tcW w:w="0" w:type="dxa"/>
            <w:vAlign w:val="bottom"/>
          </w:tcPr>
          <w:p>
            <w:pPr>
              <w:spacing w:after="0"/>
              <w:rPr>
                <w:sz w:val="1"/>
                <w:szCs w:val="1"/>
                <w:color w:val="auto"/>
              </w:rPr>
            </w:pPr>
          </w:p>
        </w:tc>
      </w:tr>
      <w:tr>
        <w:trPr>
          <w:trHeight w:val="150"/>
        </w:trPr>
        <w:tc>
          <w:tcPr>
            <w:tcW w:w="3560" w:type="dxa"/>
            <w:vAlign w:val="bottom"/>
          </w:tcPr>
          <w:p>
            <w:pPr>
              <w:ind w:left="1660"/>
              <w:spacing w:after="0" w:line="150" w:lineRule="exact"/>
              <w:rPr>
                <w:sz w:val="20"/>
                <w:szCs w:val="20"/>
                <w:color w:val="auto"/>
              </w:rPr>
            </w:pPr>
            <w:r>
              <w:rPr>
                <w:rFonts w:ascii="Arial" w:cs="Arial" w:eastAsia="Arial" w:hAnsi="Arial"/>
                <w:sz w:val="14"/>
                <w:szCs w:val="14"/>
                <w:b w:val="1"/>
                <w:bCs w:val="1"/>
                <w:color w:val="998C87"/>
              </w:rPr>
              <w:t>Culture and Business</w:t>
            </w:r>
          </w:p>
        </w:tc>
        <w:tc>
          <w:tcPr>
            <w:tcW w:w="74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560" w:type="dxa"/>
            <w:vAlign w:val="bottom"/>
          </w:tcPr>
          <w:p>
            <w:pPr>
              <w:ind w:left="1660"/>
              <w:spacing w:after="0"/>
              <w:rPr>
                <w:sz w:val="20"/>
                <w:szCs w:val="20"/>
                <w:color w:val="auto"/>
              </w:rPr>
            </w:pPr>
            <w:r>
              <w:rPr>
                <w:rFonts w:ascii="Arial" w:cs="Arial" w:eastAsia="Arial" w:hAnsi="Arial"/>
                <w:sz w:val="14"/>
                <w:szCs w:val="14"/>
                <w:b w:val="1"/>
                <w:bCs w:val="1"/>
                <w:color w:val="998C87"/>
              </w:rPr>
              <w:t>Councils</w:t>
            </w:r>
          </w:p>
        </w:tc>
        <w:tc>
          <w:tcPr>
            <w:tcW w:w="7440" w:type="dxa"/>
            <w:vAlign w:val="bottom"/>
            <w:gridSpan w:val="2"/>
          </w:tcPr>
          <w:p>
            <w:pPr>
              <w:ind w:left="360"/>
              <w:spacing w:after="0"/>
              <w:rPr>
                <w:sz w:val="20"/>
                <w:szCs w:val="20"/>
                <w:color w:val="auto"/>
              </w:rPr>
            </w:pPr>
            <w:r>
              <w:rPr>
                <w:rFonts w:ascii="Arial" w:cs="Arial" w:eastAsia="Arial" w:hAnsi="Arial"/>
                <w:sz w:val="17"/>
                <w:szCs w:val="17"/>
                <w:color w:val="auto"/>
              </w:rPr>
              <w:t>Affairs for the Company from June 2007 through October 2013 and as Vice President of</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-372110</wp:posOffset>
            </wp:positionV>
            <wp:extent cx="6989445" cy="19532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89445" cy="1953260"/>
                    </a:xfrm>
                    <a:prstGeom prst="rect">
                      <a:avLst/>
                    </a:prstGeom>
                    <a:noFill/>
                  </pic:spPr>
                </pic:pic>
              </a:graphicData>
            </a:graphic>
          </wp:anchor>
        </w:drawing>
      </w:r>
    </w:p>
    <w:p>
      <w:pPr>
        <w:ind w:left="4140" w:right="240"/>
        <w:spacing w:after="0" w:line="233" w:lineRule="auto"/>
        <w:rPr>
          <w:sz w:val="20"/>
          <w:szCs w:val="20"/>
          <w:color w:val="auto"/>
        </w:rPr>
      </w:pPr>
      <w:r>
        <w:rPr>
          <w:rFonts w:ascii="Arial" w:cs="Arial" w:eastAsia="Arial" w:hAnsi="Arial"/>
          <w:sz w:val="17"/>
          <w:szCs w:val="17"/>
          <w:color w:val="auto"/>
        </w:rPr>
        <w:t>Government Affairs from May 2006 to June 2007. Mrs. Harrison is an honors graduate of Brigham Young University and has held several positions within the Company since 1975, including accounting positions at Marriott Headquarters and operations positions at Key Bridge and Dallas Marriott hotels. She has been actively involved in serving the community through participation on various committees and boards including, but not limited to, the Mayo Clinic Leadership Council for the District of Columbia and the boards of the Bullis School, the D.C. College Access Program, and The J. Willard &amp; Alice S. Marriott Foundation. She has also served on the boards of several mental health organizations, including The National Institute of Mental Health Advisory Board, Depression and Related Affective Disorders Association, and the Center for the Advancement of Children’s Mental Health in association with Columbia University. Mrs. Harrison also served as a member of the board of directors of Marriott Vacations Worldwide Corporation from 2011 to 2013. Mrs. Harrison has been a director of the Company since 2014.</w:t>
      </w:r>
    </w:p>
    <w:p>
      <w:pPr>
        <w:spacing w:after="0" w:line="9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998C87"/>
        </w:rPr>
        <w:t>Professional Highlights:</w:t>
      </w:r>
    </w:p>
    <w:p>
      <w:pPr>
        <w:spacing w:after="0" w:line="49" w:lineRule="exact"/>
        <w:rPr>
          <w:sz w:val="20"/>
          <w:szCs w:val="20"/>
          <w:color w:val="auto"/>
        </w:rPr>
      </w:pPr>
    </w:p>
    <w:p>
      <w:pPr>
        <w:ind w:left="220" w:right="380"/>
        <w:spacing w:after="0" w:line="245" w:lineRule="auto"/>
        <w:rPr>
          <w:sz w:val="20"/>
          <w:szCs w:val="20"/>
          <w:color w:val="auto"/>
        </w:rPr>
      </w:pPr>
      <w:r>
        <w:rPr>
          <w:rFonts w:ascii="Arial" w:cs="Arial" w:eastAsia="Arial" w:hAnsi="Arial"/>
          <w:sz w:val="17"/>
          <w:szCs w:val="17"/>
          <w:color w:val="auto"/>
        </w:rPr>
        <w:t>As the daughter of the Executive Chairman and the granddaughter of Marriott International’s founders, Mrs. Harrison brings to our Board, our Finance Committee and our Committee for Excellence an extensive knowledge of the Company, its history, its culture and its mission.</w:t>
      </w:r>
    </w:p>
    <w:p>
      <w:pPr>
        <w:spacing w:after="0" w:line="1" w:lineRule="exact"/>
        <w:rPr>
          <w:sz w:val="20"/>
          <w:szCs w:val="20"/>
          <w:color w:val="auto"/>
        </w:rPr>
      </w:pPr>
    </w:p>
    <w:p>
      <w:pPr>
        <w:ind w:left="220" w:right="160"/>
        <w:spacing w:after="0" w:line="247" w:lineRule="auto"/>
        <w:rPr>
          <w:sz w:val="20"/>
          <w:szCs w:val="20"/>
          <w:color w:val="auto"/>
        </w:rPr>
      </w:pPr>
      <w:r>
        <w:rPr>
          <w:rFonts w:ascii="Arial" w:cs="Arial" w:eastAsia="Arial" w:hAnsi="Arial"/>
          <w:sz w:val="17"/>
          <w:szCs w:val="17"/>
          <w:color w:val="auto"/>
        </w:rPr>
        <w:t>Mrs. Harrison’s enthusiasm, judgment and deep experience with our Company and our culture provides the Board valuable insight and strategic focus.</w:t>
      </w:r>
    </w:p>
    <w:p>
      <w:pPr>
        <w:spacing w:after="0" w:line="106" w:lineRule="exact"/>
        <w:rPr>
          <w:sz w:val="20"/>
          <w:szCs w:val="20"/>
          <w:color w:val="auto"/>
        </w:rPr>
      </w:pPr>
    </w:p>
    <w:p>
      <w:pPr>
        <w:ind w:left="540" w:hanging="330"/>
        <w:spacing w:after="0"/>
        <w:tabs>
          <w:tab w:leader="none" w:pos="540" w:val="left"/>
        </w:tabs>
        <w:numPr>
          <w:ilvl w:val="0"/>
          <w:numId w:val="62"/>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20"/>
          </w:cols>
          <w:pgMar w:left="240" w:top="455" w:right="4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220" w:type="dxa"/>
        <w:tblCellMar>
          <w:top w:w="0" w:type="dxa"/>
          <w:left w:w="0" w:type="dxa"/>
          <w:bottom w:w="0" w:type="dxa"/>
          <w:right w:w="0" w:type="dxa"/>
        </w:tblCellMar>
      </w:tblPr>
      <w:tr>
        <w:trPr>
          <w:trHeight w:val="206"/>
        </w:trPr>
        <w:tc>
          <w:tcPr>
            <w:tcW w:w="35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5420" w:type="dxa"/>
            <w:vAlign w:val="bottom"/>
            <w:gridSpan w:val="2"/>
          </w:tcPr>
          <w:p>
            <w:pPr>
              <w:ind w:left="3840"/>
              <w:spacing w:after="0"/>
              <w:rPr>
                <w:sz w:val="20"/>
                <w:szCs w:val="20"/>
                <w:color w:val="auto"/>
              </w:rPr>
            </w:pPr>
            <w:r>
              <w:rPr>
                <w:rFonts w:ascii="Arial" w:cs="Arial" w:eastAsia="Arial" w:hAnsi="Arial"/>
                <w:sz w:val="15"/>
                <w:szCs w:val="15"/>
                <w:color w:val="7F7F7F"/>
              </w:rPr>
              <w:t>Corporate Governance</w:t>
            </w:r>
          </w:p>
        </w:tc>
        <w:tc>
          <w:tcPr>
            <w:tcW w:w="0" w:type="dxa"/>
            <w:vAlign w:val="bottom"/>
          </w:tcPr>
          <w:p>
            <w:pPr>
              <w:spacing w:after="0"/>
              <w:rPr>
                <w:sz w:val="1"/>
                <w:szCs w:val="1"/>
                <w:color w:val="auto"/>
              </w:rPr>
            </w:pPr>
          </w:p>
        </w:tc>
      </w:tr>
      <w:tr>
        <w:trPr>
          <w:trHeight w:val="33"/>
        </w:trPr>
        <w:tc>
          <w:tcPr>
            <w:tcW w:w="35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4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580" w:type="dxa"/>
            <w:vAlign w:val="bottom"/>
            <w:tcBorders>
              <w:top w:val="single" w:sz="8" w:color="998C87"/>
            </w:tcBorders>
          </w:tcPr>
          <w:p>
            <w:pPr>
              <w:spacing w:after="0"/>
              <w:rPr>
                <w:sz w:val="15"/>
                <w:szCs w:val="15"/>
                <w:color w:val="auto"/>
              </w:rPr>
            </w:pPr>
          </w:p>
        </w:tc>
        <w:tc>
          <w:tcPr>
            <w:tcW w:w="2020" w:type="dxa"/>
            <w:vAlign w:val="bottom"/>
            <w:tcBorders>
              <w:top w:val="single" w:sz="8" w:color="998C87"/>
            </w:tcBorders>
          </w:tcPr>
          <w:p>
            <w:pPr>
              <w:spacing w:after="0"/>
              <w:rPr>
                <w:sz w:val="15"/>
                <w:szCs w:val="15"/>
                <w:color w:val="auto"/>
              </w:rPr>
            </w:pPr>
          </w:p>
        </w:tc>
        <w:tc>
          <w:tcPr>
            <w:tcW w:w="5400" w:type="dxa"/>
            <w:vAlign w:val="bottom"/>
            <w:tcBorders>
              <w:top w:val="single" w:sz="8" w:color="998C87"/>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580" w:type="dxa"/>
            <w:vAlign w:val="bottom"/>
            <w:shd w:val="clear" w:color="auto" w:fill="998C87"/>
          </w:tcPr>
          <w:p>
            <w:pPr>
              <w:ind w:left="100"/>
              <w:spacing w:after="0"/>
              <w:rPr>
                <w:sz w:val="20"/>
                <w:szCs w:val="20"/>
                <w:color w:val="auto"/>
              </w:rPr>
            </w:pPr>
            <w:r>
              <w:rPr>
                <w:rFonts w:ascii="Arial" w:cs="Arial" w:eastAsia="Arial" w:hAnsi="Arial"/>
                <w:sz w:val="18"/>
                <w:szCs w:val="18"/>
                <w:b w:val="1"/>
                <w:bCs w:val="1"/>
                <w:color w:val="FFFFFF"/>
              </w:rPr>
              <w:t>Frederick A. “Fritz” Henderson</w:t>
            </w:r>
          </w:p>
        </w:tc>
        <w:tc>
          <w:tcPr>
            <w:tcW w:w="2020" w:type="dxa"/>
            <w:vAlign w:val="bottom"/>
            <w:shd w:val="clear" w:color="auto" w:fill="998C87"/>
          </w:tcPr>
          <w:p>
            <w:pPr>
              <w:ind w:left="340"/>
              <w:spacing w:after="0"/>
              <w:rPr>
                <w:sz w:val="20"/>
                <w:szCs w:val="20"/>
                <w:color w:val="auto"/>
              </w:rPr>
            </w:pPr>
            <w:r>
              <w:rPr>
                <w:rFonts w:ascii="Arial" w:cs="Arial" w:eastAsia="Arial" w:hAnsi="Arial"/>
                <w:sz w:val="15"/>
                <w:szCs w:val="15"/>
                <w:b w:val="1"/>
                <w:bCs w:val="1"/>
                <w:color w:val="FFFFFF"/>
              </w:rPr>
              <w:t>Age: 59</w:t>
            </w:r>
          </w:p>
        </w:tc>
        <w:tc>
          <w:tcPr>
            <w:tcW w:w="5400" w:type="dxa"/>
            <w:vAlign w:val="bottom"/>
            <w:shd w:val="clear" w:color="auto" w:fill="998C87"/>
          </w:tcPr>
          <w:p>
            <w:pPr>
              <w:ind w:left="1120"/>
              <w:spacing w:after="0"/>
              <w:rPr>
                <w:sz w:val="20"/>
                <w:szCs w:val="20"/>
                <w:color w:val="auto"/>
              </w:rPr>
            </w:pPr>
            <w:r>
              <w:rPr>
                <w:rFonts w:ascii="Arial" w:cs="Arial" w:eastAsia="Arial" w:hAnsi="Arial"/>
                <w:sz w:val="15"/>
                <w:szCs w:val="15"/>
                <w:b w:val="1"/>
                <w:bCs w:val="1"/>
                <w:color w:val="FFFFFF"/>
              </w:rPr>
              <w:t>Director since: 2013</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4"/>
        </w:trPr>
        <w:tc>
          <w:tcPr>
            <w:tcW w:w="3580" w:type="dxa"/>
            <w:vAlign w:val="bottom"/>
            <w:vMerge w:val="restart"/>
          </w:tcPr>
          <w:p>
            <w:pPr>
              <w:ind w:left="1660"/>
              <w:spacing w:after="0"/>
              <w:rPr>
                <w:sz w:val="20"/>
                <w:szCs w:val="20"/>
                <w:color w:val="auto"/>
              </w:rPr>
            </w:pPr>
            <w:r>
              <w:rPr>
                <w:rFonts w:ascii="Arial" w:cs="Arial" w:eastAsia="Arial" w:hAnsi="Arial"/>
                <w:sz w:val="14"/>
                <w:szCs w:val="14"/>
                <w:b w:val="1"/>
                <w:bCs w:val="1"/>
                <w:color w:val="998C87"/>
              </w:rPr>
              <w:t>Former Chairman and</w:t>
            </w:r>
          </w:p>
        </w:tc>
        <w:tc>
          <w:tcPr>
            <w:tcW w:w="7420" w:type="dxa"/>
            <w:vAlign w:val="bottom"/>
            <w:gridSpan w:val="2"/>
          </w:tcPr>
          <w:p>
            <w:pPr>
              <w:ind w:left="340"/>
              <w:spacing w:after="0" w:line="174" w:lineRule="exact"/>
              <w:rPr>
                <w:sz w:val="20"/>
                <w:szCs w:val="20"/>
                <w:color w:val="auto"/>
              </w:rPr>
            </w:pPr>
            <w:r>
              <w:rPr>
                <w:rFonts w:ascii="Arial" w:cs="Arial" w:eastAsia="Arial" w:hAnsi="Arial"/>
                <w:sz w:val="17"/>
                <w:szCs w:val="17"/>
                <w:color w:val="auto"/>
              </w:rPr>
              <w:t>Mr. Henderson served as Chairman and CEO of SunCoke Energy, Inc., the largest U.S.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3580" w:type="dxa"/>
            <w:vAlign w:val="bottom"/>
            <w:vMerge w:val="continue"/>
          </w:tcPr>
          <w:p>
            <w:pPr>
              <w:spacing w:after="0"/>
              <w:rPr>
                <w:sz w:val="4"/>
                <w:szCs w:val="4"/>
                <w:color w:val="auto"/>
              </w:rPr>
            </w:pPr>
          </w:p>
        </w:tc>
        <w:tc>
          <w:tcPr>
            <w:tcW w:w="7440" w:type="dxa"/>
            <w:vAlign w:val="bottom"/>
            <w:gridSpan w:val="3"/>
            <w:vMerge w:val="restart"/>
          </w:tcPr>
          <w:p>
            <w:pPr>
              <w:ind w:left="340"/>
              <w:spacing w:after="0"/>
              <w:rPr>
                <w:sz w:val="20"/>
                <w:szCs w:val="20"/>
                <w:color w:val="auto"/>
              </w:rPr>
            </w:pPr>
            <w:r>
              <w:rPr>
                <w:rFonts w:ascii="Arial" w:cs="Arial" w:eastAsia="Arial" w:hAnsi="Arial"/>
                <w:sz w:val="17"/>
                <w:szCs w:val="17"/>
                <w:color w:val="auto"/>
              </w:rPr>
              <w:t>independent producer of metallurgical coke for the steel industry, from December 2010 until</w:t>
            </w:r>
          </w:p>
        </w:tc>
        <w:tc>
          <w:tcPr>
            <w:tcW w:w="0" w:type="dxa"/>
            <w:vAlign w:val="bottom"/>
          </w:tcPr>
          <w:p>
            <w:pPr>
              <w:spacing w:after="0"/>
              <w:rPr>
                <w:sz w:val="1"/>
                <w:szCs w:val="1"/>
                <w:color w:val="auto"/>
              </w:rPr>
            </w:pPr>
          </w:p>
        </w:tc>
      </w:tr>
      <w:tr>
        <w:trPr>
          <w:trHeight w:val="150"/>
        </w:trPr>
        <w:tc>
          <w:tcPr>
            <w:tcW w:w="3580" w:type="dxa"/>
            <w:vAlign w:val="bottom"/>
          </w:tcPr>
          <w:p>
            <w:pPr>
              <w:ind w:left="1660"/>
              <w:spacing w:after="0" w:line="150" w:lineRule="exact"/>
              <w:rPr>
                <w:sz w:val="20"/>
                <w:szCs w:val="20"/>
                <w:color w:val="auto"/>
              </w:rPr>
            </w:pPr>
            <w:r>
              <w:rPr>
                <w:rFonts w:ascii="Arial" w:cs="Arial" w:eastAsia="Arial" w:hAnsi="Arial"/>
                <w:sz w:val="14"/>
                <w:szCs w:val="14"/>
                <w:b w:val="1"/>
                <w:bCs w:val="1"/>
                <w:color w:val="998C87"/>
              </w:rPr>
              <w:t>CEO, SunCoke Energy,</w:t>
            </w:r>
          </w:p>
        </w:tc>
        <w:tc>
          <w:tcPr>
            <w:tcW w:w="74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580" w:type="dxa"/>
            <w:vAlign w:val="bottom"/>
          </w:tcPr>
          <w:p>
            <w:pPr>
              <w:ind w:left="1660"/>
              <w:spacing w:after="0"/>
              <w:rPr>
                <w:sz w:val="20"/>
                <w:szCs w:val="20"/>
                <w:color w:val="auto"/>
              </w:rPr>
            </w:pPr>
            <w:r>
              <w:rPr>
                <w:rFonts w:ascii="Arial" w:cs="Arial" w:eastAsia="Arial" w:hAnsi="Arial"/>
                <w:sz w:val="14"/>
                <w:szCs w:val="14"/>
                <w:b w:val="1"/>
                <w:bCs w:val="1"/>
                <w:color w:val="998C87"/>
              </w:rPr>
              <w:t>Inc.</w:t>
            </w:r>
          </w:p>
        </w:tc>
        <w:tc>
          <w:tcPr>
            <w:tcW w:w="7440" w:type="dxa"/>
            <w:vAlign w:val="bottom"/>
            <w:gridSpan w:val="3"/>
          </w:tcPr>
          <w:p>
            <w:pPr>
              <w:ind w:left="340"/>
              <w:spacing w:after="0"/>
              <w:rPr>
                <w:sz w:val="20"/>
                <w:szCs w:val="20"/>
                <w:color w:val="auto"/>
              </w:rPr>
            </w:pPr>
            <w:r>
              <w:rPr>
                <w:rFonts w:ascii="Arial" w:cs="Arial" w:eastAsia="Arial" w:hAnsi="Arial"/>
                <w:sz w:val="17"/>
                <w:szCs w:val="17"/>
                <w:color w:val="auto"/>
              </w:rPr>
              <w:t>his retirement in December 2017. From January 2013 through December 2017, he also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-372110</wp:posOffset>
            </wp:positionV>
            <wp:extent cx="6989445" cy="22955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89445" cy="2295525"/>
                    </a:xfrm>
                    <a:prstGeom prst="rect">
                      <a:avLst/>
                    </a:prstGeom>
                    <a:noFill/>
                  </pic:spPr>
                </pic:pic>
              </a:graphicData>
            </a:graphic>
          </wp:anchor>
        </w:drawing>
      </w:r>
    </w:p>
    <w:p>
      <w:pPr>
        <w:ind w:left="4140" w:right="180"/>
        <w:spacing w:after="0" w:line="233" w:lineRule="auto"/>
        <w:rPr>
          <w:sz w:val="20"/>
          <w:szCs w:val="20"/>
          <w:color w:val="auto"/>
        </w:rPr>
      </w:pPr>
      <w:r>
        <w:rPr>
          <w:rFonts w:ascii="Arial" w:cs="Arial" w:eastAsia="Arial" w:hAnsi="Arial"/>
          <w:sz w:val="17"/>
          <w:szCs w:val="17"/>
          <w:color w:val="auto"/>
        </w:rPr>
        <w:t>was Chairman and CEO of SunCoke Energy Partners GP LLC, the general partner of SunCoke Energy Partners, L.P., a publicly traded master limited partnership. He previously served as a Senior Vice President of Sunoco, Inc., a petroleum refiner and chemicals manufacturer with interests in logistics, from September 2010 until the completion of SunCoke Energy, Inc.’s initial public offering and separation from Sunoco in July 2011. Prior to Sunoco/SunCoke, Mr. Henderson served as President and CEO of General Motors Corporation (“GM”) from March 2009 until December 2009. He held a number of other senior management positions during his more than 25 years with GM, including President and Chief Operating Officer from March 2008 until March 2009, Vice Chairman and Chief Financial Officer, Chairman of GM Europe, President of GM Asia Pacific and President of GM Latin America, Africa and Middle East, and served as a consultant for GM from February 2010 to September 2010 before joining Sunoco. Mr. Henderson also served as a consultant for AlixPartners LLC, a business consulting firm, from March 2010 until August 2010. In October 2016, he joined the board of directors of Adient plc. He is a Trustee of the Alfred P. Sloan Foundation and previously served on the board of directors of Compuware Corporation from 2011 to 2014. He has been a director of the Company since 2013.</w:t>
      </w:r>
    </w:p>
    <w:p>
      <w:pPr>
        <w:spacing w:after="0" w:line="6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998C87"/>
        </w:rPr>
        <w:t>Professional Highlights:</w:t>
      </w:r>
    </w:p>
    <w:p>
      <w:pPr>
        <w:spacing w:after="0" w:line="49" w:lineRule="exact"/>
        <w:rPr>
          <w:sz w:val="20"/>
          <w:szCs w:val="20"/>
          <w:color w:val="auto"/>
        </w:rPr>
      </w:pPr>
    </w:p>
    <w:p>
      <w:pPr>
        <w:ind w:left="220" w:right="60"/>
        <w:spacing w:after="0" w:line="242" w:lineRule="auto"/>
        <w:rPr>
          <w:sz w:val="20"/>
          <w:szCs w:val="20"/>
          <w:color w:val="auto"/>
        </w:rPr>
      </w:pPr>
      <w:r>
        <w:rPr>
          <w:rFonts w:ascii="Arial" w:cs="Arial" w:eastAsia="Arial" w:hAnsi="Arial"/>
          <w:sz w:val="17"/>
          <w:szCs w:val="17"/>
          <w:color w:val="auto"/>
        </w:rPr>
        <w:t>Mr. Henderson’s significant accounting skills, experience in leading the initial public offering of a subsidiary of a public company, and expertise in large organization management and emerging markets, make him a valuable member of the Board and our Audit Committee, which he chairs. During his tenure as President and CEO of GM, that company filed for reorganization under Chapter 11 of the U.S. Bankruptcy Code. The Nominating and Corporate Governance Committee does not believe that this proceeding is material to the evaluation of Mr. Henderson’s ability to serve as a director.</w:t>
      </w:r>
    </w:p>
    <w:p>
      <w:pPr>
        <w:spacing w:after="0" w:line="230" w:lineRule="exact"/>
        <w:rPr>
          <w:sz w:val="20"/>
          <w:szCs w:val="20"/>
          <w:color w:val="auto"/>
        </w:rPr>
      </w:pPr>
    </w:p>
    <w:tbl>
      <w:tblPr>
        <w:tblLayout w:type="fixed"/>
        <w:tblInd w:w="220" w:type="dxa"/>
        <w:tblCellMar>
          <w:top w:w="0" w:type="dxa"/>
          <w:left w:w="0" w:type="dxa"/>
          <w:bottom w:w="0" w:type="dxa"/>
          <w:right w:w="0" w:type="dxa"/>
        </w:tblCellMar>
      </w:tblPr>
      <w:tr>
        <w:trPr>
          <w:trHeight w:val="256"/>
        </w:trPr>
        <w:tc>
          <w:tcPr>
            <w:tcW w:w="3420" w:type="dxa"/>
            <w:vAlign w:val="bottom"/>
            <w:shd w:val="clear" w:color="auto" w:fill="998C87"/>
          </w:tcPr>
          <w:p>
            <w:pPr>
              <w:ind w:left="100"/>
              <w:spacing w:after="0"/>
              <w:rPr>
                <w:sz w:val="20"/>
                <w:szCs w:val="20"/>
                <w:color w:val="auto"/>
              </w:rPr>
            </w:pPr>
            <w:r>
              <w:rPr>
                <w:rFonts w:ascii="Arial" w:cs="Arial" w:eastAsia="Arial" w:hAnsi="Arial"/>
                <w:sz w:val="18"/>
                <w:szCs w:val="18"/>
                <w:b w:val="1"/>
                <w:bCs w:val="1"/>
                <w:color w:val="FFFFFF"/>
              </w:rPr>
              <w:t>Eric Hippeau</w:t>
            </w:r>
          </w:p>
        </w:tc>
        <w:tc>
          <w:tcPr>
            <w:tcW w:w="2180" w:type="dxa"/>
            <w:vAlign w:val="bottom"/>
            <w:shd w:val="clear" w:color="auto" w:fill="998C87"/>
          </w:tcPr>
          <w:p>
            <w:pPr>
              <w:ind w:left="500"/>
              <w:spacing w:after="0"/>
              <w:rPr>
                <w:sz w:val="20"/>
                <w:szCs w:val="20"/>
                <w:color w:val="auto"/>
              </w:rPr>
            </w:pPr>
            <w:r>
              <w:rPr>
                <w:rFonts w:ascii="Arial" w:cs="Arial" w:eastAsia="Arial" w:hAnsi="Arial"/>
                <w:sz w:val="15"/>
                <w:szCs w:val="15"/>
                <w:b w:val="1"/>
                <w:bCs w:val="1"/>
                <w:color w:val="FFFFFF"/>
              </w:rPr>
              <w:t>Age: 66</w:t>
            </w:r>
          </w:p>
        </w:tc>
        <w:tc>
          <w:tcPr>
            <w:tcW w:w="5400" w:type="dxa"/>
            <w:vAlign w:val="bottom"/>
            <w:shd w:val="clear" w:color="auto" w:fill="998C87"/>
          </w:tcPr>
          <w:p>
            <w:pPr>
              <w:ind w:left="1120"/>
              <w:spacing w:after="0"/>
              <w:rPr>
                <w:sz w:val="20"/>
                <w:szCs w:val="20"/>
                <w:color w:val="auto"/>
              </w:rPr>
            </w:pPr>
            <w:r>
              <w:rPr>
                <w:rFonts w:ascii="Arial" w:cs="Arial" w:eastAsia="Arial" w:hAnsi="Arial"/>
                <w:sz w:val="15"/>
                <w:szCs w:val="15"/>
                <w:b w:val="1"/>
                <w:bCs w:val="1"/>
                <w:color w:val="FFFFFF"/>
              </w:rPr>
              <w:t>Director since: 2016</w:t>
            </w:r>
          </w:p>
        </w:tc>
        <w:tc>
          <w:tcPr>
            <w:tcW w:w="0" w:type="dxa"/>
            <w:vAlign w:val="bottom"/>
          </w:tcPr>
          <w:p>
            <w:pPr>
              <w:spacing w:after="0"/>
              <w:rPr>
                <w:sz w:val="1"/>
                <w:szCs w:val="1"/>
                <w:color w:val="auto"/>
              </w:rPr>
            </w:pPr>
          </w:p>
        </w:tc>
      </w:tr>
      <w:tr>
        <w:trPr>
          <w:trHeight w:val="174"/>
        </w:trPr>
        <w:tc>
          <w:tcPr>
            <w:tcW w:w="3420" w:type="dxa"/>
            <w:vAlign w:val="bottom"/>
            <w:vMerge w:val="restart"/>
          </w:tcPr>
          <w:p>
            <w:pPr>
              <w:ind w:left="1660"/>
              <w:spacing w:after="0"/>
              <w:rPr>
                <w:sz w:val="20"/>
                <w:szCs w:val="20"/>
                <w:color w:val="auto"/>
              </w:rPr>
            </w:pPr>
            <w:r>
              <w:rPr>
                <w:rFonts w:ascii="Arial" w:cs="Arial" w:eastAsia="Arial" w:hAnsi="Arial"/>
                <w:sz w:val="14"/>
                <w:szCs w:val="14"/>
                <w:b w:val="1"/>
                <w:bCs w:val="1"/>
                <w:color w:val="998C87"/>
              </w:rPr>
              <w:t>Managing Partner,</w:t>
            </w:r>
          </w:p>
        </w:tc>
        <w:tc>
          <w:tcPr>
            <w:tcW w:w="7580" w:type="dxa"/>
            <w:vAlign w:val="bottom"/>
            <w:gridSpan w:val="2"/>
          </w:tcPr>
          <w:p>
            <w:pPr>
              <w:ind w:left="500"/>
              <w:spacing w:after="0" w:line="174" w:lineRule="exact"/>
              <w:rPr>
                <w:sz w:val="20"/>
                <w:szCs w:val="20"/>
                <w:color w:val="auto"/>
              </w:rPr>
            </w:pPr>
            <w:r>
              <w:rPr>
                <w:rFonts w:ascii="Arial" w:cs="Arial" w:eastAsia="Arial" w:hAnsi="Arial"/>
                <w:sz w:val="17"/>
                <w:szCs w:val="17"/>
                <w:color w:val="auto"/>
              </w:rPr>
              <w:t>Mr. Hippeau has been Managing Partner with Lerer Hippeau, a venture capital fund, since</w:t>
            </w:r>
          </w:p>
        </w:tc>
        <w:tc>
          <w:tcPr>
            <w:tcW w:w="0" w:type="dxa"/>
            <w:vAlign w:val="bottom"/>
          </w:tcPr>
          <w:p>
            <w:pPr>
              <w:spacing w:after="0"/>
              <w:rPr>
                <w:sz w:val="1"/>
                <w:szCs w:val="1"/>
                <w:color w:val="auto"/>
              </w:rPr>
            </w:pPr>
          </w:p>
        </w:tc>
      </w:tr>
      <w:tr>
        <w:trPr>
          <w:trHeight w:val="53"/>
        </w:trPr>
        <w:tc>
          <w:tcPr>
            <w:tcW w:w="3420" w:type="dxa"/>
            <w:vAlign w:val="bottom"/>
            <w:vMerge w:val="continue"/>
          </w:tcPr>
          <w:p>
            <w:pPr>
              <w:spacing w:after="0"/>
              <w:rPr>
                <w:sz w:val="4"/>
                <w:szCs w:val="4"/>
                <w:color w:val="auto"/>
              </w:rPr>
            </w:pPr>
          </w:p>
        </w:tc>
        <w:tc>
          <w:tcPr>
            <w:tcW w:w="7580" w:type="dxa"/>
            <w:vAlign w:val="bottom"/>
            <w:gridSpan w:val="2"/>
            <w:vMerge w:val="restart"/>
          </w:tcPr>
          <w:p>
            <w:pPr>
              <w:ind w:left="500"/>
              <w:spacing w:after="0"/>
              <w:rPr>
                <w:sz w:val="20"/>
                <w:szCs w:val="20"/>
                <w:color w:val="auto"/>
              </w:rPr>
            </w:pPr>
            <w:r>
              <w:rPr>
                <w:rFonts w:ascii="Arial" w:cs="Arial" w:eastAsia="Arial" w:hAnsi="Arial"/>
                <w:sz w:val="17"/>
                <w:szCs w:val="17"/>
                <w:color w:val="auto"/>
              </w:rPr>
              <w:t>June 2011. From 2009 to 2011, he was the Chief Executive Officer of The Huffington Post,</w:t>
            </w:r>
          </w:p>
        </w:tc>
        <w:tc>
          <w:tcPr>
            <w:tcW w:w="0" w:type="dxa"/>
            <w:vAlign w:val="bottom"/>
          </w:tcPr>
          <w:p>
            <w:pPr>
              <w:spacing w:after="0"/>
              <w:rPr>
                <w:sz w:val="1"/>
                <w:szCs w:val="1"/>
                <w:color w:val="auto"/>
              </w:rPr>
            </w:pPr>
          </w:p>
        </w:tc>
      </w:tr>
      <w:tr>
        <w:trPr>
          <w:trHeight w:val="157"/>
        </w:trPr>
        <w:tc>
          <w:tcPr>
            <w:tcW w:w="3420" w:type="dxa"/>
            <w:vAlign w:val="bottom"/>
          </w:tcPr>
          <w:p>
            <w:pPr>
              <w:ind w:left="1660"/>
              <w:spacing w:after="0" w:line="157" w:lineRule="exact"/>
              <w:rPr>
                <w:sz w:val="20"/>
                <w:szCs w:val="20"/>
                <w:color w:val="auto"/>
              </w:rPr>
            </w:pPr>
            <w:r>
              <w:rPr>
                <w:rFonts w:ascii="Arial" w:cs="Arial" w:eastAsia="Arial" w:hAnsi="Arial"/>
                <w:sz w:val="14"/>
                <w:szCs w:val="14"/>
                <w:b w:val="1"/>
                <w:bCs w:val="1"/>
                <w:color w:val="998C87"/>
              </w:rPr>
              <w:t>Lerer Hippeau</w:t>
            </w:r>
          </w:p>
        </w:tc>
        <w:tc>
          <w:tcPr>
            <w:tcW w:w="75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-252730</wp:posOffset>
            </wp:positionV>
            <wp:extent cx="6989445" cy="13017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89445" cy="1301750"/>
                    </a:xfrm>
                    <a:prstGeom prst="rect">
                      <a:avLst/>
                    </a:prstGeom>
                    <a:noFill/>
                  </pic:spPr>
                </pic:pic>
              </a:graphicData>
            </a:graphic>
          </wp:anchor>
        </w:drawing>
      </w:r>
    </w:p>
    <w:p>
      <w:pPr>
        <w:ind w:left="4140" w:right="180"/>
        <w:spacing w:after="0" w:line="235" w:lineRule="auto"/>
        <w:rPr>
          <w:sz w:val="20"/>
          <w:szCs w:val="20"/>
          <w:color w:val="auto"/>
        </w:rPr>
      </w:pPr>
      <w:r>
        <w:rPr>
          <w:rFonts w:ascii="Arial" w:cs="Arial" w:eastAsia="Arial" w:hAnsi="Arial"/>
          <w:sz w:val="17"/>
          <w:szCs w:val="17"/>
          <w:color w:val="auto"/>
        </w:rPr>
        <w:t>a news website. From 2000 to 2009, he was a Managing Partner of Softbank Capital, a technology venture capital firm. Mr. Hippeau served as Chairman and Chief Executive Officer of Ziff-Davis Inc., an integrated media and marketing company, from 1993 to March 2000 and held various other positions with Ziff-Davis from 1989 to 1993. Mr. Hippeau served on the board of directors of The Huffington Post from 2006 to 2011 and Yahoo! Inc. from 1996 to 2011. Mr. Hippeau has been a director of the Company since September 2016 and previously served on the Starwood board of directors from 1999 to September 2016.</w:t>
      </w:r>
    </w:p>
    <w:p>
      <w:pPr>
        <w:spacing w:after="0" w:line="390"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998C87"/>
        </w:rPr>
        <w:t>Professional Highlights:</w:t>
      </w:r>
    </w:p>
    <w:p>
      <w:pPr>
        <w:spacing w:after="0" w:line="49" w:lineRule="exact"/>
        <w:rPr>
          <w:sz w:val="20"/>
          <w:szCs w:val="20"/>
          <w:color w:val="auto"/>
        </w:rPr>
      </w:pPr>
    </w:p>
    <w:p>
      <w:pPr>
        <w:ind w:left="220" w:right="180"/>
        <w:spacing w:after="0" w:line="253" w:lineRule="auto"/>
        <w:rPr>
          <w:sz w:val="20"/>
          <w:szCs w:val="20"/>
          <w:color w:val="auto"/>
        </w:rPr>
      </w:pPr>
      <w:r>
        <w:rPr>
          <w:rFonts w:ascii="Arial" w:cs="Arial" w:eastAsia="Arial" w:hAnsi="Arial"/>
          <w:sz w:val="17"/>
          <w:szCs w:val="17"/>
          <w:color w:val="auto"/>
        </w:rPr>
        <w:t>As the Managing Partner of Lerer Hippeau, Mr. Hippeau brings to the Board and our Compensation Policy Committee extensive investment and venture capital expertise. In addition, Mr. Hippeau has significant governance experience as a director, a strong background in technology and modern media and a deep understanding of the hospitality industry as the result of his tenure with Starwood.</w:t>
      </w:r>
    </w:p>
    <w:p>
      <w:pPr>
        <w:spacing w:after="0" w:line="102" w:lineRule="exact"/>
        <w:rPr>
          <w:sz w:val="20"/>
          <w:szCs w:val="20"/>
          <w:color w:val="auto"/>
        </w:rPr>
      </w:pPr>
    </w:p>
    <w:tbl>
      <w:tblPr>
        <w:tblLayout w:type="fixed"/>
        <w:tblInd w:w="9180" w:type="dxa"/>
        <w:tblCellMar>
          <w:top w:w="0" w:type="dxa"/>
          <w:left w:w="0" w:type="dxa"/>
          <w:bottom w:w="0" w:type="dxa"/>
          <w:right w:w="0" w:type="dxa"/>
        </w:tblCellMar>
      </w:tblPr>
      <w:tr>
        <w:trPr>
          <w:trHeight w:val="214"/>
        </w:trPr>
        <w:tc>
          <w:tcPr>
            <w:tcW w:w="1660" w:type="dxa"/>
            <w:vAlign w:val="bottom"/>
          </w:tcPr>
          <w:p>
            <w:pPr>
              <w:spacing w:after="0"/>
              <w:rPr>
                <w:sz w:val="20"/>
                <w:szCs w:val="20"/>
                <w:color w:val="auto"/>
              </w:rPr>
            </w:pPr>
            <w:r>
              <w:rPr>
                <w:rFonts w:ascii="Arial" w:cs="Arial" w:eastAsia="Arial" w:hAnsi="Arial"/>
                <w:sz w:val="15"/>
                <w:szCs w:val="15"/>
                <w:color w:val="998C87"/>
              </w:rPr>
              <w:t>2018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21</w:t>
            </w:r>
          </w:p>
        </w:tc>
      </w:tr>
    </w:tbl>
    <w:p>
      <w:pPr>
        <w:sectPr>
          <w:pgSz w:w="11900" w:h="16838" w:orient="portrait"/>
          <w:cols w:equalWidth="0" w:num="1">
            <w:col w:w="11220"/>
          </w:cols>
          <w:pgMar w:left="240" w:top="455" w:right="4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49" w:lineRule="exact"/>
        <w:rPr>
          <w:sz w:val="20"/>
          <w:szCs w:val="20"/>
          <w:color w:val="auto"/>
        </w:rPr>
      </w:pPr>
    </w:p>
    <w:tbl>
      <w:tblPr>
        <w:tblLayout w:type="fixed"/>
        <w:tblInd w:w="220" w:type="dxa"/>
        <w:tblCellMar>
          <w:top w:w="0" w:type="dxa"/>
          <w:left w:w="0" w:type="dxa"/>
          <w:bottom w:w="0" w:type="dxa"/>
          <w:right w:w="0" w:type="dxa"/>
        </w:tblCellMar>
      </w:tblPr>
      <w:tr>
        <w:trPr>
          <w:trHeight w:val="256"/>
        </w:trPr>
        <w:tc>
          <w:tcPr>
            <w:tcW w:w="3440" w:type="dxa"/>
            <w:vAlign w:val="bottom"/>
            <w:shd w:val="clear" w:color="auto" w:fill="998C87"/>
          </w:tcPr>
          <w:p>
            <w:pPr>
              <w:ind w:left="100"/>
              <w:spacing w:after="0"/>
              <w:rPr>
                <w:sz w:val="20"/>
                <w:szCs w:val="20"/>
                <w:color w:val="auto"/>
              </w:rPr>
            </w:pPr>
            <w:r>
              <w:rPr>
                <w:rFonts w:ascii="Arial" w:cs="Arial" w:eastAsia="Arial" w:hAnsi="Arial"/>
                <w:sz w:val="18"/>
                <w:szCs w:val="18"/>
                <w:b w:val="1"/>
                <w:bCs w:val="1"/>
                <w:color w:val="FFFFFF"/>
              </w:rPr>
              <w:t>Lawrence W. Kellner</w:t>
            </w:r>
          </w:p>
        </w:tc>
        <w:tc>
          <w:tcPr>
            <w:tcW w:w="2160" w:type="dxa"/>
            <w:vAlign w:val="bottom"/>
            <w:shd w:val="clear" w:color="auto" w:fill="998C87"/>
          </w:tcPr>
          <w:p>
            <w:pPr>
              <w:ind w:left="480"/>
              <w:spacing w:after="0"/>
              <w:rPr>
                <w:sz w:val="20"/>
                <w:szCs w:val="20"/>
                <w:color w:val="auto"/>
              </w:rPr>
            </w:pPr>
            <w:r>
              <w:rPr>
                <w:rFonts w:ascii="Arial" w:cs="Arial" w:eastAsia="Arial" w:hAnsi="Arial"/>
                <w:sz w:val="15"/>
                <w:szCs w:val="15"/>
                <w:b w:val="1"/>
                <w:bCs w:val="1"/>
                <w:color w:val="FFFFFF"/>
              </w:rPr>
              <w:t>Age: 59</w:t>
            </w:r>
          </w:p>
        </w:tc>
        <w:tc>
          <w:tcPr>
            <w:tcW w:w="5400" w:type="dxa"/>
            <w:vAlign w:val="bottom"/>
            <w:shd w:val="clear" w:color="auto" w:fill="998C87"/>
          </w:tcPr>
          <w:p>
            <w:pPr>
              <w:ind w:left="1120"/>
              <w:spacing w:after="0"/>
              <w:rPr>
                <w:sz w:val="20"/>
                <w:szCs w:val="20"/>
                <w:color w:val="auto"/>
              </w:rPr>
            </w:pPr>
            <w:r>
              <w:rPr>
                <w:rFonts w:ascii="Arial" w:cs="Arial" w:eastAsia="Arial" w:hAnsi="Arial"/>
                <w:sz w:val="15"/>
                <w:szCs w:val="15"/>
                <w:b w:val="1"/>
                <w:bCs w:val="1"/>
                <w:color w:val="FFFFFF"/>
              </w:rPr>
              <w:t>Director since: 2002</w:t>
            </w:r>
          </w:p>
        </w:tc>
        <w:tc>
          <w:tcPr>
            <w:tcW w:w="0" w:type="dxa"/>
            <w:vAlign w:val="bottom"/>
          </w:tcPr>
          <w:p>
            <w:pPr>
              <w:spacing w:after="0"/>
              <w:rPr>
                <w:sz w:val="1"/>
                <w:szCs w:val="1"/>
                <w:color w:val="auto"/>
              </w:rPr>
            </w:pPr>
          </w:p>
        </w:tc>
      </w:tr>
      <w:tr>
        <w:trPr>
          <w:trHeight w:val="174"/>
        </w:trPr>
        <w:tc>
          <w:tcPr>
            <w:tcW w:w="3440" w:type="dxa"/>
            <w:vAlign w:val="bottom"/>
            <w:vMerge w:val="restart"/>
          </w:tcPr>
          <w:p>
            <w:pPr>
              <w:ind w:left="1660"/>
              <w:spacing w:after="0"/>
              <w:rPr>
                <w:sz w:val="20"/>
                <w:szCs w:val="20"/>
                <w:color w:val="auto"/>
              </w:rPr>
            </w:pPr>
            <w:r>
              <w:rPr>
                <w:rFonts w:ascii="Arial" w:cs="Arial" w:eastAsia="Arial" w:hAnsi="Arial"/>
                <w:sz w:val="14"/>
                <w:szCs w:val="14"/>
                <w:b w:val="1"/>
                <w:bCs w:val="1"/>
                <w:color w:val="998C87"/>
              </w:rPr>
              <w:t>President, Emerald</w:t>
            </w:r>
          </w:p>
        </w:tc>
        <w:tc>
          <w:tcPr>
            <w:tcW w:w="7560" w:type="dxa"/>
            <w:vAlign w:val="bottom"/>
            <w:gridSpan w:val="2"/>
          </w:tcPr>
          <w:p>
            <w:pPr>
              <w:ind w:left="480"/>
              <w:spacing w:after="0" w:line="174" w:lineRule="exact"/>
              <w:rPr>
                <w:sz w:val="20"/>
                <w:szCs w:val="20"/>
                <w:color w:val="auto"/>
              </w:rPr>
            </w:pPr>
            <w:r>
              <w:rPr>
                <w:rFonts w:ascii="Arial" w:cs="Arial" w:eastAsia="Arial" w:hAnsi="Arial"/>
                <w:sz w:val="17"/>
                <w:szCs w:val="17"/>
                <w:color w:val="auto"/>
              </w:rPr>
              <w:t>Mr. Kellner has been President of Emerald Creek Group, LLC, a private equity firm, since</w:t>
            </w:r>
          </w:p>
        </w:tc>
        <w:tc>
          <w:tcPr>
            <w:tcW w:w="0" w:type="dxa"/>
            <w:vAlign w:val="bottom"/>
          </w:tcPr>
          <w:p>
            <w:pPr>
              <w:spacing w:after="0"/>
              <w:rPr>
                <w:sz w:val="1"/>
                <w:szCs w:val="1"/>
                <w:color w:val="auto"/>
              </w:rPr>
            </w:pPr>
          </w:p>
        </w:tc>
      </w:tr>
      <w:tr>
        <w:trPr>
          <w:trHeight w:val="53"/>
        </w:trPr>
        <w:tc>
          <w:tcPr>
            <w:tcW w:w="3440" w:type="dxa"/>
            <w:vAlign w:val="bottom"/>
            <w:vMerge w:val="continue"/>
          </w:tcPr>
          <w:p>
            <w:pPr>
              <w:spacing w:after="0"/>
              <w:rPr>
                <w:sz w:val="4"/>
                <w:szCs w:val="4"/>
                <w:color w:val="auto"/>
              </w:rPr>
            </w:pPr>
          </w:p>
        </w:tc>
        <w:tc>
          <w:tcPr>
            <w:tcW w:w="7560" w:type="dxa"/>
            <w:vAlign w:val="bottom"/>
            <w:gridSpan w:val="2"/>
            <w:vMerge w:val="restart"/>
          </w:tcPr>
          <w:p>
            <w:pPr>
              <w:ind w:left="480"/>
              <w:spacing w:after="0"/>
              <w:rPr>
                <w:sz w:val="20"/>
                <w:szCs w:val="20"/>
                <w:color w:val="auto"/>
              </w:rPr>
            </w:pPr>
            <w:r>
              <w:rPr>
                <w:rFonts w:ascii="Arial" w:cs="Arial" w:eastAsia="Arial" w:hAnsi="Arial"/>
                <w:sz w:val="17"/>
                <w:szCs w:val="17"/>
                <w:color w:val="auto"/>
              </w:rPr>
              <w:t>January 2010. In December 2017, he also resumed his role as Non-Executive Chairman of</w:t>
            </w:r>
          </w:p>
        </w:tc>
        <w:tc>
          <w:tcPr>
            <w:tcW w:w="0" w:type="dxa"/>
            <w:vAlign w:val="bottom"/>
          </w:tcPr>
          <w:p>
            <w:pPr>
              <w:spacing w:after="0"/>
              <w:rPr>
                <w:sz w:val="1"/>
                <w:szCs w:val="1"/>
                <w:color w:val="auto"/>
              </w:rPr>
            </w:pPr>
          </w:p>
        </w:tc>
      </w:tr>
      <w:tr>
        <w:trPr>
          <w:trHeight w:val="157"/>
        </w:trPr>
        <w:tc>
          <w:tcPr>
            <w:tcW w:w="3440" w:type="dxa"/>
            <w:vAlign w:val="bottom"/>
          </w:tcPr>
          <w:p>
            <w:pPr>
              <w:ind w:left="1660"/>
              <w:spacing w:after="0" w:line="157" w:lineRule="exact"/>
              <w:rPr>
                <w:sz w:val="20"/>
                <w:szCs w:val="20"/>
                <w:color w:val="auto"/>
              </w:rPr>
            </w:pPr>
            <w:r>
              <w:rPr>
                <w:rFonts w:ascii="Arial" w:cs="Arial" w:eastAsia="Arial" w:hAnsi="Arial"/>
                <w:sz w:val="14"/>
                <w:szCs w:val="14"/>
                <w:b w:val="1"/>
                <w:bCs w:val="1"/>
                <w:color w:val="998C87"/>
              </w:rPr>
              <w:t>Creek Group, LLC</w:t>
            </w:r>
          </w:p>
        </w:tc>
        <w:tc>
          <w:tcPr>
            <w:tcW w:w="75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-252730</wp:posOffset>
            </wp:positionV>
            <wp:extent cx="6989445" cy="17303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89445" cy="1730375"/>
                    </a:xfrm>
                    <a:prstGeom prst="rect">
                      <a:avLst/>
                    </a:prstGeom>
                    <a:noFill/>
                  </pic:spPr>
                </pic:pic>
              </a:graphicData>
            </a:graphic>
          </wp:anchor>
        </w:drawing>
      </w:r>
    </w:p>
    <w:p>
      <w:pPr>
        <w:ind w:left="4140" w:right="180"/>
        <w:spacing w:after="0" w:line="233" w:lineRule="auto"/>
        <w:rPr>
          <w:sz w:val="20"/>
          <w:szCs w:val="20"/>
          <w:color w:val="auto"/>
        </w:rPr>
      </w:pPr>
      <w:r>
        <w:rPr>
          <w:rFonts w:ascii="Arial" w:cs="Arial" w:eastAsia="Arial" w:hAnsi="Arial"/>
          <w:sz w:val="17"/>
          <w:szCs w:val="17"/>
          <w:color w:val="auto"/>
        </w:rPr>
        <w:t>the board of directors of the Sabre Corporation, a global technology company, which he formerly held since August 2013, before serving as Executive Chairman of the board from December 2016 through December 2017. Mr. Kellner previously served as Chairman and Chief Executive Officer of Continental Airlines, Inc., an international airline company, from December 2004 through December 2009. He served as President and Chief Operating Officer of Continental Airlines from March 2003 to December 2004, as President from May 2001 to March 2003 and was a member of Continental Airlines’ board of directors from May 2001 to December 2009. Mr. Kellner serves on the board of directors for The Boeing Company. He also served on the board of directors of Chubb Limited from January 2016 through December 2016 and on the board of directors of its predecessor, the Chubb Corporation, from 2011 to January 2016. He is active in numerous community and civic organizations. Mr. Kellner has been a director of the Company since 2002.</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998C87"/>
        </w:rPr>
        <w:t>Professional Highlights:</w:t>
      </w:r>
    </w:p>
    <w:p>
      <w:pPr>
        <w:spacing w:after="0" w:line="49" w:lineRule="exact"/>
        <w:rPr>
          <w:sz w:val="20"/>
          <w:szCs w:val="20"/>
          <w:color w:val="auto"/>
        </w:rPr>
      </w:pPr>
    </w:p>
    <w:p>
      <w:pPr>
        <w:ind w:left="220" w:right="260"/>
        <w:spacing w:after="0" w:line="246" w:lineRule="auto"/>
        <w:rPr>
          <w:sz w:val="20"/>
          <w:szCs w:val="20"/>
          <w:color w:val="auto"/>
        </w:rPr>
      </w:pPr>
      <w:r>
        <w:rPr>
          <w:rFonts w:ascii="Arial" w:cs="Arial" w:eastAsia="Arial" w:hAnsi="Arial"/>
          <w:sz w:val="17"/>
          <w:szCs w:val="17"/>
          <w:color w:val="auto"/>
        </w:rPr>
        <w:t>Mr. Kellner is our Lead Director and brings to the Board, our Nominating and Corporate Governance Committee, which he chairs, our Finance Committee and our Executive Committee experience as CEO of one of the largest airline companies in the world with significant management, strategic and operational responsibilities in the travel and leisure industry. He also provides extensive knowledge in the fields of finance and accounting gained from his background as Chief Financial Officer at Continental and other companies.</w:t>
      </w:r>
    </w:p>
    <w:p>
      <w:pPr>
        <w:spacing w:after="0" w:line="104" w:lineRule="exact"/>
        <w:rPr>
          <w:sz w:val="20"/>
          <w:szCs w:val="20"/>
          <w:color w:val="auto"/>
        </w:rPr>
      </w:pPr>
    </w:p>
    <w:tbl>
      <w:tblPr>
        <w:tblLayout w:type="fixed"/>
        <w:tblInd w:w="220" w:type="dxa"/>
        <w:tblCellMar>
          <w:top w:w="0" w:type="dxa"/>
          <w:left w:w="0" w:type="dxa"/>
          <w:bottom w:w="0" w:type="dxa"/>
          <w:right w:w="0" w:type="dxa"/>
        </w:tblCellMar>
      </w:tblPr>
      <w:tr>
        <w:trPr>
          <w:trHeight w:val="256"/>
        </w:trPr>
        <w:tc>
          <w:tcPr>
            <w:tcW w:w="3560" w:type="dxa"/>
            <w:vAlign w:val="bottom"/>
            <w:shd w:val="clear" w:color="auto" w:fill="998C87"/>
          </w:tcPr>
          <w:p>
            <w:pPr>
              <w:ind w:left="100"/>
              <w:spacing w:after="0"/>
              <w:rPr>
                <w:sz w:val="20"/>
                <w:szCs w:val="20"/>
                <w:color w:val="auto"/>
              </w:rPr>
            </w:pPr>
            <w:r>
              <w:rPr>
                <w:rFonts w:ascii="Arial" w:cs="Arial" w:eastAsia="Arial" w:hAnsi="Arial"/>
                <w:sz w:val="18"/>
                <w:szCs w:val="18"/>
                <w:b w:val="1"/>
                <w:bCs w:val="1"/>
                <w:color w:val="FFFFFF"/>
              </w:rPr>
              <w:t>Debra L. Lee</w:t>
            </w:r>
          </w:p>
        </w:tc>
        <w:tc>
          <w:tcPr>
            <w:tcW w:w="2040" w:type="dxa"/>
            <w:vAlign w:val="bottom"/>
            <w:shd w:val="clear" w:color="auto" w:fill="998C87"/>
          </w:tcPr>
          <w:p>
            <w:pPr>
              <w:ind w:left="360"/>
              <w:spacing w:after="0"/>
              <w:rPr>
                <w:sz w:val="20"/>
                <w:szCs w:val="20"/>
                <w:color w:val="auto"/>
              </w:rPr>
            </w:pPr>
            <w:r>
              <w:rPr>
                <w:rFonts w:ascii="Arial" w:cs="Arial" w:eastAsia="Arial" w:hAnsi="Arial"/>
                <w:sz w:val="15"/>
                <w:szCs w:val="15"/>
                <w:b w:val="1"/>
                <w:bCs w:val="1"/>
                <w:color w:val="FFFFFF"/>
              </w:rPr>
              <w:t>Age: 63</w:t>
            </w:r>
          </w:p>
        </w:tc>
        <w:tc>
          <w:tcPr>
            <w:tcW w:w="5400" w:type="dxa"/>
            <w:vAlign w:val="bottom"/>
            <w:shd w:val="clear" w:color="auto" w:fill="998C87"/>
          </w:tcPr>
          <w:p>
            <w:pPr>
              <w:ind w:left="1120"/>
              <w:spacing w:after="0"/>
              <w:rPr>
                <w:sz w:val="20"/>
                <w:szCs w:val="20"/>
                <w:color w:val="auto"/>
              </w:rPr>
            </w:pPr>
            <w:r>
              <w:rPr>
                <w:rFonts w:ascii="Arial" w:cs="Arial" w:eastAsia="Arial" w:hAnsi="Arial"/>
                <w:sz w:val="15"/>
                <w:szCs w:val="15"/>
                <w:b w:val="1"/>
                <w:bCs w:val="1"/>
                <w:color w:val="FFFFFF"/>
              </w:rPr>
              <w:t>Director since: 2004</w:t>
            </w:r>
          </w:p>
        </w:tc>
        <w:tc>
          <w:tcPr>
            <w:tcW w:w="0" w:type="dxa"/>
            <w:vAlign w:val="bottom"/>
          </w:tcPr>
          <w:p>
            <w:pPr>
              <w:spacing w:after="0"/>
              <w:rPr>
                <w:sz w:val="1"/>
                <w:szCs w:val="1"/>
                <w:color w:val="auto"/>
              </w:rPr>
            </w:pPr>
          </w:p>
        </w:tc>
      </w:tr>
      <w:tr>
        <w:trPr>
          <w:trHeight w:val="174"/>
        </w:trPr>
        <w:tc>
          <w:tcPr>
            <w:tcW w:w="3560" w:type="dxa"/>
            <w:vAlign w:val="bottom"/>
            <w:vMerge w:val="restart"/>
          </w:tcPr>
          <w:p>
            <w:pPr>
              <w:ind w:left="1660"/>
              <w:spacing w:after="0"/>
              <w:rPr>
                <w:sz w:val="20"/>
                <w:szCs w:val="20"/>
                <w:color w:val="auto"/>
              </w:rPr>
            </w:pPr>
            <w:r>
              <w:rPr>
                <w:rFonts w:ascii="Arial" w:cs="Arial" w:eastAsia="Arial" w:hAnsi="Arial"/>
                <w:sz w:val="14"/>
                <w:szCs w:val="14"/>
                <w:b w:val="1"/>
                <w:bCs w:val="1"/>
                <w:color w:val="998C87"/>
              </w:rPr>
              <w:t>Chairman and Chief</w:t>
            </w:r>
          </w:p>
        </w:tc>
        <w:tc>
          <w:tcPr>
            <w:tcW w:w="7440" w:type="dxa"/>
            <w:vAlign w:val="bottom"/>
            <w:gridSpan w:val="2"/>
          </w:tcPr>
          <w:p>
            <w:pPr>
              <w:ind w:left="360"/>
              <w:spacing w:after="0" w:line="174" w:lineRule="exact"/>
              <w:rPr>
                <w:sz w:val="20"/>
                <w:szCs w:val="20"/>
                <w:color w:val="auto"/>
              </w:rPr>
            </w:pPr>
            <w:r>
              <w:rPr>
                <w:rFonts w:ascii="Arial" w:cs="Arial" w:eastAsia="Arial" w:hAnsi="Arial"/>
                <w:sz w:val="17"/>
                <w:szCs w:val="17"/>
                <w:color w:val="auto"/>
              </w:rPr>
              <w:t>Ms. Lee is Chairman and Chief Executive Officer of BET Networks, a media and</w:t>
            </w:r>
          </w:p>
        </w:tc>
        <w:tc>
          <w:tcPr>
            <w:tcW w:w="0" w:type="dxa"/>
            <w:vAlign w:val="bottom"/>
          </w:tcPr>
          <w:p>
            <w:pPr>
              <w:spacing w:after="0"/>
              <w:rPr>
                <w:sz w:val="1"/>
                <w:szCs w:val="1"/>
                <w:color w:val="auto"/>
              </w:rPr>
            </w:pPr>
          </w:p>
        </w:tc>
      </w:tr>
      <w:tr>
        <w:trPr>
          <w:trHeight w:val="53"/>
        </w:trPr>
        <w:tc>
          <w:tcPr>
            <w:tcW w:w="3560" w:type="dxa"/>
            <w:vAlign w:val="bottom"/>
            <w:vMerge w:val="continue"/>
          </w:tcPr>
          <w:p>
            <w:pPr>
              <w:spacing w:after="0"/>
              <w:rPr>
                <w:sz w:val="4"/>
                <w:szCs w:val="4"/>
                <w:color w:val="auto"/>
              </w:rPr>
            </w:pPr>
          </w:p>
        </w:tc>
        <w:tc>
          <w:tcPr>
            <w:tcW w:w="7440" w:type="dxa"/>
            <w:vAlign w:val="bottom"/>
            <w:gridSpan w:val="2"/>
            <w:vMerge w:val="restart"/>
          </w:tcPr>
          <w:p>
            <w:pPr>
              <w:ind w:left="360"/>
              <w:spacing w:after="0"/>
              <w:rPr>
                <w:sz w:val="20"/>
                <w:szCs w:val="20"/>
                <w:color w:val="auto"/>
              </w:rPr>
            </w:pPr>
            <w:r>
              <w:rPr>
                <w:rFonts w:ascii="Arial" w:cs="Arial" w:eastAsia="Arial" w:hAnsi="Arial"/>
                <w:sz w:val="17"/>
                <w:szCs w:val="17"/>
                <w:color w:val="auto"/>
              </w:rPr>
              <w:t>entertainment subsidiary of Viacom, Inc. that owns and operates BET Networks and</w:t>
            </w:r>
          </w:p>
        </w:tc>
        <w:tc>
          <w:tcPr>
            <w:tcW w:w="0" w:type="dxa"/>
            <w:vAlign w:val="bottom"/>
          </w:tcPr>
          <w:p>
            <w:pPr>
              <w:spacing w:after="0"/>
              <w:rPr>
                <w:sz w:val="1"/>
                <w:szCs w:val="1"/>
                <w:color w:val="auto"/>
              </w:rPr>
            </w:pPr>
          </w:p>
        </w:tc>
      </w:tr>
      <w:tr>
        <w:trPr>
          <w:trHeight w:val="150"/>
        </w:trPr>
        <w:tc>
          <w:tcPr>
            <w:tcW w:w="3560" w:type="dxa"/>
            <w:vAlign w:val="bottom"/>
          </w:tcPr>
          <w:p>
            <w:pPr>
              <w:ind w:left="1660"/>
              <w:spacing w:after="0" w:line="150" w:lineRule="exact"/>
              <w:rPr>
                <w:sz w:val="20"/>
                <w:szCs w:val="20"/>
                <w:color w:val="auto"/>
              </w:rPr>
            </w:pPr>
            <w:r>
              <w:rPr>
                <w:rFonts w:ascii="Arial" w:cs="Arial" w:eastAsia="Arial" w:hAnsi="Arial"/>
                <w:sz w:val="14"/>
                <w:szCs w:val="14"/>
                <w:b w:val="1"/>
                <w:bCs w:val="1"/>
                <w:color w:val="998C87"/>
              </w:rPr>
              <w:t>Executive Officer, BET</w:t>
            </w:r>
          </w:p>
        </w:tc>
        <w:tc>
          <w:tcPr>
            <w:tcW w:w="74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560" w:type="dxa"/>
            <w:vAlign w:val="bottom"/>
          </w:tcPr>
          <w:p>
            <w:pPr>
              <w:ind w:left="1660"/>
              <w:spacing w:after="0"/>
              <w:rPr>
                <w:sz w:val="20"/>
                <w:szCs w:val="20"/>
                <w:color w:val="auto"/>
              </w:rPr>
            </w:pPr>
            <w:r>
              <w:rPr>
                <w:rFonts w:ascii="Arial" w:cs="Arial" w:eastAsia="Arial" w:hAnsi="Arial"/>
                <w:sz w:val="14"/>
                <w:szCs w:val="14"/>
                <w:b w:val="1"/>
                <w:bCs w:val="1"/>
                <w:color w:val="998C87"/>
              </w:rPr>
              <w:t>Networks</w:t>
            </w:r>
          </w:p>
        </w:tc>
        <w:tc>
          <w:tcPr>
            <w:tcW w:w="7440" w:type="dxa"/>
            <w:vAlign w:val="bottom"/>
            <w:gridSpan w:val="2"/>
          </w:tcPr>
          <w:p>
            <w:pPr>
              <w:ind w:left="360"/>
              <w:spacing w:after="0"/>
              <w:rPr>
                <w:sz w:val="20"/>
                <w:szCs w:val="20"/>
                <w:color w:val="auto"/>
              </w:rPr>
            </w:pPr>
            <w:r>
              <w:rPr>
                <w:rFonts w:ascii="Arial" w:cs="Arial" w:eastAsia="Arial" w:hAnsi="Arial"/>
                <w:sz w:val="17"/>
                <w:szCs w:val="17"/>
                <w:color w:val="auto"/>
              </w:rPr>
              <w:t>several other ventures. She joined BET in 1986 and served in a number of executive posts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-372110</wp:posOffset>
            </wp:positionV>
            <wp:extent cx="6989445" cy="16103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89445" cy="1610360"/>
                    </a:xfrm>
                    <a:prstGeom prst="rect">
                      <a:avLst/>
                    </a:prstGeom>
                    <a:noFill/>
                  </pic:spPr>
                </pic:pic>
              </a:graphicData>
            </a:graphic>
          </wp:anchor>
        </w:drawing>
      </w:r>
    </w:p>
    <w:p>
      <w:pPr>
        <w:ind w:left="4140" w:right="180"/>
        <w:spacing w:after="0" w:line="234" w:lineRule="auto"/>
        <w:rPr>
          <w:sz w:val="20"/>
          <w:szCs w:val="20"/>
          <w:color w:val="auto"/>
        </w:rPr>
      </w:pPr>
      <w:r>
        <w:rPr>
          <w:rFonts w:ascii="Arial" w:cs="Arial" w:eastAsia="Arial" w:hAnsi="Arial"/>
          <w:sz w:val="17"/>
          <w:szCs w:val="17"/>
          <w:color w:val="auto"/>
        </w:rPr>
        <w:t>before ascending to her present position in January 2006, including President and Chief Executive Officer from June 2005, President and Chief Operating Officer from 1995 to May 2005, Executive Vice President and General Counsel, and Vice President and General Counsel. Prior to joining BET, Ms. Lee was an attorney with the Washington, D.C.-based law firm Steptoe &amp; Johnson. She also serves on the board of directors of WGL Holdings, Inc. and Twitter, Inc. Ms. Lee also was a director of Eastman Kodak Company from 1999 to 2011, and Revlon, Inc. from 2006 to 2015. In addition, she serves on the board of a number of professional and civic organizations including as Past Chair of the Advertising Council, as the President of the Alvin Ailey Dance Theater, and as a Trustee Emeritus at Brown University. Ms. Lee has been a director of the Company since 2004.</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998C87"/>
        </w:rPr>
        <w:t>Professional Highlights:</w:t>
      </w:r>
    </w:p>
    <w:p>
      <w:pPr>
        <w:spacing w:after="0" w:line="49" w:lineRule="exact"/>
        <w:rPr>
          <w:sz w:val="20"/>
          <w:szCs w:val="20"/>
          <w:color w:val="auto"/>
        </w:rPr>
      </w:pPr>
    </w:p>
    <w:p>
      <w:pPr>
        <w:ind w:left="220" w:right="60"/>
        <w:spacing w:after="0" w:line="246" w:lineRule="auto"/>
        <w:rPr>
          <w:sz w:val="20"/>
          <w:szCs w:val="20"/>
          <w:color w:val="auto"/>
        </w:rPr>
      </w:pPr>
      <w:r>
        <w:rPr>
          <w:rFonts w:ascii="Arial" w:cs="Arial" w:eastAsia="Arial" w:hAnsi="Arial"/>
          <w:sz w:val="17"/>
          <w:szCs w:val="17"/>
          <w:color w:val="auto"/>
        </w:rPr>
        <w:t>Ms. Lee provides our Board, our Committee for Excellence, which she chairs, and our Nominating and Corporate Governance Committee with proven leadership and business experience as the CEO of a major media and entertainment company, extensive management and corporate governance experience gained from that role as well as from her membership on the boards of other public companies, her legal experience, and insights gained from her extensive involvement in civic, community and charitable activities.</w:t>
      </w:r>
    </w:p>
    <w:p>
      <w:pPr>
        <w:spacing w:after="0" w:line="107" w:lineRule="exact"/>
        <w:rPr>
          <w:sz w:val="20"/>
          <w:szCs w:val="20"/>
          <w:color w:val="auto"/>
        </w:rPr>
      </w:pPr>
    </w:p>
    <w:p>
      <w:pPr>
        <w:ind w:left="540" w:hanging="330"/>
        <w:spacing w:after="0"/>
        <w:tabs>
          <w:tab w:leader="none" w:pos="540" w:val="left"/>
        </w:tabs>
        <w:numPr>
          <w:ilvl w:val="0"/>
          <w:numId w:val="63"/>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20"/>
          </w:cols>
          <w:pgMar w:left="240" w:top="455" w:right="4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220" w:type="dxa"/>
        <w:tblCellMar>
          <w:top w:w="0" w:type="dxa"/>
          <w:left w:w="0" w:type="dxa"/>
          <w:bottom w:w="0" w:type="dxa"/>
          <w:right w:w="0" w:type="dxa"/>
        </w:tblCellMar>
      </w:tblPr>
      <w:tr>
        <w:trPr>
          <w:trHeight w:val="206"/>
        </w:trPr>
        <w:tc>
          <w:tcPr>
            <w:tcW w:w="35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5020" w:type="dxa"/>
            <w:vAlign w:val="bottom"/>
          </w:tcPr>
          <w:p>
            <w:pPr>
              <w:ind w:left="3460"/>
              <w:spacing w:after="0"/>
              <w:rPr>
                <w:sz w:val="20"/>
                <w:szCs w:val="20"/>
                <w:color w:val="auto"/>
              </w:rPr>
            </w:pPr>
            <w:r>
              <w:rPr>
                <w:rFonts w:ascii="Arial" w:cs="Arial" w:eastAsia="Arial" w:hAnsi="Arial"/>
                <w:sz w:val="15"/>
                <w:szCs w:val="15"/>
                <w:color w:val="7F7F7F"/>
              </w:rPr>
              <w:t>Corporate Governance</w:t>
            </w:r>
          </w:p>
        </w:tc>
        <w:tc>
          <w:tcPr>
            <w:tcW w:w="0" w:type="dxa"/>
            <w:vAlign w:val="bottom"/>
          </w:tcPr>
          <w:p>
            <w:pPr>
              <w:spacing w:after="0"/>
              <w:rPr>
                <w:sz w:val="1"/>
                <w:szCs w:val="1"/>
                <w:color w:val="auto"/>
              </w:rPr>
            </w:pPr>
          </w:p>
        </w:tc>
      </w:tr>
      <w:tr>
        <w:trPr>
          <w:trHeight w:val="33"/>
        </w:trPr>
        <w:tc>
          <w:tcPr>
            <w:tcW w:w="3580" w:type="dxa"/>
            <w:vAlign w:val="bottom"/>
            <w:tcBorders>
              <w:bottom w:val="single" w:sz="8" w:color="998C87"/>
            </w:tcBorders>
          </w:tcPr>
          <w:p>
            <w:pPr>
              <w:spacing w:after="0"/>
              <w:rPr>
                <w:sz w:val="2"/>
                <w:szCs w:val="2"/>
                <w:color w:val="auto"/>
              </w:rPr>
            </w:pPr>
          </w:p>
        </w:tc>
        <w:tc>
          <w:tcPr>
            <w:tcW w:w="2400" w:type="dxa"/>
            <w:vAlign w:val="bottom"/>
            <w:tcBorders>
              <w:bottom w:val="single" w:sz="8" w:color="998C87"/>
            </w:tcBorders>
          </w:tcPr>
          <w:p>
            <w:pPr>
              <w:spacing w:after="0"/>
              <w:rPr>
                <w:sz w:val="2"/>
                <w:szCs w:val="2"/>
                <w:color w:val="auto"/>
              </w:rPr>
            </w:pPr>
          </w:p>
        </w:tc>
        <w:tc>
          <w:tcPr>
            <w:tcW w:w="5020" w:type="dxa"/>
            <w:vAlign w:val="bottom"/>
            <w:tcBorders>
              <w:bottom w:val="single" w:sz="8" w:color="998C87"/>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5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580" w:type="dxa"/>
            <w:vAlign w:val="bottom"/>
            <w:shd w:val="clear" w:color="auto" w:fill="998C87"/>
          </w:tcPr>
          <w:p>
            <w:pPr>
              <w:ind w:left="80"/>
              <w:spacing w:after="0"/>
              <w:rPr>
                <w:sz w:val="20"/>
                <w:szCs w:val="20"/>
                <w:color w:val="auto"/>
              </w:rPr>
            </w:pPr>
            <w:r>
              <w:rPr>
                <w:rFonts w:ascii="Arial" w:cs="Arial" w:eastAsia="Arial" w:hAnsi="Arial"/>
                <w:sz w:val="18"/>
                <w:szCs w:val="18"/>
                <w:b w:val="1"/>
                <w:bCs w:val="1"/>
                <w:color w:val="FFFFFF"/>
              </w:rPr>
              <w:t>Aylwin B. Lewis</w:t>
            </w:r>
          </w:p>
        </w:tc>
        <w:tc>
          <w:tcPr>
            <w:tcW w:w="2400" w:type="dxa"/>
            <w:vAlign w:val="bottom"/>
            <w:shd w:val="clear" w:color="auto" w:fill="998C87"/>
          </w:tcPr>
          <w:p>
            <w:pPr>
              <w:ind w:left="340"/>
              <w:spacing w:after="0"/>
              <w:rPr>
                <w:sz w:val="20"/>
                <w:szCs w:val="20"/>
                <w:color w:val="auto"/>
              </w:rPr>
            </w:pPr>
            <w:r>
              <w:rPr>
                <w:rFonts w:ascii="Arial" w:cs="Arial" w:eastAsia="Arial" w:hAnsi="Arial"/>
                <w:sz w:val="15"/>
                <w:szCs w:val="15"/>
                <w:b w:val="1"/>
                <w:bCs w:val="1"/>
                <w:color w:val="FFFFFF"/>
              </w:rPr>
              <w:t>Age: 63</w:t>
            </w:r>
          </w:p>
        </w:tc>
        <w:tc>
          <w:tcPr>
            <w:tcW w:w="5020" w:type="dxa"/>
            <w:vAlign w:val="bottom"/>
            <w:shd w:val="clear" w:color="auto" w:fill="998C87"/>
          </w:tcPr>
          <w:p>
            <w:pPr>
              <w:ind w:left="740"/>
              <w:spacing w:after="0"/>
              <w:rPr>
                <w:sz w:val="20"/>
                <w:szCs w:val="20"/>
                <w:color w:val="auto"/>
              </w:rPr>
            </w:pPr>
            <w:r>
              <w:rPr>
                <w:rFonts w:ascii="Arial" w:cs="Arial" w:eastAsia="Arial" w:hAnsi="Arial"/>
                <w:sz w:val="15"/>
                <w:szCs w:val="15"/>
                <w:b w:val="1"/>
                <w:bCs w:val="1"/>
                <w:color w:val="FFFFFF"/>
              </w:rPr>
              <w:t>Director since: 2016</w:t>
            </w:r>
          </w:p>
        </w:tc>
        <w:tc>
          <w:tcPr>
            <w:tcW w:w="0" w:type="dxa"/>
            <w:vAlign w:val="bottom"/>
          </w:tcPr>
          <w:p>
            <w:pPr>
              <w:spacing w:after="0"/>
              <w:rPr>
                <w:sz w:val="1"/>
                <w:szCs w:val="1"/>
                <w:color w:val="auto"/>
              </w:rPr>
            </w:pPr>
          </w:p>
        </w:tc>
      </w:tr>
      <w:tr>
        <w:trPr>
          <w:trHeight w:val="174"/>
        </w:trPr>
        <w:tc>
          <w:tcPr>
            <w:tcW w:w="3580" w:type="dxa"/>
            <w:vAlign w:val="bottom"/>
            <w:vMerge w:val="restart"/>
            <w:shd w:val="clear" w:color="auto" w:fill="E5E5E5"/>
          </w:tcPr>
          <w:p>
            <w:pPr>
              <w:ind w:left="1660"/>
              <w:spacing w:after="0"/>
              <w:rPr>
                <w:sz w:val="20"/>
                <w:szCs w:val="20"/>
                <w:color w:val="auto"/>
              </w:rPr>
            </w:pPr>
            <w:r>
              <w:rPr>
                <w:rFonts w:ascii="Arial" w:cs="Arial" w:eastAsia="Arial" w:hAnsi="Arial"/>
                <w:sz w:val="14"/>
                <w:szCs w:val="14"/>
                <w:b w:val="1"/>
                <w:bCs w:val="1"/>
                <w:color w:val="998C87"/>
              </w:rPr>
              <w:t>Former Chairman,</w:t>
            </w:r>
          </w:p>
        </w:tc>
        <w:tc>
          <w:tcPr>
            <w:tcW w:w="7420" w:type="dxa"/>
            <w:vAlign w:val="bottom"/>
            <w:gridSpan w:val="2"/>
            <w:shd w:val="clear" w:color="auto" w:fill="E5E5E5"/>
          </w:tcPr>
          <w:p>
            <w:pPr>
              <w:ind w:left="340"/>
              <w:spacing w:after="0" w:line="174" w:lineRule="exact"/>
              <w:rPr>
                <w:sz w:val="20"/>
                <w:szCs w:val="20"/>
                <w:color w:val="auto"/>
              </w:rPr>
            </w:pPr>
            <w:r>
              <w:rPr>
                <w:rFonts w:ascii="Arial" w:cs="Arial" w:eastAsia="Arial" w:hAnsi="Arial"/>
                <w:sz w:val="17"/>
                <w:szCs w:val="17"/>
                <w:color w:val="auto"/>
              </w:rPr>
              <w:t>Mr. Lewis served as Chairman, Chief Executive Officer and President of Potbelly</w:t>
            </w:r>
          </w:p>
        </w:tc>
        <w:tc>
          <w:tcPr>
            <w:tcW w:w="0" w:type="dxa"/>
            <w:vAlign w:val="bottom"/>
          </w:tcPr>
          <w:p>
            <w:pPr>
              <w:spacing w:after="0"/>
              <w:rPr>
                <w:sz w:val="1"/>
                <w:szCs w:val="1"/>
                <w:color w:val="auto"/>
              </w:rPr>
            </w:pPr>
          </w:p>
        </w:tc>
      </w:tr>
      <w:tr>
        <w:trPr>
          <w:trHeight w:val="53"/>
        </w:trPr>
        <w:tc>
          <w:tcPr>
            <w:tcW w:w="3580" w:type="dxa"/>
            <w:vAlign w:val="bottom"/>
            <w:vMerge w:val="continue"/>
            <w:shd w:val="clear" w:color="auto" w:fill="E5E5E5"/>
          </w:tcPr>
          <w:p>
            <w:pPr>
              <w:spacing w:after="0"/>
              <w:rPr>
                <w:sz w:val="4"/>
                <w:szCs w:val="4"/>
                <w:color w:val="auto"/>
              </w:rPr>
            </w:pPr>
          </w:p>
        </w:tc>
        <w:tc>
          <w:tcPr>
            <w:tcW w:w="7420" w:type="dxa"/>
            <w:vAlign w:val="bottom"/>
            <w:gridSpan w:val="2"/>
            <w:vMerge w:val="restart"/>
            <w:shd w:val="clear" w:color="auto" w:fill="E5E5E5"/>
          </w:tcPr>
          <w:p>
            <w:pPr>
              <w:ind w:left="340"/>
              <w:spacing w:after="0"/>
              <w:rPr>
                <w:sz w:val="20"/>
                <w:szCs w:val="20"/>
                <w:color w:val="auto"/>
              </w:rPr>
            </w:pPr>
            <w:r>
              <w:rPr>
                <w:rFonts w:ascii="Arial" w:cs="Arial" w:eastAsia="Arial" w:hAnsi="Arial"/>
                <w:sz w:val="17"/>
                <w:szCs w:val="17"/>
                <w:color w:val="auto"/>
              </w:rPr>
              <w:t>Corporation, a franchisor of quick service restaurants, from June 2008 until his retirement in</w:t>
            </w:r>
          </w:p>
        </w:tc>
        <w:tc>
          <w:tcPr>
            <w:tcW w:w="0" w:type="dxa"/>
            <w:vAlign w:val="bottom"/>
          </w:tcPr>
          <w:p>
            <w:pPr>
              <w:spacing w:after="0"/>
              <w:rPr>
                <w:sz w:val="1"/>
                <w:szCs w:val="1"/>
                <w:color w:val="auto"/>
              </w:rPr>
            </w:pPr>
          </w:p>
        </w:tc>
      </w:tr>
      <w:tr>
        <w:trPr>
          <w:trHeight w:val="150"/>
        </w:trPr>
        <w:tc>
          <w:tcPr>
            <w:tcW w:w="3580" w:type="dxa"/>
            <w:vAlign w:val="bottom"/>
            <w:shd w:val="clear" w:color="auto" w:fill="E5E5E5"/>
          </w:tcPr>
          <w:p>
            <w:pPr>
              <w:ind w:left="1660"/>
              <w:spacing w:after="0" w:line="150" w:lineRule="exact"/>
              <w:rPr>
                <w:sz w:val="20"/>
                <w:szCs w:val="20"/>
                <w:color w:val="auto"/>
              </w:rPr>
            </w:pPr>
            <w:r>
              <w:rPr>
                <w:rFonts w:ascii="Arial" w:cs="Arial" w:eastAsia="Arial" w:hAnsi="Arial"/>
                <w:sz w:val="14"/>
                <w:szCs w:val="14"/>
                <w:b w:val="1"/>
                <w:bCs w:val="1"/>
                <w:color w:val="998C87"/>
              </w:rPr>
              <w:t>Chief Executive Officer</w:t>
            </w:r>
          </w:p>
        </w:tc>
        <w:tc>
          <w:tcPr>
            <w:tcW w:w="7420" w:type="dxa"/>
            <w:vAlign w:val="bottom"/>
            <w:gridSpan w:val="2"/>
            <w:vMerge w:val="continue"/>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580" w:type="dxa"/>
            <w:vAlign w:val="bottom"/>
            <w:shd w:val="clear" w:color="auto" w:fill="E5E5E5"/>
          </w:tcPr>
          <w:p>
            <w:pPr>
              <w:ind w:left="1660"/>
              <w:spacing w:after="0"/>
              <w:rPr>
                <w:sz w:val="20"/>
                <w:szCs w:val="20"/>
                <w:color w:val="auto"/>
              </w:rPr>
            </w:pPr>
            <w:r>
              <w:rPr>
                <w:rFonts w:ascii="Arial" w:cs="Arial" w:eastAsia="Arial" w:hAnsi="Arial"/>
                <w:sz w:val="14"/>
                <w:szCs w:val="14"/>
                <w:b w:val="1"/>
                <w:bCs w:val="1"/>
                <w:color w:val="998C87"/>
              </w:rPr>
              <w:t>and President, Potbelly</w:t>
            </w:r>
          </w:p>
        </w:tc>
        <w:tc>
          <w:tcPr>
            <w:tcW w:w="7420" w:type="dxa"/>
            <w:vAlign w:val="bottom"/>
            <w:gridSpan w:val="2"/>
            <w:shd w:val="clear" w:color="auto" w:fill="E5E5E5"/>
          </w:tcPr>
          <w:p>
            <w:pPr>
              <w:ind w:left="340"/>
              <w:spacing w:after="0" w:line="174" w:lineRule="exact"/>
              <w:rPr>
                <w:sz w:val="20"/>
                <w:szCs w:val="20"/>
                <w:color w:val="auto"/>
              </w:rPr>
            </w:pPr>
            <w:r>
              <w:rPr>
                <w:rFonts w:ascii="Arial" w:cs="Arial" w:eastAsia="Arial" w:hAnsi="Arial"/>
                <w:sz w:val="17"/>
                <w:szCs w:val="17"/>
                <w:color w:val="auto"/>
              </w:rPr>
              <w:t>November 2017. From September 2005 to February 2008, Mr. Lewis was President and</w:t>
            </w:r>
          </w:p>
        </w:tc>
        <w:tc>
          <w:tcPr>
            <w:tcW w:w="0" w:type="dxa"/>
            <w:vAlign w:val="bottom"/>
          </w:tcPr>
          <w:p>
            <w:pPr>
              <w:spacing w:after="0"/>
              <w:rPr>
                <w:sz w:val="1"/>
                <w:szCs w:val="1"/>
                <w:color w:val="auto"/>
              </w:rPr>
            </w:pPr>
          </w:p>
        </w:tc>
      </w:tr>
      <w:tr>
        <w:trPr>
          <w:trHeight w:val="189"/>
        </w:trPr>
        <w:tc>
          <w:tcPr>
            <w:tcW w:w="3580" w:type="dxa"/>
            <w:vAlign w:val="bottom"/>
            <w:shd w:val="clear" w:color="auto" w:fill="E5E5E5"/>
          </w:tcPr>
          <w:p>
            <w:pPr>
              <w:ind w:left="1660"/>
              <w:spacing w:after="0"/>
              <w:rPr>
                <w:sz w:val="20"/>
                <w:szCs w:val="20"/>
                <w:color w:val="auto"/>
              </w:rPr>
            </w:pPr>
            <w:r>
              <w:rPr>
                <w:rFonts w:ascii="Arial" w:cs="Arial" w:eastAsia="Arial" w:hAnsi="Arial"/>
                <w:sz w:val="14"/>
                <w:szCs w:val="14"/>
                <w:b w:val="1"/>
                <w:bCs w:val="1"/>
                <w:color w:val="998C87"/>
              </w:rPr>
              <w:t>Corporation</w:t>
            </w:r>
          </w:p>
        </w:tc>
        <w:tc>
          <w:tcPr>
            <w:tcW w:w="7420" w:type="dxa"/>
            <w:vAlign w:val="bottom"/>
            <w:gridSpan w:val="2"/>
            <w:shd w:val="clear" w:color="auto" w:fill="E5E5E5"/>
          </w:tcPr>
          <w:p>
            <w:pPr>
              <w:ind w:left="340"/>
              <w:spacing w:after="0" w:line="189" w:lineRule="exact"/>
              <w:rPr>
                <w:sz w:val="20"/>
                <w:szCs w:val="20"/>
                <w:color w:val="auto"/>
              </w:rPr>
            </w:pPr>
            <w:r>
              <w:rPr>
                <w:rFonts w:ascii="Arial" w:cs="Arial" w:eastAsia="Arial" w:hAnsi="Arial"/>
                <w:sz w:val="17"/>
                <w:szCs w:val="17"/>
                <w:color w:val="auto"/>
              </w:rPr>
              <w:t>Chief Executive Officer of Sears Holdings Corporation, a nationwide retailer. Prior to being</w:t>
            </w:r>
          </w:p>
        </w:tc>
        <w:tc>
          <w:tcPr>
            <w:tcW w:w="0" w:type="dxa"/>
            <w:vAlign w:val="bottom"/>
          </w:tcPr>
          <w:p>
            <w:pPr>
              <w:spacing w:after="0"/>
              <w:rPr>
                <w:sz w:val="1"/>
                <w:szCs w:val="1"/>
                <w:color w:val="auto"/>
              </w:rPr>
            </w:pPr>
          </w:p>
        </w:tc>
      </w:tr>
      <w:tr>
        <w:trPr>
          <w:trHeight w:val="189"/>
        </w:trPr>
        <w:tc>
          <w:tcPr>
            <w:tcW w:w="3580" w:type="dxa"/>
            <w:vAlign w:val="bottom"/>
            <w:shd w:val="clear" w:color="auto" w:fill="E5E5E5"/>
          </w:tcPr>
          <w:p>
            <w:pPr>
              <w:spacing w:after="0"/>
              <w:rPr>
                <w:sz w:val="16"/>
                <w:szCs w:val="16"/>
                <w:color w:val="auto"/>
              </w:rPr>
            </w:pPr>
          </w:p>
        </w:tc>
        <w:tc>
          <w:tcPr>
            <w:tcW w:w="7420" w:type="dxa"/>
            <w:vAlign w:val="bottom"/>
            <w:gridSpan w:val="2"/>
            <w:shd w:val="clear" w:color="auto" w:fill="E5E5E5"/>
          </w:tcPr>
          <w:p>
            <w:pPr>
              <w:ind w:left="340"/>
              <w:spacing w:after="0" w:line="189" w:lineRule="exact"/>
              <w:rPr>
                <w:sz w:val="20"/>
                <w:szCs w:val="20"/>
                <w:color w:val="auto"/>
              </w:rPr>
            </w:pPr>
            <w:r>
              <w:rPr>
                <w:rFonts w:ascii="Arial" w:cs="Arial" w:eastAsia="Arial" w:hAnsi="Arial"/>
                <w:sz w:val="17"/>
                <w:szCs w:val="17"/>
                <w:color w:val="auto"/>
              </w:rPr>
              <w:t>named Chief Executive Officer of Sears, Mr. Lewis was President of Sears Holdings and</w:t>
            </w:r>
          </w:p>
        </w:tc>
        <w:tc>
          <w:tcPr>
            <w:tcW w:w="0" w:type="dxa"/>
            <w:vAlign w:val="bottom"/>
          </w:tcPr>
          <w:p>
            <w:pPr>
              <w:spacing w:after="0"/>
              <w:rPr>
                <w:sz w:val="1"/>
                <w:szCs w:val="1"/>
                <w:color w:val="auto"/>
              </w:rPr>
            </w:pPr>
          </w:p>
        </w:tc>
      </w:tr>
      <w:tr>
        <w:trPr>
          <w:trHeight w:val="189"/>
        </w:trPr>
        <w:tc>
          <w:tcPr>
            <w:tcW w:w="3580" w:type="dxa"/>
            <w:vAlign w:val="bottom"/>
            <w:shd w:val="clear" w:color="auto" w:fill="E5E5E5"/>
          </w:tcPr>
          <w:p>
            <w:pPr>
              <w:spacing w:after="0"/>
              <w:rPr>
                <w:sz w:val="16"/>
                <w:szCs w:val="16"/>
                <w:color w:val="auto"/>
              </w:rPr>
            </w:pPr>
          </w:p>
        </w:tc>
        <w:tc>
          <w:tcPr>
            <w:tcW w:w="7420" w:type="dxa"/>
            <w:vAlign w:val="bottom"/>
            <w:gridSpan w:val="2"/>
            <w:shd w:val="clear" w:color="auto" w:fill="E5E5E5"/>
          </w:tcPr>
          <w:p>
            <w:pPr>
              <w:ind w:left="340"/>
              <w:spacing w:after="0" w:line="189" w:lineRule="exact"/>
              <w:rPr>
                <w:sz w:val="20"/>
                <w:szCs w:val="20"/>
                <w:color w:val="auto"/>
              </w:rPr>
            </w:pPr>
            <w:r>
              <w:rPr>
                <w:rFonts w:ascii="Arial" w:cs="Arial" w:eastAsia="Arial" w:hAnsi="Arial"/>
                <w:sz w:val="17"/>
                <w:szCs w:val="17"/>
                <w:color w:val="auto"/>
              </w:rPr>
              <w:t>Chief Executive Officer of KMart and Sears Retail following Sears’ acquisition of Kmart</w:t>
            </w:r>
          </w:p>
        </w:tc>
        <w:tc>
          <w:tcPr>
            <w:tcW w:w="0" w:type="dxa"/>
            <w:vAlign w:val="bottom"/>
          </w:tcPr>
          <w:p>
            <w:pPr>
              <w:spacing w:after="0"/>
              <w:rPr>
                <w:sz w:val="1"/>
                <w:szCs w:val="1"/>
                <w:color w:val="auto"/>
              </w:rPr>
            </w:pPr>
          </w:p>
        </w:tc>
      </w:tr>
      <w:tr>
        <w:trPr>
          <w:trHeight w:val="189"/>
        </w:trPr>
        <w:tc>
          <w:tcPr>
            <w:tcW w:w="3580" w:type="dxa"/>
            <w:vAlign w:val="bottom"/>
            <w:shd w:val="clear" w:color="auto" w:fill="E5E5E5"/>
          </w:tcPr>
          <w:p>
            <w:pPr>
              <w:spacing w:after="0"/>
              <w:rPr>
                <w:sz w:val="16"/>
                <w:szCs w:val="16"/>
                <w:color w:val="auto"/>
              </w:rPr>
            </w:pPr>
          </w:p>
        </w:tc>
        <w:tc>
          <w:tcPr>
            <w:tcW w:w="7420" w:type="dxa"/>
            <w:vAlign w:val="bottom"/>
            <w:gridSpan w:val="2"/>
            <w:shd w:val="clear" w:color="auto" w:fill="E5E5E5"/>
          </w:tcPr>
          <w:p>
            <w:pPr>
              <w:ind w:left="340"/>
              <w:spacing w:after="0" w:line="189" w:lineRule="exact"/>
              <w:rPr>
                <w:sz w:val="20"/>
                <w:szCs w:val="20"/>
                <w:color w:val="auto"/>
              </w:rPr>
            </w:pPr>
            <w:r>
              <w:rPr>
                <w:rFonts w:ascii="Arial" w:cs="Arial" w:eastAsia="Arial" w:hAnsi="Arial"/>
                <w:sz w:val="17"/>
                <w:szCs w:val="17"/>
                <w:color w:val="auto"/>
              </w:rPr>
              <w:t>Holding Corporation in March 2005. Prior to that, Mr. Lewis was President and Chief</w:t>
            </w:r>
          </w:p>
        </w:tc>
        <w:tc>
          <w:tcPr>
            <w:tcW w:w="0" w:type="dxa"/>
            <w:vAlign w:val="bottom"/>
          </w:tcPr>
          <w:p>
            <w:pPr>
              <w:spacing w:after="0"/>
              <w:rPr>
                <w:sz w:val="1"/>
                <w:szCs w:val="1"/>
                <w:color w:val="auto"/>
              </w:rPr>
            </w:pPr>
          </w:p>
        </w:tc>
      </w:tr>
      <w:tr>
        <w:trPr>
          <w:trHeight w:val="189"/>
        </w:trPr>
        <w:tc>
          <w:tcPr>
            <w:tcW w:w="3580" w:type="dxa"/>
            <w:vAlign w:val="bottom"/>
            <w:shd w:val="clear" w:color="auto" w:fill="E5E5E5"/>
          </w:tcPr>
          <w:p>
            <w:pPr>
              <w:spacing w:after="0"/>
              <w:rPr>
                <w:sz w:val="16"/>
                <w:szCs w:val="16"/>
                <w:color w:val="auto"/>
              </w:rPr>
            </w:pPr>
          </w:p>
        </w:tc>
        <w:tc>
          <w:tcPr>
            <w:tcW w:w="7420" w:type="dxa"/>
            <w:vAlign w:val="bottom"/>
            <w:gridSpan w:val="2"/>
            <w:shd w:val="clear" w:color="auto" w:fill="E5E5E5"/>
          </w:tcPr>
          <w:p>
            <w:pPr>
              <w:ind w:left="340"/>
              <w:spacing w:after="0" w:line="189" w:lineRule="exact"/>
              <w:rPr>
                <w:sz w:val="20"/>
                <w:szCs w:val="20"/>
                <w:color w:val="auto"/>
              </w:rPr>
            </w:pPr>
            <w:r>
              <w:rPr>
                <w:rFonts w:ascii="Arial" w:cs="Arial" w:eastAsia="Arial" w:hAnsi="Arial"/>
                <w:sz w:val="17"/>
                <w:szCs w:val="17"/>
                <w:color w:val="auto"/>
              </w:rPr>
              <w:t>Executive Officer of KMart since October 2004. Mr. Lewis was Chief Multi-Branding and</w:t>
            </w:r>
          </w:p>
        </w:tc>
        <w:tc>
          <w:tcPr>
            <w:tcW w:w="0" w:type="dxa"/>
            <w:vAlign w:val="bottom"/>
          </w:tcPr>
          <w:p>
            <w:pPr>
              <w:spacing w:after="0"/>
              <w:rPr>
                <w:sz w:val="1"/>
                <w:szCs w:val="1"/>
                <w:color w:val="auto"/>
              </w:rPr>
            </w:pPr>
          </w:p>
        </w:tc>
      </w:tr>
      <w:tr>
        <w:trPr>
          <w:trHeight w:val="189"/>
        </w:trPr>
        <w:tc>
          <w:tcPr>
            <w:tcW w:w="3580" w:type="dxa"/>
            <w:vAlign w:val="bottom"/>
            <w:shd w:val="clear" w:color="auto" w:fill="E5E5E5"/>
          </w:tcPr>
          <w:p>
            <w:pPr>
              <w:spacing w:after="0"/>
              <w:rPr>
                <w:sz w:val="16"/>
                <w:szCs w:val="16"/>
                <w:color w:val="auto"/>
              </w:rPr>
            </w:pPr>
          </w:p>
        </w:tc>
        <w:tc>
          <w:tcPr>
            <w:tcW w:w="7420" w:type="dxa"/>
            <w:vAlign w:val="bottom"/>
            <w:gridSpan w:val="2"/>
            <w:shd w:val="clear" w:color="auto" w:fill="E5E5E5"/>
          </w:tcPr>
          <w:p>
            <w:pPr>
              <w:ind w:left="340"/>
              <w:spacing w:after="0" w:line="189" w:lineRule="exact"/>
              <w:rPr>
                <w:sz w:val="20"/>
                <w:szCs w:val="20"/>
                <w:color w:val="auto"/>
              </w:rPr>
            </w:pPr>
            <w:r>
              <w:rPr>
                <w:rFonts w:ascii="Arial" w:cs="Arial" w:eastAsia="Arial" w:hAnsi="Arial"/>
                <w:sz w:val="17"/>
                <w:szCs w:val="17"/>
                <w:color w:val="auto"/>
              </w:rPr>
              <w:t>Operating Officer of YUM! Brands, Inc., a franchisor and licensor of quick service</w:t>
            </w:r>
          </w:p>
        </w:tc>
        <w:tc>
          <w:tcPr>
            <w:tcW w:w="0" w:type="dxa"/>
            <w:vAlign w:val="bottom"/>
          </w:tcPr>
          <w:p>
            <w:pPr>
              <w:spacing w:after="0"/>
              <w:rPr>
                <w:sz w:val="1"/>
                <w:szCs w:val="1"/>
                <w:color w:val="auto"/>
              </w:rPr>
            </w:pPr>
          </w:p>
        </w:tc>
      </w:tr>
      <w:tr>
        <w:trPr>
          <w:trHeight w:val="189"/>
        </w:trPr>
        <w:tc>
          <w:tcPr>
            <w:tcW w:w="3580" w:type="dxa"/>
            <w:vAlign w:val="bottom"/>
            <w:shd w:val="clear" w:color="auto" w:fill="E5E5E5"/>
          </w:tcPr>
          <w:p>
            <w:pPr>
              <w:spacing w:after="0"/>
              <w:rPr>
                <w:sz w:val="16"/>
                <w:szCs w:val="16"/>
                <w:color w:val="auto"/>
              </w:rPr>
            </w:pPr>
          </w:p>
        </w:tc>
        <w:tc>
          <w:tcPr>
            <w:tcW w:w="7420" w:type="dxa"/>
            <w:vAlign w:val="bottom"/>
            <w:gridSpan w:val="2"/>
            <w:shd w:val="clear" w:color="auto" w:fill="E5E5E5"/>
          </w:tcPr>
          <w:p>
            <w:pPr>
              <w:ind w:left="340"/>
              <w:spacing w:after="0" w:line="189" w:lineRule="exact"/>
              <w:rPr>
                <w:sz w:val="20"/>
                <w:szCs w:val="20"/>
                <w:color w:val="auto"/>
              </w:rPr>
            </w:pPr>
            <w:r>
              <w:rPr>
                <w:rFonts w:ascii="Arial" w:cs="Arial" w:eastAsia="Arial" w:hAnsi="Arial"/>
                <w:sz w:val="17"/>
                <w:szCs w:val="17"/>
                <w:color w:val="auto"/>
              </w:rPr>
              <w:t>restaurants including KFC, Long John Silvers, Pizza Hut, Taco Bell and A&amp;W, from 2003</w:t>
            </w:r>
          </w:p>
        </w:tc>
        <w:tc>
          <w:tcPr>
            <w:tcW w:w="0" w:type="dxa"/>
            <w:vAlign w:val="bottom"/>
          </w:tcPr>
          <w:p>
            <w:pPr>
              <w:spacing w:after="0"/>
              <w:rPr>
                <w:sz w:val="1"/>
                <w:szCs w:val="1"/>
                <w:color w:val="auto"/>
              </w:rPr>
            </w:pPr>
          </w:p>
        </w:tc>
      </w:tr>
      <w:tr>
        <w:trPr>
          <w:trHeight w:val="189"/>
        </w:trPr>
        <w:tc>
          <w:tcPr>
            <w:tcW w:w="3580" w:type="dxa"/>
            <w:vAlign w:val="bottom"/>
            <w:shd w:val="clear" w:color="auto" w:fill="E5E5E5"/>
          </w:tcPr>
          <w:p>
            <w:pPr>
              <w:spacing w:after="0"/>
              <w:rPr>
                <w:sz w:val="16"/>
                <w:szCs w:val="16"/>
                <w:color w:val="auto"/>
              </w:rPr>
            </w:pPr>
          </w:p>
        </w:tc>
        <w:tc>
          <w:tcPr>
            <w:tcW w:w="7420" w:type="dxa"/>
            <w:vAlign w:val="bottom"/>
            <w:gridSpan w:val="2"/>
            <w:shd w:val="clear" w:color="auto" w:fill="E5E5E5"/>
          </w:tcPr>
          <w:p>
            <w:pPr>
              <w:ind w:left="340"/>
              <w:spacing w:after="0" w:line="189" w:lineRule="exact"/>
              <w:rPr>
                <w:sz w:val="20"/>
                <w:szCs w:val="20"/>
                <w:color w:val="auto"/>
              </w:rPr>
            </w:pPr>
            <w:r>
              <w:rPr>
                <w:rFonts w:ascii="Arial" w:cs="Arial" w:eastAsia="Arial" w:hAnsi="Arial"/>
                <w:sz w:val="17"/>
                <w:szCs w:val="17"/>
                <w:color w:val="auto"/>
              </w:rPr>
              <w:t>until October 2004, Chief Operating Officer of YUM! Brands from 2000 until 2003 and Chief</w:t>
            </w:r>
          </w:p>
        </w:tc>
        <w:tc>
          <w:tcPr>
            <w:tcW w:w="0" w:type="dxa"/>
            <w:vAlign w:val="bottom"/>
          </w:tcPr>
          <w:p>
            <w:pPr>
              <w:spacing w:after="0"/>
              <w:rPr>
                <w:sz w:val="1"/>
                <w:szCs w:val="1"/>
                <w:color w:val="auto"/>
              </w:rPr>
            </w:pPr>
          </w:p>
        </w:tc>
      </w:tr>
      <w:tr>
        <w:trPr>
          <w:trHeight w:val="189"/>
        </w:trPr>
        <w:tc>
          <w:tcPr>
            <w:tcW w:w="3580" w:type="dxa"/>
            <w:vAlign w:val="bottom"/>
            <w:shd w:val="clear" w:color="auto" w:fill="E5E5E5"/>
          </w:tcPr>
          <w:p>
            <w:pPr>
              <w:spacing w:after="0"/>
              <w:rPr>
                <w:sz w:val="16"/>
                <w:szCs w:val="16"/>
                <w:color w:val="auto"/>
              </w:rPr>
            </w:pPr>
          </w:p>
        </w:tc>
        <w:tc>
          <w:tcPr>
            <w:tcW w:w="7420" w:type="dxa"/>
            <w:vAlign w:val="bottom"/>
            <w:gridSpan w:val="2"/>
            <w:shd w:val="clear" w:color="auto" w:fill="E5E5E5"/>
          </w:tcPr>
          <w:p>
            <w:pPr>
              <w:ind w:left="340"/>
              <w:spacing w:after="0" w:line="189" w:lineRule="exact"/>
              <w:rPr>
                <w:sz w:val="20"/>
                <w:szCs w:val="20"/>
                <w:color w:val="auto"/>
              </w:rPr>
            </w:pPr>
            <w:r>
              <w:rPr>
                <w:rFonts w:ascii="Arial" w:cs="Arial" w:eastAsia="Arial" w:hAnsi="Arial"/>
                <w:sz w:val="17"/>
                <w:szCs w:val="17"/>
                <w:color w:val="auto"/>
              </w:rPr>
              <w:t>Operating Officer of Pizza Hut from 1996 to 1997. He also serves on the board of directors</w:t>
            </w:r>
          </w:p>
        </w:tc>
        <w:tc>
          <w:tcPr>
            <w:tcW w:w="0" w:type="dxa"/>
            <w:vAlign w:val="bottom"/>
          </w:tcPr>
          <w:p>
            <w:pPr>
              <w:spacing w:after="0"/>
              <w:rPr>
                <w:sz w:val="1"/>
                <w:szCs w:val="1"/>
                <w:color w:val="auto"/>
              </w:rPr>
            </w:pPr>
          </w:p>
        </w:tc>
      </w:tr>
      <w:tr>
        <w:trPr>
          <w:trHeight w:val="189"/>
        </w:trPr>
        <w:tc>
          <w:tcPr>
            <w:tcW w:w="3580" w:type="dxa"/>
            <w:vAlign w:val="bottom"/>
            <w:shd w:val="clear" w:color="auto" w:fill="E5E5E5"/>
          </w:tcPr>
          <w:p>
            <w:pPr>
              <w:spacing w:after="0"/>
              <w:rPr>
                <w:sz w:val="16"/>
                <w:szCs w:val="16"/>
                <w:color w:val="auto"/>
              </w:rPr>
            </w:pPr>
          </w:p>
        </w:tc>
        <w:tc>
          <w:tcPr>
            <w:tcW w:w="7420" w:type="dxa"/>
            <w:vAlign w:val="bottom"/>
            <w:gridSpan w:val="2"/>
            <w:shd w:val="clear" w:color="auto" w:fill="E5E5E5"/>
          </w:tcPr>
          <w:p>
            <w:pPr>
              <w:ind w:left="340"/>
              <w:spacing w:after="0" w:line="189" w:lineRule="exact"/>
              <w:rPr>
                <w:sz w:val="20"/>
                <w:szCs w:val="20"/>
                <w:color w:val="auto"/>
              </w:rPr>
            </w:pPr>
            <w:r>
              <w:rPr>
                <w:rFonts w:ascii="Arial" w:cs="Arial" w:eastAsia="Arial" w:hAnsi="Arial"/>
                <w:sz w:val="17"/>
                <w:szCs w:val="17"/>
                <w:color w:val="auto"/>
              </w:rPr>
              <w:t>of The Walt Disney Company. Mr. Lewis has been a director of the Company since</w:t>
            </w:r>
          </w:p>
        </w:tc>
        <w:tc>
          <w:tcPr>
            <w:tcW w:w="0" w:type="dxa"/>
            <w:vAlign w:val="bottom"/>
          </w:tcPr>
          <w:p>
            <w:pPr>
              <w:spacing w:after="0"/>
              <w:rPr>
                <w:sz w:val="1"/>
                <w:szCs w:val="1"/>
                <w:color w:val="auto"/>
              </w:rPr>
            </w:pPr>
          </w:p>
        </w:tc>
      </w:tr>
      <w:tr>
        <w:trPr>
          <w:trHeight w:val="189"/>
        </w:trPr>
        <w:tc>
          <w:tcPr>
            <w:tcW w:w="3580" w:type="dxa"/>
            <w:vAlign w:val="bottom"/>
            <w:shd w:val="clear" w:color="auto" w:fill="E5E5E5"/>
          </w:tcPr>
          <w:p>
            <w:pPr>
              <w:spacing w:after="0"/>
              <w:rPr>
                <w:sz w:val="16"/>
                <w:szCs w:val="16"/>
                <w:color w:val="auto"/>
              </w:rPr>
            </w:pPr>
          </w:p>
        </w:tc>
        <w:tc>
          <w:tcPr>
            <w:tcW w:w="7420" w:type="dxa"/>
            <w:vAlign w:val="bottom"/>
            <w:gridSpan w:val="2"/>
            <w:shd w:val="clear" w:color="auto" w:fill="E5E5E5"/>
          </w:tcPr>
          <w:p>
            <w:pPr>
              <w:ind w:left="340"/>
              <w:spacing w:after="0" w:line="189" w:lineRule="exact"/>
              <w:rPr>
                <w:sz w:val="20"/>
                <w:szCs w:val="20"/>
                <w:color w:val="auto"/>
              </w:rPr>
            </w:pPr>
            <w:r>
              <w:rPr>
                <w:rFonts w:ascii="Arial" w:cs="Arial" w:eastAsia="Arial" w:hAnsi="Arial"/>
                <w:sz w:val="17"/>
                <w:szCs w:val="17"/>
                <w:color w:val="auto"/>
              </w:rPr>
              <w:t>September 2016 and previously served on the Starwood board of directors from 2013 to</w:t>
            </w:r>
          </w:p>
        </w:tc>
        <w:tc>
          <w:tcPr>
            <w:tcW w:w="0" w:type="dxa"/>
            <w:vAlign w:val="bottom"/>
          </w:tcPr>
          <w:p>
            <w:pPr>
              <w:spacing w:after="0"/>
              <w:rPr>
                <w:sz w:val="1"/>
                <w:szCs w:val="1"/>
                <w:color w:val="auto"/>
              </w:rPr>
            </w:pPr>
          </w:p>
        </w:tc>
      </w:tr>
      <w:tr>
        <w:trPr>
          <w:trHeight w:val="231"/>
        </w:trPr>
        <w:tc>
          <w:tcPr>
            <w:tcW w:w="3580" w:type="dxa"/>
            <w:vAlign w:val="bottom"/>
            <w:shd w:val="clear" w:color="auto" w:fill="E5E5E5"/>
          </w:tcPr>
          <w:p>
            <w:pPr>
              <w:spacing w:after="0"/>
              <w:rPr>
                <w:sz w:val="20"/>
                <w:szCs w:val="20"/>
                <w:color w:val="auto"/>
              </w:rPr>
            </w:pPr>
          </w:p>
        </w:tc>
        <w:tc>
          <w:tcPr>
            <w:tcW w:w="2400" w:type="dxa"/>
            <w:vAlign w:val="bottom"/>
            <w:shd w:val="clear" w:color="auto" w:fill="E5E5E5"/>
          </w:tcPr>
          <w:p>
            <w:pPr>
              <w:ind w:left="340"/>
              <w:spacing w:after="0"/>
              <w:rPr>
                <w:sz w:val="20"/>
                <w:szCs w:val="20"/>
                <w:color w:val="auto"/>
              </w:rPr>
            </w:pPr>
            <w:r>
              <w:rPr>
                <w:rFonts w:ascii="Arial" w:cs="Arial" w:eastAsia="Arial" w:hAnsi="Arial"/>
                <w:sz w:val="17"/>
                <w:szCs w:val="17"/>
                <w:color w:val="auto"/>
              </w:rPr>
              <w:t>September 2016.</w:t>
            </w:r>
          </w:p>
        </w:tc>
        <w:tc>
          <w:tcPr>
            <w:tcW w:w="502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580" w:type="dxa"/>
            <w:vAlign w:val="bottom"/>
            <w:shd w:val="clear" w:color="auto" w:fill="E5E5E5"/>
          </w:tcPr>
          <w:p>
            <w:pPr>
              <w:spacing w:after="0"/>
              <w:rPr>
                <w:sz w:val="3"/>
                <w:szCs w:val="3"/>
                <w:color w:val="auto"/>
              </w:rPr>
            </w:pPr>
          </w:p>
        </w:tc>
        <w:tc>
          <w:tcPr>
            <w:tcW w:w="2400" w:type="dxa"/>
            <w:vAlign w:val="bottom"/>
            <w:shd w:val="clear" w:color="auto" w:fill="E5E5E5"/>
          </w:tcPr>
          <w:p>
            <w:pPr>
              <w:spacing w:after="0"/>
              <w:rPr>
                <w:sz w:val="3"/>
                <w:szCs w:val="3"/>
                <w:color w:val="auto"/>
              </w:rPr>
            </w:pPr>
          </w:p>
        </w:tc>
        <w:tc>
          <w:tcPr>
            <w:tcW w:w="5020" w:type="dxa"/>
            <w:vAlign w:val="bottom"/>
            <w:shd w:val="clear" w:color="auto" w:fill="E5E5E5"/>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-1849755</wp:posOffset>
            </wp:positionV>
            <wp:extent cx="6989445" cy="11906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89445" cy="1190625"/>
                    </a:xfrm>
                    <a:prstGeom prst="rect">
                      <a:avLst/>
                    </a:prstGeom>
                    <a:noFill/>
                  </pic:spPr>
                </pic:pic>
              </a:graphicData>
            </a:graphic>
          </wp:anchor>
        </w:drawing>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998C87"/>
        </w:rPr>
        <w:t>Professional Highlights:</w:t>
      </w:r>
    </w:p>
    <w:p>
      <w:pPr>
        <w:spacing w:after="0" w:line="49" w:lineRule="exact"/>
        <w:rPr>
          <w:sz w:val="20"/>
          <w:szCs w:val="20"/>
          <w:color w:val="auto"/>
        </w:rPr>
      </w:pPr>
    </w:p>
    <w:p>
      <w:pPr>
        <w:ind w:left="220" w:right="120"/>
        <w:spacing w:after="0" w:line="274" w:lineRule="auto"/>
        <w:rPr>
          <w:sz w:val="20"/>
          <w:szCs w:val="20"/>
          <w:color w:val="auto"/>
        </w:rPr>
      </w:pPr>
      <w:r>
        <w:rPr>
          <w:rFonts w:ascii="Arial" w:cs="Arial" w:eastAsia="Arial" w:hAnsi="Arial"/>
          <w:sz w:val="17"/>
          <w:szCs w:val="17"/>
          <w:color w:val="auto"/>
        </w:rPr>
        <w:t>As a result of his numerous senior management positions at Yum! Brands, Kmart, Sears and Potbelly Corporation, Mr. Lewis brings to the Board and our Audit Committee significant expertise in corporate branding, franchising and management of complex global businesses.</w:t>
      </w: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256"/>
        </w:trPr>
        <w:tc>
          <w:tcPr>
            <w:tcW w:w="3480" w:type="dxa"/>
            <w:vAlign w:val="bottom"/>
            <w:shd w:val="clear" w:color="auto" w:fill="998C87"/>
          </w:tcPr>
          <w:p>
            <w:pPr>
              <w:ind w:left="100"/>
              <w:spacing w:after="0"/>
              <w:rPr>
                <w:sz w:val="20"/>
                <w:szCs w:val="20"/>
                <w:color w:val="auto"/>
              </w:rPr>
            </w:pPr>
            <w:r>
              <w:rPr>
                <w:rFonts w:ascii="Arial" w:cs="Arial" w:eastAsia="Arial" w:hAnsi="Arial"/>
                <w:sz w:val="18"/>
                <w:szCs w:val="18"/>
                <w:b w:val="1"/>
                <w:bCs w:val="1"/>
                <w:color w:val="FFFFFF"/>
              </w:rPr>
              <w:t>George Muñoz</w:t>
            </w:r>
          </w:p>
        </w:tc>
        <w:tc>
          <w:tcPr>
            <w:tcW w:w="2120" w:type="dxa"/>
            <w:vAlign w:val="bottom"/>
            <w:shd w:val="clear" w:color="auto" w:fill="998C87"/>
          </w:tcPr>
          <w:p>
            <w:pPr>
              <w:ind w:left="440"/>
              <w:spacing w:after="0"/>
              <w:rPr>
                <w:sz w:val="20"/>
                <w:szCs w:val="20"/>
                <w:color w:val="auto"/>
              </w:rPr>
            </w:pPr>
            <w:r>
              <w:rPr>
                <w:rFonts w:ascii="Arial" w:cs="Arial" w:eastAsia="Arial" w:hAnsi="Arial"/>
                <w:sz w:val="15"/>
                <w:szCs w:val="15"/>
                <w:b w:val="1"/>
                <w:bCs w:val="1"/>
                <w:color w:val="FFFFFF"/>
              </w:rPr>
              <w:t>Age: 66</w:t>
            </w:r>
          </w:p>
        </w:tc>
        <w:tc>
          <w:tcPr>
            <w:tcW w:w="5400" w:type="dxa"/>
            <w:vAlign w:val="bottom"/>
            <w:shd w:val="clear" w:color="auto" w:fill="998C87"/>
          </w:tcPr>
          <w:p>
            <w:pPr>
              <w:ind w:left="1120"/>
              <w:spacing w:after="0"/>
              <w:rPr>
                <w:sz w:val="20"/>
                <w:szCs w:val="20"/>
                <w:color w:val="auto"/>
              </w:rPr>
            </w:pPr>
            <w:r>
              <w:rPr>
                <w:rFonts w:ascii="Arial" w:cs="Arial" w:eastAsia="Arial" w:hAnsi="Arial"/>
                <w:sz w:val="15"/>
                <w:szCs w:val="15"/>
                <w:b w:val="1"/>
                <w:bCs w:val="1"/>
                <w:color w:val="FFFFFF"/>
              </w:rPr>
              <w:t>Director since: 2002</w:t>
            </w:r>
          </w:p>
        </w:tc>
        <w:tc>
          <w:tcPr>
            <w:tcW w:w="0" w:type="dxa"/>
            <w:vAlign w:val="bottom"/>
          </w:tcPr>
          <w:p>
            <w:pPr>
              <w:spacing w:after="0"/>
              <w:rPr>
                <w:sz w:val="1"/>
                <w:szCs w:val="1"/>
                <w:color w:val="auto"/>
              </w:rPr>
            </w:pPr>
          </w:p>
        </w:tc>
      </w:tr>
      <w:tr>
        <w:trPr>
          <w:trHeight w:val="174"/>
        </w:trPr>
        <w:tc>
          <w:tcPr>
            <w:tcW w:w="3480" w:type="dxa"/>
            <w:vAlign w:val="bottom"/>
            <w:vMerge w:val="restart"/>
          </w:tcPr>
          <w:p>
            <w:pPr>
              <w:ind w:left="1660"/>
              <w:spacing w:after="0"/>
              <w:rPr>
                <w:sz w:val="20"/>
                <w:szCs w:val="20"/>
                <w:color w:val="auto"/>
              </w:rPr>
            </w:pPr>
            <w:r>
              <w:rPr>
                <w:rFonts w:ascii="Arial" w:cs="Arial" w:eastAsia="Arial" w:hAnsi="Arial"/>
                <w:sz w:val="14"/>
                <w:szCs w:val="14"/>
                <w:b w:val="1"/>
                <w:bCs w:val="1"/>
                <w:color w:val="998C87"/>
              </w:rPr>
              <w:t>Principal, Muñoz</w:t>
            </w:r>
          </w:p>
        </w:tc>
        <w:tc>
          <w:tcPr>
            <w:tcW w:w="7520" w:type="dxa"/>
            <w:vAlign w:val="bottom"/>
            <w:gridSpan w:val="2"/>
          </w:tcPr>
          <w:p>
            <w:pPr>
              <w:ind w:left="440"/>
              <w:spacing w:after="0" w:line="174" w:lineRule="exact"/>
              <w:rPr>
                <w:sz w:val="20"/>
                <w:szCs w:val="20"/>
                <w:color w:val="auto"/>
              </w:rPr>
            </w:pPr>
            <w:r>
              <w:rPr>
                <w:rFonts w:ascii="Arial" w:cs="Arial" w:eastAsia="Arial" w:hAnsi="Arial"/>
                <w:sz w:val="17"/>
                <w:szCs w:val="17"/>
                <w:color w:val="auto"/>
              </w:rPr>
              <w:t>Mr. Muñoz has been a principal in the Washington, D.C.-based investment banking firm</w:t>
            </w:r>
          </w:p>
        </w:tc>
        <w:tc>
          <w:tcPr>
            <w:tcW w:w="0" w:type="dxa"/>
            <w:vAlign w:val="bottom"/>
          </w:tcPr>
          <w:p>
            <w:pPr>
              <w:spacing w:after="0"/>
              <w:rPr>
                <w:sz w:val="1"/>
                <w:szCs w:val="1"/>
                <w:color w:val="auto"/>
              </w:rPr>
            </w:pPr>
          </w:p>
        </w:tc>
      </w:tr>
      <w:tr>
        <w:trPr>
          <w:trHeight w:val="53"/>
        </w:trPr>
        <w:tc>
          <w:tcPr>
            <w:tcW w:w="3480" w:type="dxa"/>
            <w:vAlign w:val="bottom"/>
            <w:vMerge w:val="continue"/>
          </w:tcPr>
          <w:p>
            <w:pPr>
              <w:spacing w:after="0"/>
              <w:rPr>
                <w:sz w:val="4"/>
                <w:szCs w:val="4"/>
                <w:color w:val="auto"/>
              </w:rPr>
            </w:pPr>
          </w:p>
        </w:tc>
        <w:tc>
          <w:tcPr>
            <w:tcW w:w="7520" w:type="dxa"/>
            <w:vAlign w:val="bottom"/>
            <w:gridSpan w:val="2"/>
            <w:vMerge w:val="restart"/>
          </w:tcPr>
          <w:p>
            <w:pPr>
              <w:ind w:left="440"/>
              <w:spacing w:after="0"/>
              <w:rPr>
                <w:sz w:val="20"/>
                <w:szCs w:val="20"/>
                <w:color w:val="auto"/>
              </w:rPr>
            </w:pPr>
            <w:r>
              <w:rPr>
                <w:rFonts w:ascii="Arial" w:cs="Arial" w:eastAsia="Arial" w:hAnsi="Arial"/>
                <w:sz w:val="17"/>
                <w:szCs w:val="17"/>
                <w:color w:val="auto"/>
              </w:rPr>
              <w:t>Muñoz Investment Banking Group, LLC since 2001. He has also been a partner in the</w:t>
            </w:r>
          </w:p>
        </w:tc>
        <w:tc>
          <w:tcPr>
            <w:tcW w:w="0" w:type="dxa"/>
            <w:vAlign w:val="bottom"/>
          </w:tcPr>
          <w:p>
            <w:pPr>
              <w:spacing w:after="0"/>
              <w:rPr>
                <w:sz w:val="1"/>
                <w:szCs w:val="1"/>
                <w:color w:val="auto"/>
              </w:rPr>
            </w:pPr>
          </w:p>
        </w:tc>
      </w:tr>
      <w:tr>
        <w:trPr>
          <w:trHeight w:val="150"/>
        </w:trPr>
        <w:tc>
          <w:tcPr>
            <w:tcW w:w="3480" w:type="dxa"/>
            <w:vAlign w:val="bottom"/>
          </w:tcPr>
          <w:p>
            <w:pPr>
              <w:ind w:left="1660"/>
              <w:spacing w:after="0" w:line="150" w:lineRule="exact"/>
              <w:rPr>
                <w:sz w:val="20"/>
                <w:szCs w:val="20"/>
                <w:color w:val="auto"/>
              </w:rPr>
            </w:pPr>
            <w:r>
              <w:rPr>
                <w:rFonts w:ascii="Arial" w:cs="Arial" w:eastAsia="Arial" w:hAnsi="Arial"/>
                <w:sz w:val="14"/>
                <w:szCs w:val="14"/>
                <w:b w:val="1"/>
                <w:bCs w:val="1"/>
                <w:color w:val="998C87"/>
              </w:rPr>
              <w:t>Investment Banking</w:t>
            </w:r>
          </w:p>
        </w:tc>
        <w:tc>
          <w:tcPr>
            <w:tcW w:w="75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480" w:type="dxa"/>
            <w:vAlign w:val="bottom"/>
          </w:tcPr>
          <w:p>
            <w:pPr>
              <w:ind w:left="1660"/>
              <w:spacing w:after="0"/>
              <w:rPr>
                <w:sz w:val="20"/>
                <w:szCs w:val="20"/>
                <w:color w:val="auto"/>
              </w:rPr>
            </w:pPr>
            <w:r>
              <w:rPr>
                <w:rFonts w:ascii="Arial" w:cs="Arial" w:eastAsia="Arial" w:hAnsi="Arial"/>
                <w:sz w:val="14"/>
                <w:szCs w:val="14"/>
                <w:b w:val="1"/>
                <w:bCs w:val="1"/>
                <w:color w:val="998C87"/>
              </w:rPr>
              <w:t>Group, LLC</w:t>
            </w:r>
          </w:p>
        </w:tc>
        <w:tc>
          <w:tcPr>
            <w:tcW w:w="7520" w:type="dxa"/>
            <w:vAlign w:val="bottom"/>
            <w:gridSpan w:val="2"/>
          </w:tcPr>
          <w:p>
            <w:pPr>
              <w:ind w:left="440"/>
              <w:spacing w:after="0"/>
              <w:rPr>
                <w:sz w:val="20"/>
                <w:szCs w:val="20"/>
                <w:color w:val="auto"/>
              </w:rPr>
            </w:pPr>
            <w:r>
              <w:rPr>
                <w:rFonts w:ascii="Arial" w:cs="Arial" w:eastAsia="Arial" w:hAnsi="Arial"/>
                <w:sz w:val="17"/>
                <w:szCs w:val="17"/>
                <w:color w:val="auto"/>
              </w:rPr>
              <w:t>Chicago-based law firm Tobin, Petkus &amp; Muñoz LLC (now Tobin &amp; Muñoz) since 2002. He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-372110</wp:posOffset>
            </wp:positionV>
            <wp:extent cx="6989445" cy="13017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89445" cy="1301750"/>
                    </a:xfrm>
                    <a:prstGeom prst="rect">
                      <a:avLst/>
                    </a:prstGeom>
                    <a:noFill/>
                  </pic:spPr>
                </pic:pic>
              </a:graphicData>
            </a:graphic>
          </wp:anchor>
        </w:drawing>
      </w:r>
    </w:p>
    <w:p>
      <w:pPr>
        <w:ind w:left="4140" w:right="200"/>
        <w:spacing w:after="0" w:line="235" w:lineRule="auto"/>
        <w:rPr>
          <w:sz w:val="20"/>
          <w:szCs w:val="20"/>
          <w:color w:val="auto"/>
        </w:rPr>
      </w:pPr>
      <w:r>
        <w:rPr>
          <w:rFonts w:ascii="Arial" w:cs="Arial" w:eastAsia="Arial" w:hAnsi="Arial"/>
          <w:sz w:val="17"/>
          <w:szCs w:val="17"/>
          <w:color w:val="auto"/>
        </w:rPr>
        <w:t>served as President and Chief Executive Officer of Overseas Private Investment Corporation from 1997 to 2001. Mr. Muñoz was Chief Financial Officer and Assistant Secretary of the U.S. Treasury Department from 1993 until 1997. Mr. Muñoz is a certified public accountant and an attorney. He serves on the board of directors of Altria Group, Inc., Anixter International, Inc., and Laureate Education, Inc. He also serves on the board of trustees of the National Geographic Society. Mr. Muñoz has been a director of the Company since 2002.</w:t>
      </w:r>
    </w:p>
    <w:p>
      <w:pPr>
        <w:spacing w:after="0" w:line="203" w:lineRule="exact"/>
        <w:rPr>
          <w:sz w:val="20"/>
          <w:szCs w:val="20"/>
          <w:color w:val="auto"/>
        </w:rPr>
      </w:pPr>
    </w:p>
    <w:p>
      <w:pPr>
        <w:ind w:left="220" w:right="280"/>
        <w:spacing w:after="0" w:line="253" w:lineRule="auto"/>
        <w:rPr>
          <w:sz w:val="20"/>
          <w:szCs w:val="20"/>
          <w:color w:val="auto"/>
        </w:rPr>
      </w:pPr>
      <w:r>
        <w:rPr>
          <w:rFonts w:ascii="Arial" w:cs="Arial" w:eastAsia="Arial" w:hAnsi="Arial"/>
          <w:sz w:val="17"/>
          <w:szCs w:val="17"/>
          <w:color w:val="auto"/>
        </w:rPr>
        <w:t>Mr. Muñoz provides our Board, our Audit Committee and our Committee for Excellence with extensive knowledge in the fields of finance and accounting, his knowledge of international markets, legal experience, corporate governance experience and audit oversight experience gained from his membership on the boards and audit committees of other public companies.</w:t>
      </w:r>
    </w:p>
    <w:p>
      <w:pPr>
        <w:spacing w:after="0" w:line="102" w:lineRule="exact"/>
        <w:rPr>
          <w:sz w:val="20"/>
          <w:szCs w:val="20"/>
          <w:color w:val="auto"/>
        </w:rPr>
      </w:pPr>
    </w:p>
    <w:tbl>
      <w:tblPr>
        <w:tblLayout w:type="fixed"/>
        <w:tblInd w:w="9180" w:type="dxa"/>
        <w:tblCellMar>
          <w:top w:w="0" w:type="dxa"/>
          <w:left w:w="0" w:type="dxa"/>
          <w:bottom w:w="0" w:type="dxa"/>
          <w:right w:w="0" w:type="dxa"/>
        </w:tblCellMar>
      </w:tblPr>
      <w:tr>
        <w:trPr>
          <w:trHeight w:val="214"/>
        </w:trPr>
        <w:tc>
          <w:tcPr>
            <w:tcW w:w="1660" w:type="dxa"/>
            <w:vAlign w:val="bottom"/>
          </w:tcPr>
          <w:p>
            <w:pPr>
              <w:spacing w:after="0"/>
              <w:rPr>
                <w:sz w:val="20"/>
                <w:szCs w:val="20"/>
                <w:color w:val="auto"/>
              </w:rPr>
            </w:pPr>
            <w:r>
              <w:rPr>
                <w:rFonts w:ascii="Arial" w:cs="Arial" w:eastAsia="Arial" w:hAnsi="Arial"/>
                <w:sz w:val="15"/>
                <w:szCs w:val="15"/>
                <w:color w:val="998C87"/>
              </w:rPr>
              <w:t>2018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23</w:t>
            </w:r>
          </w:p>
        </w:tc>
      </w:tr>
    </w:tbl>
    <w:p>
      <w:pPr>
        <w:sectPr>
          <w:pgSz w:w="11900" w:h="16838" w:orient="portrait"/>
          <w:cols w:equalWidth="0" w:num="1">
            <w:col w:w="11220"/>
          </w:cols>
          <w:pgMar w:left="240" w:top="455" w:right="4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49" w:lineRule="exact"/>
        <w:rPr>
          <w:sz w:val="20"/>
          <w:szCs w:val="20"/>
          <w:color w:val="auto"/>
        </w:rPr>
      </w:pPr>
    </w:p>
    <w:tbl>
      <w:tblPr>
        <w:tblLayout w:type="fixed"/>
        <w:tblInd w:w="220" w:type="dxa"/>
        <w:tblCellMar>
          <w:top w:w="0" w:type="dxa"/>
          <w:left w:w="0" w:type="dxa"/>
          <w:bottom w:w="0" w:type="dxa"/>
          <w:right w:w="0" w:type="dxa"/>
        </w:tblCellMar>
      </w:tblPr>
      <w:tr>
        <w:trPr>
          <w:trHeight w:val="256"/>
        </w:trPr>
        <w:tc>
          <w:tcPr>
            <w:tcW w:w="3580" w:type="dxa"/>
            <w:vAlign w:val="bottom"/>
            <w:shd w:val="clear" w:color="auto" w:fill="998C87"/>
          </w:tcPr>
          <w:p>
            <w:pPr>
              <w:ind w:left="100"/>
              <w:spacing w:after="0"/>
              <w:rPr>
                <w:sz w:val="20"/>
                <w:szCs w:val="20"/>
                <w:color w:val="auto"/>
              </w:rPr>
            </w:pPr>
            <w:r>
              <w:rPr>
                <w:rFonts w:ascii="Arial" w:cs="Arial" w:eastAsia="Arial" w:hAnsi="Arial"/>
                <w:sz w:val="18"/>
                <w:szCs w:val="18"/>
                <w:b w:val="1"/>
                <w:bCs w:val="1"/>
                <w:color w:val="FFFFFF"/>
              </w:rPr>
              <w:t>Steven S Reinemund</w:t>
            </w:r>
          </w:p>
        </w:tc>
        <w:tc>
          <w:tcPr>
            <w:tcW w:w="2020" w:type="dxa"/>
            <w:vAlign w:val="bottom"/>
            <w:shd w:val="clear" w:color="auto" w:fill="998C87"/>
          </w:tcPr>
          <w:p>
            <w:pPr>
              <w:ind w:left="340"/>
              <w:spacing w:after="0"/>
              <w:rPr>
                <w:sz w:val="20"/>
                <w:szCs w:val="20"/>
                <w:color w:val="auto"/>
              </w:rPr>
            </w:pPr>
            <w:r>
              <w:rPr>
                <w:rFonts w:ascii="Arial" w:cs="Arial" w:eastAsia="Arial" w:hAnsi="Arial"/>
                <w:sz w:val="15"/>
                <w:szCs w:val="15"/>
                <w:b w:val="1"/>
                <w:bCs w:val="1"/>
                <w:color w:val="FFFFFF"/>
              </w:rPr>
              <w:t>Age: 70</w:t>
            </w:r>
          </w:p>
        </w:tc>
        <w:tc>
          <w:tcPr>
            <w:tcW w:w="5400" w:type="dxa"/>
            <w:vAlign w:val="bottom"/>
            <w:shd w:val="clear" w:color="auto" w:fill="998C87"/>
          </w:tcPr>
          <w:p>
            <w:pPr>
              <w:ind w:left="1120"/>
              <w:spacing w:after="0"/>
              <w:rPr>
                <w:sz w:val="20"/>
                <w:szCs w:val="20"/>
                <w:color w:val="auto"/>
              </w:rPr>
            </w:pPr>
            <w:r>
              <w:rPr>
                <w:rFonts w:ascii="Arial" w:cs="Arial" w:eastAsia="Arial" w:hAnsi="Arial"/>
                <w:sz w:val="15"/>
                <w:szCs w:val="15"/>
                <w:b w:val="1"/>
                <w:bCs w:val="1"/>
                <w:color w:val="FFFFFF"/>
              </w:rPr>
              <w:t>Director since: 2007</w:t>
            </w:r>
          </w:p>
        </w:tc>
        <w:tc>
          <w:tcPr>
            <w:tcW w:w="0" w:type="dxa"/>
            <w:vAlign w:val="bottom"/>
          </w:tcPr>
          <w:p>
            <w:pPr>
              <w:spacing w:after="0"/>
              <w:rPr>
                <w:sz w:val="1"/>
                <w:szCs w:val="1"/>
                <w:color w:val="auto"/>
              </w:rPr>
            </w:pPr>
          </w:p>
        </w:tc>
      </w:tr>
      <w:tr>
        <w:trPr>
          <w:trHeight w:val="174"/>
        </w:trPr>
        <w:tc>
          <w:tcPr>
            <w:tcW w:w="3580" w:type="dxa"/>
            <w:vAlign w:val="bottom"/>
            <w:vMerge w:val="restart"/>
          </w:tcPr>
          <w:p>
            <w:pPr>
              <w:ind w:left="1660"/>
              <w:spacing w:after="0"/>
              <w:rPr>
                <w:sz w:val="20"/>
                <w:szCs w:val="20"/>
                <w:color w:val="auto"/>
              </w:rPr>
            </w:pPr>
            <w:r>
              <w:rPr>
                <w:rFonts w:ascii="Arial" w:cs="Arial" w:eastAsia="Arial" w:hAnsi="Arial"/>
                <w:sz w:val="14"/>
                <w:szCs w:val="14"/>
                <w:b w:val="1"/>
                <w:bCs w:val="1"/>
                <w:color w:val="998C87"/>
              </w:rPr>
              <w:t>Former Dean of</w:t>
            </w:r>
          </w:p>
        </w:tc>
        <w:tc>
          <w:tcPr>
            <w:tcW w:w="7420" w:type="dxa"/>
            <w:vAlign w:val="bottom"/>
            <w:gridSpan w:val="2"/>
          </w:tcPr>
          <w:p>
            <w:pPr>
              <w:ind w:left="340"/>
              <w:spacing w:after="0" w:line="174" w:lineRule="exact"/>
              <w:rPr>
                <w:sz w:val="20"/>
                <w:szCs w:val="20"/>
                <w:color w:val="auto"/>
              </w:rPr>
            </w:pPr>
            <w:r>
              <w:rPr>
                <w:rFonts w:ascii="Arial" w:cs="Arial" w:eastAsia="Arial" w:hAnsi="Arial"/>
                <w:sz w:val="17"/>
                <w:szCs w:val="17"/>
                <w:color w:val="auto"/>
              </w:rPr>
              <w:t>Mr. Reinemund served as the Dean of Business at Wake Forest University from July 2008</w:t>
            </w:r>
          </w:p>
        </w:tc>
        <w:tc>
          <w:tcPr>
            <w:tcW w:w="0" w:type="dxa"/>
            <w:vAlign w:val="bottom"/>
          </w:tcPr>
          <w:p>
            <w:pPr>
              <w:spacing w:after="0"/>
              <w:rPr>
                <w:sz w:val="1"/>
                <w:szCs w:val="1"/>
                <w:color w:val="auto"/>
              </w:rPr>
            </w:pPr>
          </w:p>
        </w:tc>
      </w:tr>
      <w:tr>
        <w:trPr>
          <w:trHeight w:val="53"/>
        </w:trPr>
        <w:tc>
          <w:tcPr>
            <w:tcW w:w="3580" w:type="dxa"/>
            <w:vAlign w:val="bottom"/>
            <w:vMerge w:val="continue"/>
          </w:tcPr>
          <w:p>
            <w:pPr>
              <w:spacing w:after="0"/>
              <w:rPr>
                <w:sz w:val="4"/>
                <w:szCs w:val="4"/>
                <w:color w:val="auto"/>
              </w:rPr>
            </w:pPr>
          </w:p>
        </w:tc>
        <w:tc>
          <w:tcPr>
            <w:tcW w:w="7420" w:type="dxa"/>
            <w:vAlign w:val="bottom"/>
            <w:gridSpan w:val="2"/>
            <w:vMerge w:val="restart"/>
          </w:tcPr>
          <w:p>
            <w:pPr>
              <w:ind w:left="340"/>
              <w:spacing w:after="0"/>
              <w:rPr>
                <w:sz w:val="20"/>
                <w:szCs w:val="20"/>
                <w:color w:val="auto"/>
              </w:rPr>
            </w:pPr>
            <w:r>
              <w:rPr>
                <w:rFonts w:ascii="Arial" w:cs="Arial" w:eastAsia="Arial" w:hAnsi="Arial"/>
                <w:sz w:val="17"/>
                <w:szCs w:val="17"/>
                <w:color w:val="auto"/>
              </w:rPr>
              <w:t>until June 2014. In 2007, Mr. Reinemund retired from PepsiCo, Inc., a multinational food</w:t>
            </w:r>
          </w:p>
        </w:tc>
        <w:tc>
          <w:tcPr>
            <w:tcW w:w="0" w:type="dxa"/>
            <w:vAlign w:val="bottom"/>
          </w:tcPr>
          <w:p>
            <w:pPr>
              <w:spacing w:after="0"/>
              <w:rPr>
                <w:sz w:val="1"/>
                <w:szCs w:val="1"/>
                <w:color w:val="auto"/>
              </w:rPr>
            </w:pPr>
          </w:p>
        </w:tc>
      </w:tr>
      <w:tr>
        <w:trPr>
          <w:trHeight w:val="150"/>
        </w:trPr>
        <w:tc>
          <w:tcPr>
            <w:tcW w:w="3580" w:type="dxa"/>
            <w:vAlign w:val="bottom"/>
          </w:tcPr>
          <w:p>
            <w:pPr>
              <w:ind w:left="1660"/>
              <w:spacing w:after="0" w:line="150" w:lineRule="exact"/>
              <w:rPr>
                <w:sz w:val="20"/>
                <w:szCs w:val="20"/>
                <w:color w:val="auto"/>
              </w:rPr>
            </w:pPr>
            <w:r>
              <w:rPr>
                <w:rFonts w:ascii="Arial" w:cs="Arial" w:eastAsia="Arial" w:hAnsi="Arial"/>
                <w:sz w:val="14"/>
                <w:szCs w:val="14"/>
                <w:b w:val="1"/>
                <w:bCs w:val="1"/>
                <w:color w:val="998C87"/>
              </w:rPr>
              <w:t>Business, Wake Forest</w:t>
            </w:r>
          </w:p>
        </w:tc>
        <w:tc>
          <w:tcPr>
            <w:tcW w:w="74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580" w:type="dxa"/>
            <w:vAlign w:val="bottom"/>
          </w:tcPr>
          <w:p>
            <w:pPr>
              <w:ind w:left="1660"/>
              <w:spacing w:after="0"/>
              <w:rPr>
                <w:sz w:val="20"/>
                <w:szCs w:val="20"/>
                <w:color w:val="auto"/>
              </w:rPr>
            </w:pPr>
            <w:r>
              <w:rPr>
                <w:rFonts w:ascii="Arial" w:cs="Arial" w:eastAsia="Arial" w:hAnsi="Arial"/>
                <w:sz w:val="14"/>
                <w:szCs w:val="14"/>
                <w:b w:val="1"/>
                <w:bCs w:val="1"/>
                <w:color w:val="998C87"/>
              </w:rPr>
              <w:t>University</w:t>
            </w:r>
          </w:p>
        </w:tc>
        <w:tc>
          <w:tcPr>
            <w:tcW w:w="7420" w:type="dxa"/>
            <w:vAlign w:val="bottom"/>
            <w:gridSpan w:val="2"/>
          </w:tcPr>
          <w:p>
            <w:pPr>
              <w:ind w:left="340"/>
              <w:spacing w:after="0"/>
              <w:rPr>
                <w:sz w:val="20"/>
                <w:szCs w:val="20"/>
                <w:color w:val="auto"/>
              </w:rPr>
            </w:pPr>
            <w:r>
              <w:rPr>
                <w:rFonts w:ascii="Arial" w:cs="Arial" w:eastAsia="Arial" w:hAnsi="Arial"/>
                <w:sz w:val="17"/>
                <w:szCs w:val="17"/>
                <w:color w:val="auto"/>
              </w:rPr>
              <w:t>and beverage company, where he served as Chairman and Chief Executive Officer from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-372110</wp:posOffset>
            </wp:positionV>
            <wp:extent cx="6989445" cy="16103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89445" cy="1610360"/>
                    </a:xfrm>
                    <a:prstGeom prst="rect">
                      <a:avLst/>
                    </a:prstGeom>
                    <a:noFill/>
                  </pic:spPr>
                </pic:pic>
              </a:graphicData>
            </a:graphic>
          </wp:anchor>
        </w:drawing>
      </w:r>
    </w:p>
    <w:p>
      <w:pPr>
        <w:ind w:left="4140" w:right="180"/>
        <w:spacing w:after="0" w:line="234" w:lineRule="auto"/>
        <w:rPr>
          <w:sz w:val="20"/>
          <w:szCs w:val="20"/>
          <w:color w:val="auto"/>
        </w:rPr>
      </w:pPr>
      <w:r>
        <w:rPr>
          <w:rFonts w:ascii="Arial" w:cs="Arial" w:eastAsia="Arial" w:hAnsi="Arial"/>
          <w:sz w:val="17"/>
          <w:szCs w:val="17"/>
          <w:color w:val="auto"/>
        </w:rPr>
        <w:t>2001 until 2006 and Chairman until May 2007. He joined PepsiCo in 1984 and held the positions of President and Chief Executive Officer Pizza Hut, Chairman and Chief Executive Officer Frito-Lay and President and Chief Operating Officer PepsiCo. He was a director of PepsiCo from 1996 until 2007. Mr. Reinemund serves on the board of directors of Chick-fil-A, Inc., ExxonMobil Corp., and Walmart, Inc. He was also a director of American Express Company from 2007 to 2015. Mr. Reinemund is also a member of the board of directors of the Cooper Clinic Institute and serves on the board of trustees of Wake Forest University and the United States Naval Academy Foundation, and on the board of governors of the Center of Creative Leadership. Mr. Reinemund has been a director of the Company since 2007.</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998C87"/>
        </w:rPr>
        <w:t>Professional Highlights:</w:t>
      </w:r>
    </w:p>
    <w:p>
      <w:pPr>
        <w:spacing w:after="0" w:line="49" w:lineRule="exact"/>
        <w:rPr>
          <w:sz w:val="20"/>
          <w:szCs w:val="20"/>
          <w:color w:val="auto"/>
        </w:rPr>
      </w:pPr>
    </w:p>
    <w:p>
      <w:pPr>
        <w:ind w:left="220" w:right="40"/>
        <w:spacing w:after="0" w:line="246" w:lineRule="auto"/>
        <w:rPr>
          <w:sz w:val="20"/>
          <w:szCs w:val="20"/>
          <w:color w:val="auto"/>
        </w:rPr>
      </w:pPr>
      <w:r>
        <w:rPr>
          <w:rFonts w:ascii="Arial" w:cs="Arial" w:eastAsia="Arial" w:hAnsi="Arial"/>
          <w:sz w:val="17"/>
          <w:szCs w:val="17"/>
          <w:color w:val="auto"/>
        </w:rPr>
        <w:t>As a result of his background as Chairman and CEO of PepsiCo, a Fortune 500 company, Mr. Reinemund brings to the Board, our Compensation Policy Committee, which he chairs, our Executive Committee, and our Nominating and Corporate Governance Committee demonstrated leadership capability and extensive knowledge of complex financial and operational issues facing large branded companies, as well as extensive management and corporate governance experience gained from that role and from membership on the boards of other public companies.</w:t>
      </w:r>
    </w:p>
    <w:p>
      <w:pPr>
        <w:spacing w:after="0" w:line="225" w:lineRule="exact"/>
        <w:rPr>
          <w:sz w:val="20"/>
          <w:szCs w:val="20"/>
          <w:color w:val="auto"/>
        </w:rPr>
      </w:pPr>
    </w:p>
    <w:tbl>
      <w:tblPr>
        <w:tblLayout w:type="fixed"/>
        <w:tblInd w:w="220" w:type="dxa"/>
        <w:tblCellMar>
          <w:top w:w="0" w:type="dxa"/>
          <w:left w:w="0" w:type="dxa"/>
          <w:bottom w:w="0" w:type="dxa"/>
          <w:right w:w="0" w:type="dxa"/>
        </w:tblCellMar>
      </w:tblPr>
      <w:tr>
        <w:trPr>
          <w:trHeight w:val="256"/>
        </w:trPr>
        <w:tc>
          <w:tcPr>
            <w:tcW w:w="3540" w:type="dxa"/>
            <w:vAlign w:val="bottom"/>
            <w:shd w:val="clear" w:color="auto" w:fill="998C87"/>
          </w:tcPr>
          <w:p>
            <w:pPr>
              <w:ind w:left="100"/>
              <w:spacing w:after="0"/>
              <w:rPr>
                <w:sz w:val="20"/>
                <w:szCs w:val="20"/>
                <w:color w:val="auto"/>
              </w:rPr>
            </w:pPr>
            <w:r>
              <w:rPr>
                <w:rFonts w:ascii="Arial" w:cs="Arial" w:eastAsia="Arial" w:hAnsi="Arial"/>
                <w:sz w:val="18"/>
                <w:szCs w:val="18"/>
                <w:b w:val="1"/>
                <w:bCs w:val="1"/>
                <w:color w:val="FFFFFF"/>
              </w:rPr>
              <w:t>W. Mitt Romney</w:t>
            </w:r>
          </w:p>
        </w:tc>
        <w:tc>
          <w:tcPr>
            <w:tcW w:w="2060" w:type="dxa"/>
            <w:vAlign w:val="bottom"/>
            <w:shd w:val="clear" w:color="auto" w:fill="998C87"/>
          </w:tcPr>
          <w:p>
            <w:pPr>
              <w:ind w:left="380"/>
              <w:spacing w:after="0"/>
              <w:rPr>
                <w:sz w:val="20"/>
                <w:szCs w:val="20"/>
                <w:color w:val="auto"/>
              </w:rPr>
            </w:pPr>
            <w:r>
              <w:rPr>
                <w:rFonts w:ascii="Arial" w:cs="Arial" w:eastAsia="Arial" w:hAnsi="Arial"/>
                <w:sz w:val="15"/>
                <w:szCs w:val="15"/>
                <w:b w:val="1"/>
                <w:bCs w:val="1"/>
                <w:color w:val="FFFFFF"/>
              </w:rPr>
              <w:t>Age: 71</w:t>
            </w:r>
          </w:p>
        </w:tc>
        <w:tc>
          <w:tcPr>
            <w:tcW w:w="5400" w:type="dxa"/>
            <w:vAlign w:val="bottom"/>
            <w:shd w:val="clear" w:color="auto" w:fill="998C87"/>
          </w:tcPr>
          <w:p>
            <w:pPr>
              <w:ind w:left="1120"/>
              <w:spacing w:after="0"/>
              <w:rPr>
                <w:sz w:val="20"/>
                <w:szCs w:val="20"/>
                <w:color w:val="auto"/>
              </w:rPr>
            </w:pPr>
            <w:r>
              <w:rPr>
                <w:rFonts w:ascii="Arial" w:cs="Arial" w:eastAsia="Arial" w:hAnsi="Arial"/>
                <w:sz w:val="15"/>
                <w:szCs w:val="15"/>
                <w:b w:val="1"/>
                <w:bCs w:val="1"/>
                <w:color w:val="FFFFFF"/>
              </w:rPr>
              <w:t>Director since: 2012</w:t>
            </w:r>
          </w:p>
        </w:tc>
        <w:tc>
          <w:tcPr>
            <w:tcW w:w="0" w:type="dxa"/>
            <w:vAlign w:val="bottom"/>
          </w:tcPr>
          <w:p>
            <w:pPr>
              <w:spacing w:after="0"/>
              <w:rPr>
                <w:sz w:val="1"/>
                <w:szCs w:val="1"/>
                <w:color w:val="auto"/>
              </w:rPr>
            </w:pPr>
          </w:p>
        </w:tc>
      </w:tr>
      <w:tr>
        <w:trPr>
          <w:trHeight w:val="174"/>
        </w:trPr>
        <w:tc>
          <w:tcPr>
            <w:tcW w:w="3540" w:type="dxa"/>
            <w:vAlign w:val="bottom"/>
            <w:vMerge w:val="restart"/>
          </w:tcPr>
          <w:p>
            <w:pPr>
              <w:ind w:left="1660"/>
              <w:spacing w:after="0"/>
              <w:rPr>
                <w:sz w:val="20"/>
                <w:szCs w:val="20"/>
                <w:color w:val="auto"/>
              </w:rPr>
            </w:pPr>
            <w:r>
              <w:rPr>
                <w:rFonts w:ascii="Arial" w:cs="Arial" w:eastAsia="Arial" w:hAnsi="Arial"/>
                <w:sz w:val="14"/>
                <w:szCs w:val="14"/>
                <w:b w:val="1"/>
                <w:bCs w:val="1"/>
                <w:color w:val="998C87"/>
              </w:rPr>
              <w:t>Executive Partner and</w:t>
            </w:r>
          </w:p>
        </w:tc>
        <w:tc>
          <w:tcPr>
            <w:tcW w:w="7460" w:type="dxa"/>
            <w:vAlign w:val="bottom"/>
            <w:gridSpan w:val="2"/>
          </w:tcPr>
          <w:p>
            <w:pPr>
              <w:ind w:left="380"/>
              <w:spacing w:after="0" w:line="174" w:lineRule="exact"/>
              <w:rPr>
                <w:sz w:val="20"/>
                <w:szCs w:val="20"/>
                <w:color w:val="auto"/>
              </w:rPr>
            </w:pPr>
            <w:r>
              <w:rPr>
                <w:rFonts w:ascii="Arial" w:cs="Arial" w:eastAsia="Arial" w:hAnsi="Arial"/>
                <w:sz w:val="17"/>
                <w:szCs w:val="17"/>
                <w:color w:val="auto"/>
              </w:rPr>
              <w:t>Governer Romney announced in February 2018 that he is a candidate for the United States</w:t>
            </w:r>
          </w:p>
        </w:tc>
        <w:tc>
          <w:tcPr>
            <w:tcW w:w="0" w:type="dxa"/>
            <w:vAlign w:val="bottom"/>
          </w:tcPr>
          <w:p>
            <w:pPr>
              <w:spacing w:after="0"/>
              <w:rPr>
                <w:sz w:val="1"/>
                <w:szCs w:val="1"/>
                <w:color w:val="auto"/>
              </w:rPr>
            </w:pPr>
          </w:p>
        </w:tc>
      </w:tr>
      <w:tr>
        <w:trPr>
          <w:trHeight w:val="53"/>
        </w:trPr>
        <w:tc>
          <w:tcPr>
            <w:tcW w:w="3540" w:type="dxa"/>
            <w:vAlign w:val="bottom"/>
            <w:vMerge w:val="continue"/>
          </w:tcPr>
          <w:p>
            <w:pPr>
              <w:spacing w:after="0"/>
              <w:rPr>
                <w:sz w:val="4"/>
                <w:szCs w:val="4"/>
                <w:color w:val="auto"/>
              </w:rPr>
            </w:pPr>
          </w:p>
        </w:tc>
        <w:tc>
          <w:tcPr>
            <w:tcW w:w="7460" w:type="dxa"/>
            <w:vAlign w:val="bottom"/>
            <w:gridSpan w:val="2"/>
            <w:vMerge w:val="restart"/>
          </w:tcPr>
          <w:p>
            <w:pPr>
              <w:ind w:left="380"/>
              <w:spacing w:after="0"/>
              <w:rPr>
                <w:sz w:val="20"/>
                <w:szCs w:val="20"/>
                <w:color w:val="auto"/>
              </w:rPr>
            </w:pPr>
            <w:r>
              <w:rPr>
                <w:rFonts w:ascii="Arial" w:cs="Arial" w:eastAsia="Arial" w:hAnsi="Arial"/>
                <w:sz w:val="17"/>
                <w:szCs w:val="17"/>
                <w:color w:val="auto"/>
              </w:rPr>
              <w:t>Senate from Utah. Gov. Romney has been Executive Partner and Group Chairman of</w:t>
            </w:r>
          </w:p>
        </w:tc>
        <w:tc>
          <w:tcPr>
            <w:tcW w:w="0" w:type="dxa"/>
            <w:vAlign w:val="bottom"/>
          </w:tcPr>
          <w:p>
            <w:pPr>
              <w:spacing w:after="0"/>
              <w:rPr>
                <w:sz w:val="1"/>
                <w:szCs w:val="1"/>
                <w:color w:val="auto"/>
              </w:rPr>
            </w:pPr>
          </w:p>
        </w:tc>
      </w:tr>
      <w:tr>
        <w:trPr>
          <w:trHeight w:val="150"/>
        </w:trPr>
        <w:tc>
          <w:tcPr>
            <w:tcW w:w="3540" w:type="dxa"/>
            <w:vAlign w:val="bottom"/>
          </w:tcPr>
          <w:p>
            <w:pPr>
              <w:ind w:left="1660"/>
              <w:spacing w:after="0" w:line="150" w:lineRule="exact"/>
              <w:rPr>
                <w:sz w:val="20"/>
                <w:szCs w:val="20"/>
                <w:color w:val="auto"/>
              </w:rPr>
            </w:pPr>
            <w:r>
              <w:rPr>
                <w:rFonts w:ascii="Arial" w:cs="Arial" w:eastAsia="Arial" w:hAnsi="Arial"/>
                <w:sz w:val="14"/>
                <w:szCs w:val="14"/>
                <w:b w:val="1"/>
                <w:bCs w:val="1"/>
                <w:color w:val="998C87"/>
              </w:rPr>
              <w:t>Group Chairman,</w:t>
            </w:r>
          </w:p>
        </w:tc>
        <w:tc>
          <w:tcPr>
            <w:tcW w:w="7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540" w:type="dxa"/>
            <w:vAlign w:val="bottom"/>
          </w:tcPr>
          <w:p>
            <w:pPr>
              <w:ind w:left="1660"/>
              <w:spacing w:after="0"/>
              <w:rPr>
                <w:sz w:val="20"/>
                <w:szCs w:val="20"/>
                <w:color w:val="auto"/>
              </w:rPr>
            </w:pPr>
            <w:r>
              <w:rPr>
                <w:rFonts w:ascii="Arial" w:cs="Arial" w:eastAsia="Arial" w:hAnsi="Arial"/>
                <w:sz w:val="14"/>
                <w:szCs w:val="14"/>
                <w:b w:val="1"/>
                <w:bCs w:val="1"/>
                <w:color w:val="998C87"/>
              </w:rPr>
              <w:t>Solamere Capital LLC</w:t>
            </w:r>
          </w:p>
        </w:tc>
        <w:tc>
          <w:tcPr>
            <w:tcW w:w="7460" w:type="dxa"/>
            <w:vAlign w:val="bottom"/>
            <w:gridSpan w:val="2"/>
          </w:tcPr>
          <w:p>
            <w:pPr>
              <w:ind w:left="380"/>
              <w:spacing w:after="0"/>
              <w:rPr>
                <w:sz w:val="20"/>
                <w:szCs w:val="20"/>
                <w:color w:val="auto"/>
              </w:rPr>
            </w:pPr>
            <w:r>
              <w:rPr>
                <w:rFonts w:ascii="Arial" w:cs="Arial" w:eastAsia="Arial" w:hAnsi="Arial"/>
                <w:sz w:val="17"/>
                <w:szCs w:val="17"/>
                <w:color w:val="auto"/>
              </w:rPr>
              <w:t>Solamere Capital LLC, a private investment firm, since March 2013. Prior to that he was the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-372110</wp:posOffset>
            </wp:positionV>
            <wp:extent cx="6989445" cy="16103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89445" cy="1610360"/>
                    </a:xfrm>
                    <a:prstGeom prst="rect">
                      <a:avLst/>
                    </a:prstGeom>
                    <a:noFill/>
                  </pic:spPr>
                </pic:pic>
              </a:graphicData>
            </a:graphic>
          </wp:anchor>
        </w:drawing>
      </w:r>
    </w:p>
    <w:p>
      <w:pPr>
        <w:ind w:left="4140" w:right="240"/>
        <w:spacing w:after="0" w:line="234" w:lineRule="auto"/>
        <w:rPr>
          <w:sz w:val="20"/>
          <w:szCs w:val="20"/>
          <w:color w:val="auto"/>
        </w:rPr>
      </w:pPr>
      <w:r>
        <w:rPr>
          <w:rFonts w:ascii="Arial" w:cs="Arial" w:eastAsia="Arial" w:hAnsi="Arial"/>
          <w:sz w:val="17"/>
          <w:szCs w:val="17"/>
          <w:color w:val="auto"/>
        </w:rPr>
        <w:t>2012 Republican nominee for the office of President of the United States. He also was a candidate for the 2008 Republican presidential nomination. Before that, he served as the Governor of the Commonwealth of Massachusetts from 2003 through 2007. Prior to his time as Governor, he was President and Chief Executive Officer of the 2002 Winter Olympic Games in Salt Lake City. Gov. Romney started his career in business in 1978 as a Vice President of Bain &amp; Company, Inc., a management consulting firm based in Boston, Massachusetts. In 1984, he left Bain &amp; Company, Inc. to co-found a spin-off private equity investment company, Bain Capital, where he worked until 1998. Gov. Romney served as a director of the Company or its predecessors from 1993 through 2002 and again from 2009 through 2011. He rejoined the Board in 2012.</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998C87"/>
        </w:rPr>
        <w:t>Professional Highlights:</w:t>
      </w:r>
    </w:p>
    <w:p>
      <w:pPr>
        <w:spacing w:after="0" w:line="49" w:lineRule="exact"/>
        <w:rPr>
          <w:sz w:val="20"/>
          <w:szCs w:val="20"/>
          <w:color w:val="auto"/>
        </w:rPr>
      </w:pPr>
    </w:p>
    <w:p>
      <w:pPr>
        <w:jc w:val="both"/>
        <w:ind w:left="220" w:right="660"/>
        <w:spacing w:after="0" w:line="253" w:lineRule="auto"/>
        <w:rPr>
          <w:sz w:val="20"/>
          <w:szCs w:val="20"/>
          <w:color w:val="auto"/>
        </w:rPr>
      </w:pPr>
      <w:r>
        <w:rPr>
          <w:rFonts w:ascii="Arial" w:cs="Arial" w:eastAsia="Arial" w:hAnsi="Arial"/>
          <w:sz w:val="17"/>
          <w:szCs w:val="17"/>
          <w:color w:val="auto"/>
        </w:rPr>
        <w:t>Gov. Romney brings to our Board and our Finance Committee, which he chairs, his unique blend of management experience in both the corporate and government sectors, knowledge of public policy matters as a result of his service as the Governor of the Commonwealth of Massachusetts and financial services experience from his positions with Bain &amp; Company and Bain Capital.</w:t>
      </w:r>
    </w:p>
    <w:p>
      <w:pPr>
        <w:spacing w:after="0" w:line="102" w:lineRule="exact"/>
        <w:rPr>
          <w:sz w:val="20"/>
          <w:szCs w:val="20"/>
          <w:color w:val="auto"/>
        </w:rPr>
      </w:pPr>
    </w:p>
    <w:p>
      <w:pPr>
        <w:ind w:left="540" w:hanging="330"/>
        <w:spacing w:after="0"/>
        <w:tabs>
          <w:tab w:leader="none" w:pos="540" w:val="left"/>
        </w:tabs>
        <w:numPr>
          <w:ilvl w:val="0"/>
          <w:numId w:val="64"/>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20"/>
          </w:cols>
          <w:pgMar w:left="240" w:top="455" w:right="4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220" w:type="dxa"/>
        <w:tblCellMar>
          <w:top w:w="0" w:type="dxa"/>
          <w:left w:w="0" w:type="dxa"/>
          <w:bottom w:w="0" w:type="dxa"/>
          <w:right w:w="0" w:type="dxa"/>
        </w:tblCellMar>
      </w:tblPr>
      <w:tr>
        <w:trPr>
          <w:trHeight w:val="206"/>
        </w:trPr>
        <w:tc>
          <w:tcPr>
            <w:tcW w:w="35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5440" w:type="dxa"/>
            <w:vAlign w:val="bottom"/>
          </w:tcPr>
          <w:p>
            <w:pPr>
              <w:ind w:left="3880"/>
              <w:spacing w:after="0"/>
              <w:rPr>
                <w:sz w:val="20"/>
                <w:szCs w:val="20"/>
                <w:color w:val="auto"/>
              </w:rPr>
            </w:pPr>
            <w:r>
              <w:rPr>
                <w:rFonts w:ascii="Arial" w:cs="Arial" w:eastAsia="Arial" w:hAnsi="Arial"/>
                <w:sz w:val="15"/>
                <w:szCs w:val="15"/>
                <w:color w:val="7F7F7F"/>
              </w:rPr>
              <w:t>Corporate Governance</w:t>
            </w:r>
          </w:p>
        </w:tc>
        <w:tc>
          <w:tcPr>
            <w:tcW w:w="0" w:type="dxa"/>
            <w:vAlign w:val="bottom"/>
          </w:tcPr>
          <w:p>
            <w:pPr>
              <w:spacing w:after="0"/>
              <w:rPr>
                <w:sz w:val="1"/>
                <w:szCs w:val="1"/>
                <w:color w:val="auto"/>
              </w:rPr>
            </w:pPr>
          </w:p>
        </w:tc>
      </w:tr>
      <w:tr>
        <w:trPr>
          <w:trHeight w:val="33"/>
        </w:trPr>
        <w:tc>
          <w:tcPr>
            <w:tcW w:w="3540" w:type="dxa"/>
            <w:vAlign w:val="bottom"/>
            <w:tcBorders>
              <w:bottom w:val="single" w:sz="8" w:color="998C87"/>
            </w:tcBorders>
          </w:tcPr>
          <w:p>
            <w:pPr>
              <w:spacing w:after="0"/>
              <w:rPr>
                <w:sz w:val="2"/>
                <w:szCs w:val="2"/>
                <w:color w:val="auto"/>
              </w:rPr>
            </w:pPr>
          </w:p>
        </w:tc>
        <w:tc>
          <w:tcPr>
            <w:tcW w:w="2020" w:type="dxa"/>
            <w:vAlign w:val="bottom"/>
            <w:tcBorders>
              <w:bottom w:val="single" w:sz="8" w:color="998C87"/>
            </w:tcBorders>
          </w:tcPr>
          <w:p>
            <w:pPr>
              <w:spacing w:after="0"/>
              <w:rPr>
                <w:sz w:val="2"/>
                <w:szCs w:val="2"/>
                <w:color w:val="auto"/>
              </w:rPr>
            </w:pPr>
          </w:p>
        </w:tc>
        <w:tc>
          <w:tcPr>
            <w:tcW w:w="5440" w:type="dxa"/>
            <w:vAlign w:val="bottom"/>
            <w:tcBorders>
              <w:bottom w:val="single" w:sz="8" w:color="998C87"/>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5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540" w:type="dxa"/>
            <w:vAlign w:val="bottom"/>
            <w:shd w:val="clear" w:color="auto" w:fill="998C87"/>
          </w:tcPr>
          <w:p>
            <w:pPr>
              <w:ind w:left="100"/>
              <w:spacing w:after="0"/>
              <w:rPr>
                <w:sz w:val="20"/>
                <w:szCs w:val="20"/>
                <w:color w:val="auto"/>
              </w:rPr>
            </w:pPr>
            <w:r>
              <w:rPr>
                <w:rFonts w:ascii="Arial" w:cs="Arial" w:eastAsia="Arial" w:hAnsi="Arial"/>
                <w:sz w:val="18"/>
                <w:szCs w:val="18"/>
                <w:b w:val="1"/>
                <w:bCs w:val="1"/>
                <w:color w:val="FFFFFF"/>
              </w:rPr>
              <w:t>Susan C. Schwab</w:t>
            </w:r>
          </w:p>
        </w:tc>
        <w:tc>
          <w:tcPr>
            <w:tcW w:w="2020" w:type="dxa"/>
            <w:vAlign w:val="bottom"/>
            <w:shd w:val="clear" w:color="auto" w:fill="998C87"/>
          </w:tcPr>
          <w:p>
            <w:pPr>
              <w:ind w:left="340"/>
              <w:spacing w:after="0"/>
              <w:rPr>
                <w:sz w:val="20"/>
                <w:szCs w:val="20"/>
                <w:color w:val="auto"/>
              </w:rPr>
            </w:pPr>
            <w:r>
              <w:rPr>
                <w:rFonts w:ascii="Arial" w:cs="Arial" w:eastAsia="Arial" w:hAnsi="Arial"/>
                <w:sz w:val="15"/>
                <w:szCs w:val="15"/>
                <w:b w:val="1"/>
                <w:bCs w:val="1"/>
                <w:color w:val="FFFFFF"/>
              </w:rPr>
              <w:t>Age: 63</w:t>
            </w:r>
          </w:p>
        </w:tc>
        <w:tc>
          <w:tcPr>
            <w:tcW w:w="5440" w:type="dxa"/>
            <w:vAlign w:val="bottom"/>
            <w:shd w:val="clear" w:color="auto" w:fill="998C87"/>
          </w:tcPr>
          <w:p>
            <w:pPr>
              <w:ind w:left="1140"/>
              <w:spacing w:after="0"/>
              <w:rPr>
                <w:sz w:val="20"/>
                <w:szCs w:val="20"/>
                <w:color w:val="auto"/>
              </w:rPr>
            </w:pPr>
            <w:r>
              <w:rPr>
                <w:rFonts w:ascii="Arial" w:cs="Arial" w:eastAsia="Arial" w:hAnsi="Arial"/>
                <w:sz w:val="15"/>
                <w:szCs w:val="15"/>
                <w:b w:val="1"/>
                <w:bCs w:val="1"/>
                <w:color w:val="FFFFFF"/>
              </w:rPr>
              <w:t>Director since: 2015</w:t>
            </w:r>
          </w:p>
        </w:tc>
        <w:tc>
          <w:tcPr>
            <w:tcW w:w="0" w:type="dxa"/>
            <w:vAlign w:val="bottom"/>
          </w:tcPr>
          <w:p>
            <w:pPr>
              <w:spacing w:after="0"/>
              <w:rPr>
                <w:sz w:val="1"/>
                <w:szCs w:val="1"/>
                <w:color w:val="auto"/>
              </w:rPr>
            </w:pPr>
          </w:p>
        </w:tc>
      </w:tr>
      <w:tr>
        <w:trPr>
          <w:trHeight w:val="174"/>
        </w:trPr>
        <w:tc>
          <w:tcPr>
            <w:tcW w:w="3540" w:type="dxa"/>
            <w:vAlign w:val="bottom"/>
            <w:vMerge w:val="restart"/>
          </w:tcPr>
          <w:p>
            <w:pPr>
              <w:ind w:left="1680"/>
              <w:spacing w:after="0"/>
              <w:rPr>
                <w:sz w:val="20"/>
                <w:szCs w:val="20"/>
                <w:color w:val="auto"/>
              </w:rPr>
            </w:pPr>
            <w:r>
              <w:rPr>
                <w:rFonts w:ascii="Arial" w:cs="Arial" w:eastAsia="Arial" w:hAnsi="Arial"/>
                <w:sz w:val="14"/>
                <w:szCs w:val="14"/>
                <w:b w:val="1"/>
                <w:bCs w:val="1"/>
                <w:color w:val="998C87"/>
              </w:rPr>
              <w:t>Professor, University</w:t>
            </w:r>
          </w:p>
        </w:tc>
        <w:tc>
          <w:tcPr>
            <w:tcW w:w="7460" w:type="dxa"/>
            <w:vAlign w:val="bottom"/>
            <w:gridSpan w:val="2"/>
          </w:tcPr>
          <w:p>
            <w:pPr>
              <w:ind w:left="340"/>
              <w:spacing w:after="0" w:line="174" w:lineRule="exact"/>
              <w:rPr>
                <w:sz w:val="20"/>
                <w:szCs w:val="20"/>
                <w:color w:val="auto"/>
              </w:rPr>
            </w:pPr>
            <w:r>
              <w:rPr>
                <w:rFonts w:ascii="Arial" w:cs="Arial" w:eastAsia="Arial" w:hAnsi="Arial"/>
                <w:sz w:val="17"/>
                <w:szCs w:val="17"/>
                <w:color w:val="auto"/>
              </w:rPr>
              <w:t>Ambassador Schwab has been a Professor at the University of Maryland School of Public</w:t>
            </w:r>
          </w:p>
        </w:tc>
        <w:tc>
          <w:tcPr>
            <w:tcW w:w="0" w:type="dxa"/>
            <w:vAlign w:val="bottom"/>
          </w:tcPr>
          <w:p>
            <w:pPr>
              <w:spacing w:after="0"/>
              <w:rPr>
                <w:sz w:val="1"/>
                <w:szCs w:val="1"/>
                <w:color w:val="auto"/>
              </w:rPr>
            </w:pPr>
          </w:p>
        </w:tc>
      </w:tr>
      <w:tr>
        <w:trPr>
          <w:trHeight w:val="53"/>
        </w:trPr>
        <w:tc>
          <w:tcPr>
            <w:tcW w:w="3540" w:type="dxa"/>
            <w:vAlign w:val="bottom"/>
            <w:vMerge w:val="continue"/>
          </w:tcPr>
          <w:p>
            <w:pPr>
              <w:spacing w:after="0"/>
              <w:rPr>
                <w:sz w:val="4"/>
                <w:szCs w:val="4"/>
                <w:color w:val="auto"/>
              </w:rPr>
            </w:pPr>
          </w:p>
        </w:tc>
        <w:tc>
          <w:tcPr>
            <w:tcW w:w="7460" w:type="dxa"/>
            <w:vAlign w:val="bottom"/>
            <w:gridSpan w:val="2"/>
            <w:vMerge w:val="restart"/>
          </w:tcPr>
          <w:p>
            <w:pPr>
              <w:ind w:left="340"/>
              <w:spacing w:after="0"/>
              <w:rPr>
                <w:sz w:val="20"/>
                <w:szCs w:val="20"/>
                <w:color w:val="auto"/>
              </w:rPr>
            </w:pPr>
            <w:r>
              <w:rPr>
                <w:rFonts w:ascii="Arial" w:cs="Arial" w:eastAsia="Arial" w:hAnsi="Arial"/>
                <w:sz w:val="17"/>
                <w:szCs w:val="17"/>
                <w:color w:val="auto"/>
              </w:rPr>
              <w:t>Policy since January 2009 and a strategic advisor to Mayer Brown, LLP (global law firm)</w:t>
            </w:r>
          </w:p>
        </w:tc>
        <w:tc>
          <w:tcPr>
            <w:tcW w:w="0" w:type="dxa"/>
            <w:vAlign w:val="bottom"/>
          </w:tcPr>
          <w:p>
            <w:pPr>
              <w:spacing w:after="0"/>
              <w:rPr>
                <w:sz w:val="1"/>
                <w:szCs w:val="1"/>
                <w:color w:val="auto"/>
              </w:rPr>
            </w:pPr>
          </w:p>
        </w:tc>
      </w:tr>
      <w:tr>
        <w:trPr>
          <w:trHeight w:val="150"/>
        </w:trPr>
        <w:tc>
          <w:tcPr>
            <w:tcW w:w="3540" w:type="dxa"/>
            <w:vAlign w:val="bottom"/>
          </w:tcPr>
          <w:p>
            <w:pPr>
              <w:ind w:left="1680"/>
              <w:spacing w:after="0" w:line="150" w:lineRule="exact"/>
              <w:rPr>
                <w:sz w:val="20"/>
                <w:szCs w:val="20"/>
                <w:color w:val="auto"/>
              </w:rPr>
            </w:pPr>
            <w:r>
              <w:rPr>
                <w:rFonts w:ascii="Arial" w:cs="Arial" w:eastAsia="Arial" w:hAnsi="Arial"/>
                <w:sz w:val="14"/>
                <w:szCs w:val="14"/>
                <w:b w:val="1"/>
                <w:bCs w:val="1"/>
                <w:color w:val="998C87"/>
              </w:rPr>
              <w:t>of Maryland School of</w:t>
            </w:r>
          </w:p>
        </w:tc>
        <w:tc>
          <w:tcPr>
            <w:tcW w:w="7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540" w:type="dxa"/>
            <w:vAlign w:val="bottom"/>
          </w:tcPr>
          <w:p>
            <w:pPr>
              <w:ind w:left="1680"/>
              <w:spacing w:after="0"/>
              <w:rPr>
                <w:sz w:val="20"/>
                <w:szCs w:val="20"/>
                <w:color w:val="auto"/>
              </w:rPr>
            </w:pPr>
            <w:r>
              <w:rPr>
                <w:rFonts w:ascii="Arial" w:cs="Arial" w:eastAsia="Arial" w:hAnsi="Arial"/>
                <w:sz w:val="14"/>
                <w:szCs w:val="14"/>
                <w:b w:val="1"/>
                <w:bCs w:val="1"/>
                <w:color w:val="998C87"/>
              </w:rPr>
              <w:t>Public Policy</w:t>
            </w:r>
          </w:p>
        </w:tc>
        <w:tc>
          <w:tcPr>
            <w:tcW w:w="7460" w:type="dxa"/>
            <w:vAlign w:val="bottom"/>
            <w:gridSpan w:val="2"/>
          </w:tcPr>
          <w:p>
            <w:pPr>
              <w:ind w:left="340"/>
              <w:spacing w:after="0"/>
              <w:rPr>
                <w:sz w:val="20"/>
                <w:szCs w:val="20"/>
                <w:color w:val="auto"/>
              </w:rPr>
            </w:pPr>
            <w:r>
              <w:rPr>
                <w:rFonts w:ascii="Arial" w:cs="Arial" w:eastAsia="Arial" w:hAnsi="Arial"/>
                <w:sz w:val="17"/>
                <w:szCs w:val="17"/>
                <w:color w:val="auto"/>
              </w:rPr>
              <w:t>since March 2010. She served as U.S. Trade Representative from June 2006 to January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-372110</wp:posOffset>
            </wp:positionV>
            <wp:extent cx="6989445" cy="13703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89445" cy="1370330"/>
                    </a:xfrm>
                    <a:prstGeom prst="rect">
                      <a:avLst/>
                    </a:prstGeom>
                    <a:noFill/>
                  </pic:spPr>
                </pic:pic>
              </a:graphicData>
            </a:graphic>
          </wp:anchor>
        </w:drawing>
      </w:r>
    </w:p>
    <w:p>
      <w:pPr>
        <w:ind w:left="4100" w:right="260"/>
        <w:spacing w:after="0" w:line="234" w:lineRule="auto"/>
        <w:rPr>
          <w:sz w:val="20"/>
          <w:szCs w:val="20"/>
          <w:color w:val="auto"/>
        </w:rPr>
      </w:pPr>
      <w:r>
        <w:rPr>
          <w:rFonts w:ascii="Arial" w:cs="Arial" w:eastAsia="Arial" w:hAnsi="Arial"/>
          <w:sz w:val="17"/>
          <w:szCs w:val="17"/>
          <w:color w:val="auto"/>
        </w:rPr>
        <w:t>2009 and as Deputy U.S. Trade Representative from October 2005 to June 2006. Prior to her service as Deputy U.S. Trade Representative, Ambassador Schwab served as President and Chief Executive Officer of the University System of Maryland Foundation from June 2004 to October 2005, as a consultant for the U.S. Department of Treasury from July 2003 to December 2003 and as Dean of the University of Maryland School of Public Policy from July 1995 to July 2003. Ambassador Schwab also serves on the board of directors of The Boeing Company, Caterpillar Inc. and FedEx Corporation. She joined the Board in 2015.</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998C87"/>
        </w:rPr>
        <w:t>Professional Highlights:</w:t>
      </w:r>
    </w:p>
    <w:p>
      <w:pPr>
        <w:spacing w:after="0" w:line="103" w:lineRule="exact"/>
        <w:rPr>
          <w:sz w:val="20"/>
          <w:szCs w:val="20"/>
          <w:color w:val="auto"/>
        </w:rPr>
      </w:pPr>
    </w:p>
    <w:p>
      <w:pPr>
        <w:ind w:left="220" w:right="20"/>
        <w:spacing w:after="0"/>
        <w:rPr>
          <w:sz w:val="20"/>
          <w:szCs w:val="20"/>
          <w:color w:val="auto"/>
        </w:rPr>
      </w:pPr>
      <w:r>
        <w:rPr>
          <w:rFonts w:ascii="Arial" w:cs="Arial" w:eastAsia="Arial" w:hAnsi="Arial"/>
          <w:sz w:val="17"/>
          <w:szCs w:val="17"/>
          <w:color w:val="auto"/>
        </w:rPr>
        <w:t>Ambassador Schwab brings unique global and governmental perspectives to the Board’s deliberations. Her extensive experience leading large international trade negotiations positions her well to advise her fellow directors and our senior management on a wide range of key global issues facing the Company. Ambassador Schwab’s experience in the U.S. Government also allows her to advise the Company on the many challenges and opportunities that relate to government relations. As a result of Ambassador Schwab’s prior business experience and current service on other Fortune 100 corporate boards, she brings expertise to the Board, our Compensation Policy Committee and our Finance Committee on a wide range of strategic, operational, corporate governance and compensation matters.</w:t>
      </w:r>
    </w:p>
    <w:p>
      <w:pPr>
        <w:spacing w:after="0" w:line="231" w:lineRule="exact"/>
        <w:rPr>
          <w:sz w:val="20"/>
          <w:szCs w:val="20"/>
          <w:color w:val="auto"/>
        </w:rPr>
      </w:pPr>
    </w:p>
    <w:tbl>
      <w:tblPr>
        <w:tblLayout w:type="fixed"/>
        <w:tblInd w:w="220" w:type="dxa"/>
        <w:tblCellMar>
          <w:top w:w="0" w:type="dxa"/>
          <w:left w:w="0" w:type="dxa"/>
          <w:bottom w:w="0" w:type="dxa"/>
          <w:right w:w="0" w:type="dxa"/>
        </w:tblCellMar>
      </w:tblPr>
      <w:tr>
        <w:trPr>
          <w:trHeight w:val="256"/>
        </w:trPr>
        <w:tc>
          <w:tcPr>
            <w:tcW w:w="3460" w:type="dxa"/>
            <w:vAlign w:val="bottom"/>
            <w:shd w:val="clear" w:color="auto" w:fill="998C87"/>
          </w:tcPr>
          <w:p>
            <w:pPr>
              <w:ind w:left="80"/>
              <w:spacing w:after="0"/>
              <w:rPr>
                <w:sz w:val="20"/>
                <w:szCs w:val="20"/>
                <w:color w:val="auto"/>
              </w:rPr>
            </w:pPr>
            <w:r>
              <w:rPr>
                <w:rFonts w:ascii="Arial" w:cs="Arial" w:eastAsia="Arial" w:hAnsi="Arial"/>
                <w:sz w:val="18"/>
                <w:szCs w:val="18"/>
                <w:b w:val="1"/>
                <w:bCs w:val="1"/>
                <w:color w:val="FFFFFF"/>
              </w:rPr>
              <w:t>Arne M. Sorenson</w:t>
            </w:r>
          </w:p>
        </w:tc>
        <w:tc>
          <w:tcPr>
            <w:tcW w:w="2140" w:type="dxa"/>
            <w:vAlign w:val="bottom"/>
            <w:shd w:val="clear" w:color="auto" w:fill="998C87"/>
          </w:tcPr>
          <w:p>
            <w:pPr>
              <w:ind w:left="460"/>
              <w:spacing w:after="0"/>
              <w:rPr>
                <w:sz w:val="20"/>
                <w:szCs w:val="20"/>
                <w:color w:val="auto"/>
              </w:rPr>
            </w:pPr>
            <w:r>
              <w:rPr>
                <w:rFonts w:ascii="Arial" w:cs="Arial" w:eastAsia="Arial" w:hAnsi="Arial"/>
                <w:sz w:val="15"/>
                <w:szCs w:val="15"/>
                <w:b w:val="1"/>
                <w:bCs w:val="1"/>
                <w:color w:val="FFFFFF"/>
              </w:rPr>
              <w:t>Age: 59</w:t>
            </w:r>
          </w:p>
        </w:tc>
        <w:tc>
          <w:tcPr>
            <w:tcW w:w="5400" w:type="dxa"/>
            <w:vAlign w:val="bottom"/>
            <w:shd w:val="clear" w:color="auto" w:fill="998C87"/>
          </w:tcPr>
          <w:p>
            <w:pPr>
              <w:ind w:left="1120"/>
              <w:spacing w:after="0"/>
              <w:rPr>
                <w:sz w:val="20"/>
                <w:szCs w:val="20"/>
                <w:color w:val="auto"/>
              </w:rPr>
            </w:pPr>
            <w:r>
              <w:rPr>
                <w:rFonts w:ascii="Arial" w:cs="Arial" w:eastAsia="Arial" w:hAnsi="Arial"/>
                <w:sz w:val="15"/>
                <w:szCs w:val="15"/>
                <w:b w:val="1"/>
                <w:bCs w:val="1"/>
                <w:color w:val="FFFFFF"/>
              </w:rPr>
              <w:t>Director since: 2011</w:t>
            </w:r>
          </w:p>
        </w:tc>
        <w:tc>
          <w:tcPr>
            <w:tcW w:w="0" w:type="dxa"/>
            <w:vAlign w:val="bottom"/>
          </w:tcPr>
          <w:p>
            <w:pPr>
              <w:spacing w:after="0"/>
              <w:rPr>
                <w:sz w:val="1"/>
                <w:szCs w:val="1"/>
                <w:color w:val="auto"/>
              </w:rPr>
            </w:pPr>
          </w:p>
        </w:tc>
      </w:tr>
      <w:tr>
        <w:trPr>
          <w:trHeight w:val="174"/>
        </w:trPr>
        <w:tc>
          <w:tcPr>
            <w:tcW w:w="3460" w:type="dxa"/>
            <w:vAlign w:val="bottom"/>
            <w:vMerge w:val="restart"/>
          </w:tcPr>
          <w:p>
            <w:pPr>
              <w:ind w:left="1660"/>
              <w:spacing w:after="0"/>
              <w:rPr>
                <w:sz w:val="20"/>
                <w:szCs w:val="20"/>
                <w:color w:val="auto"/>
              </w:rPr>
            </w:pPr>
            <w:r>
              <w:rPr>
                <w:rFonts w:ascii="Arial" w:cs="Arial" w:eastAsia="Arial" w:hAnsi="Arial"/>
                <w:sz w:val="14"/>
                <w:szCs w:val="14"/>
                <w:b w:val="1"/>
                <w:bCs w:val="1"/>
                <w:color w:val="998C87"/>
              </w:rPr>
              <w:t>President and Chief</w:t>
            </w:r>
          </w:p>
        </w:tc>
        <w:tc>
          <w:tcPr>
            <w:tcW w:w="7540" w:type="dxa"/>
            <w:vAlign w:val="bottom"/>
            <w:gridSpan w:val="2"/>
          </w:tcPr>
          <w:p>
            <w:pPr>
              <w:ind w:left="460"/>
              <w:spacing w:after="0" w:line="174" w:lineRule="exact"/>
              <w:rPr>
                <w:sz w:val="20"/>
                <w:szCs w:val="20"/>
                <w:color w:val="auto"/>
              </w:rPr>
            </w:pPr>
            <w:r>
              <w:rPr>
                <w:rFonts w:ascii="Arial" w:cs="Arial" w:eastAsia="Arial" w:hAnsi="Arial"/>
                <w:sz w:val="17"/>
                <w:szCs w:val="17"/>
                <w:color w:val="auto"/>
              </w:rPr>
              <w:t>Mr. Sorenson became President and Chief Executive Officer of the Company on March 31,</w:t>
            </w:r>
          </w:p>
        </w:tc>
        <w:tc>
          <w:tcPr>
            <w:tcW w:w="0" w:type="dxa"/>
            <w:vAlign w:val="bottom"/>
          </w:tcPr>
          <w:p>
            <w:pPr>
              <w:spacing w:after="0"/>
              <w:rPr>
                <w:sz w:val="1"/>
                <w:szCs w:val="1"/>
                <w:color w:val="auto"/>
              </w:rPr>
            </w:pPr>
          </w:p>
        </w:tc>
      </w:tr>
      <w:tr>
        <w:trPr>
          <w:trHeight w:val="53"/>
        </w:trPr>
        <w:tc>
          <w:tcPr>
            <w:tcW w:w="3460" w:type="dxa"/>
            <w:vAlign w:val="bottom"/>
            <w:vMerge w:val="continue"/>
          </w:tcPr>
          <w:p>
            <w:pPr>
              <w:spacing w:after="0"/>
              <w:rPr>
                <w:sz w:val="4"/>
                <w:szCs w:val="4"/>
                <w:color w:val="auto"/>
              </w:rPr>
            </w:pPr>
          </w:p>
        </w:tc>
        <w:tc>
          <w:tcPr>
            <w:tcW w:w="7540" w:type="dxa"/>
            <w:vAlign w:val="bottom"/>
            <w:gridSpan w:val="2"/>
            <w:vMerge w:val="restart"/>
          </w:tcPr>
          <w:p>
            <w:pPr>
              <w:ind w:left="460"/>
              <w:spacing w:after="0"/>
              <w:rPr>
                <w:sz w:val="20"/>
                <w:szCs w:val="20"/>
                <w:color w:val="auto"/>
              </w:rPr>
            </w:pPr>
            <w:r>
              <w:rPr>
                <w:rFonts w:ascii="Arial" w:cs="Arial" w:eastAsia="Arial" w:hAnsi="Arial"/>
                <w:sz w:val="17"/>
                <w:szCs w:val="17"/>
                <w:color w:val="auto"/>
              </w:rPr>
              <w:t>2012. Prior to that, he was President and Chief Operating Officer of the Company since</w:t>
            </w:r>
          </w:p>
        </w:tc>
        <w:tc>
          <w:tcPr>
            <w:tcW w:w="0" w:type="dxa"/>
            <w:vAlign w:val="bottom"/>
          </w:tcPr>
          <w:p>
            <w:pPr>
              <w:spacing w:after="0"/>
              <w:rPr>
                <w:sz w:val="1"/>
                <w:szCs w:val="1"/>
                <w:color w:val="auto"/>
              </w:rPr>
            </w:pPr>
          </w:p>
        </w:tc>
      </w:tr>
      <w:tr>
        <w:trPr>
          <w:trHeight w:val="157"/>
        </w:trPr>
        <w:tc>
          <w:tcPr>
            <w:tcW w:w="3460" w:type="dxa"/>
            <w:vAlign w:val="bottom"/>
          </w:tcPr>
          <w:p>
            <w:pPr>
              <w:ind w:left="1660"/>
              <w:spacing w:after="0" w:line="157" w:lineRule="exact"/>
              <w:rPr>
                <w:sz w:val="20"/>
                <w:szCs w:val="20"/>
                <w:color w:val="auto"/>
              </w:rPr>
            </w:pPr>
            <w:r>
              <w:rPr>
                <w:rFonts w:ascii="Arial" w:cs="Arial" w:eastAsia="Arial" w:hAnsi="Arial"/>
                <w:sz w:val="14"/>
                <w:szCs w:val="14"/>
                <w:b w:val="1"/>
                <w:bCs w:val="1"/>
                <w:color w:val="998C87"/>
              </w:rPr>
              <w:t>Executive Officer</w:t>
            </w:r>
          </w:p>
        </w:tc>
        <w:tc>
          <w:tcPr>
            <w:tcW w:w="75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-252730</wp:posOffset>
            </wp:positionV>
            <wp:extent cx="6989445" cy="18503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89445" cy="1850390"/>
                    </a:xfrm>
                    <a:prstGeom prst="rect">
                      <a:avLst/>
                    </a:prstGeom>
                    <a:noFill/>
                  </pic:spPr>
                </pic:pic>
              </a:graphicData>
            </a:graphic>
          </wp:anchor>
        </w:drawing>
      </w:r>
    </w:p>
    <w:p>
      <w:pPr>
        <w:ind w:left="4140" w:right="280"/>
        <w:spacing w:after="0" w:line="233" w:lineRule="auto"/>
        <w:rPr>
          <w:sz w:val="20"/>
          <w:szCs w:val="20"/>
          <w:color w:val="auto"/>
        </w:rPr>
      </w:pPr>
      <w:r>
        <w:rPr>
          <w:rFonts w:ascii="Arial" w:cs="Arial" w:eastAsia="Arial" w:hAnsi="Arial"/>
          <w:sz w:val="17"/>
          <w:szCs w:val="17"/>
          <w:color w:val="auto"/>
        </w:rPr>
        <w:t>May 2009. Mr. Sorenson joined Marriott in 1996 as Senior Vice President of Business Development and was appointed Executive Vice President and Chief Financial Officer in 1998, and assumed the additional title of President, Continental European Lodging, in January 2003. Prior to joining Marriott, he was a Partner in the law firm of Latham &amp; Watkins in Washington, D.C. He served on the board of directors of Walmart, Inc. from 2008 to 2013. In addition, Mr. Sorenson served as Vice Chair of the President’s Export Council. He is the immediate past Board Chair for Brand USA and continues as a member of the board. Other affiliations include: Chair, U.S. Travel Association CEO Roundtable; member of the Business Roundtable; member of the Luther College Board of Regents; member of the Stewardship Board of the World Economic Forum System Initiative on Shaping the Future of Mobility; and member of the Board of Trustees for The Brookings Institution. Mr. Sorenson was elected to the board of directors of Microsoft Corporation in November 2017. He was appointed to the Board of Directors in February 2011.</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998C87"/>
        </w:rPr>
        <w:t>Professional Highlights:</w:t>
      </w:r>
    </w:p>
    <w:p>
      <w:pPr>
        <w:spacing w:after="0" w:line="49" w:lineRule="exact"/>
        <w:rPr>
          <w:sz w:val="20"/>
          <w:szCs w:val="20"/>
          <w:color w:val="auto"/>
        </w:rPr>
      </w:pPr>
    </w:p>
    <w:p>
      <w:pPr>
        <w:ind w:left="220" w:right="40"/>
        <w:spacing w:after="0" w:line="253" w:lineRule="auto"/>
        <w:rPr>
          <w:sz w:val="20"/>
          <w:szCs w:val="20"/>
          <w:color w:val="auto"/>
        </w:rPr>
      </w:pPr>
      <w:r>
        <w:rPr>
          <w:rFonts w:ascii="Arial" w:cs="Arial" w:eastAsia="Arial" w:hAnsi="Arial"/>
          <w:sz w:val="17"/>
          <w:szCs w:val="17"/>
          <w:color w:val="auto"/>
        </w:rPr>
        <w:t>Mr. Sorenson brings to the Board, our Committee for Excellence and our Executive Committee extensive management experience with the Company, his prominent status in the hospitality industry and a wealth of knowledge in dealing with financial and accounting matters as a result of his prior service as the Company’s Chief Financial Officer.</w:t>
      </w:r>
    </w:p>
    <w:p>
      <w:pPr>
        <w:spacing w:after="0" w:line="102" w:lineRule="exact"/>
        <w:rPr>
          <w:sz w:val="20"/>
          <w:szCs w:val="20"/>
          <w:color w:val="auto"/>
        </w:rPr>
      </w:pPr>
    </w:p>
    <w:tbl>
      <w:tblPr>
        <w:tblLayout w:type="fixed"/>
        <w:tblInd w:w="9180" w:type="dxa"/>
        <w:tblCellMar>
          <w:top w:w="0" w:type="dxa"/>
          <w:left w:w="0" w:type="dxa"/>
          <w:bottom w:w="0" w:type="dxa"/>
          <w:right w:w="0" w:type="dxa"/>
        </w:tblCellMar>
      </w:tblPr>
      <w:tr>
        <w:trPr>
          <w:trHeight w:val="214"/>
        </w:trPr>
        <w:tc>
          <w:tcPr>
            <w:tcW w:w="1660" w:type="dxa"/>
            <w:vAlign w:val="bottom"/>
          </w:tcPr>
          <w:p>
            <w:pPr>
              <w:spacing w:after="0"/>
              <w:rPr>
                <w:sz w:val="20"/>
                <w:szCs w:val="20"/>
                <w:color w:val="auto"/>
              </w:rPr>
            </w:pPr>
            <w:r>
              <w:rPr>
                <w:rFonts w:ascii="Arial" w:cs="Arial" w:eastAsia="Arial" w:hAnsi="Arial"/>
                <w:sz w:val="15"/>
                <w:szCs w:val="15"/>
                <w:color w:val="998C87"/>
              </w:rPr>
              <w:t>2018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25</w:t>
            </w:r>
          </w:p>
        </w:tc>
      </w:tr>
    </w:tbl>
    <w:p>
      <w:pPr>
        <w:sectPr>
          <w:pgSz w:w="11900" w:h="16838" w:orient="portrait"/>
          <w:cols w:equalWidth="0" w:num="1">
            <w:col w:w="11220"/>
          </w:cols>
          <w:pgMar w:left="240" w:top="455" w:right="4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998C87"/>
        </w:rPr>
        <w:t>Directors Emeriti:</w:t>
      </w:r>
    </w:p>
    <w:p>
      <w:pPr>
        <w:spacing w:after="0" w:line="47" w:lineRule="exact"/>
        <w:rPr>
          <w:sz w:val="20"/>
          <w:szCs w:val="20"/>
          <w:color w:val="auto"/>
        </w:rPr>
      </w:pPr>
    </w:p>
    <w:p>
      <w:pPr>
        <w:ind w:left="220" w:right="760"/>
        <w:spacing w:after="0" w:line="277" w:lineRule="auto"/>
        <w:rPr>
          <w:sz w:val="20"/>
          <w:szCs w:val="20"/>
          <w:color w:val="auto"/>
        </w:rPr>
      </w:pPr>
      <w:r>
        <w:rPr>
          <w:rFonts w:ascii="Arial" w:cs="Arial" w:eastAsia="Arial" w:hAnsi="Arial"/>
          <w:sz w:val="17"/>
          <w:szCs w:val="17"/>
          <w:b w:val="1"/>
          <w:bCs w:val="1"/>
          <w:color w:val="998C87"/>
        </w:rPr>
        <w:t xml:space="preserve">Sterling D. Colton, </w:t>
      </w:r>
      <w:r>
        <w:rPr>
          <w:rFonts w:ascii="Arial" w:cs="Arial" w:eastAsia="Arial" w:hAnsi="Arial"/>
          <w:sz w:val="17"/>
          <w:szCs w:val="17"/>
          <w:color w:val="000000"/>
        </w:rPr>
        <w:t>a former director of the Company’s predecessors, and</w:t>
      </w:r>
      <w:r>
        <w:rPr>
          <w:rFonts w:ascii="Arial" w:cs="Arial" w:eastAsia="Arial" w:hAnsi="Arial"/>
          <w:sz w:val="17"/>
          <w:szCs w:val="17"/>
          <w:b w:val="1"/>
          <w:bCs w:val="1"/>
          <w:color w:val="998C87"/>
        </w:rPr>
        <w:t xml:space="preserve"> William J. Shaw, </w:t>
      </w:r>
      <w:r>
        <w:rPr>
          <w:rFonts w:ascii="Arial" w:cs="Arial" w:eastAsia="Arial" w:hAnsi="Arial"/>
          <w:sz w:val="17"/>
          <w:szCs w:val="17"/>
          <w:color w:val="000000"/>
        </w:rPr>
        <w:t>a former director and Vice Chairman of the</w:t>
      </w:r>
      <w:r>
        <w:rPr>
          <w:rFonts w:ascii="Arial" w:cs="Arial" w:eastAsia="Arial" w:hAnsi="Arial"/>
          <w:sz w:val="17"/>
          <w:szCs w:val="17"/>
          <w:b w:val="1"/>
          <w:bCs w:val="1"/>
          <w:color w:val="998C87"/>
        </w:rPr>
        <w:t xml:space="preserve"> </w:t>
      </w:r>
      <w:r>
        <w:rPr>
          <w:rFonts w:ascii="Arial" w:cs="Arial" w:eastAsia="Arial" w:hAnsi="Arial"/>
          <w:sz w:val="17"/>
          <w:szCs w:val="17"/>
          <w:color w:val="000000"/>
        </w:rPr>
        <w:t>Company, both hold the title of director emeritus, but do not vote at or attend Board meetings and are not nominees for election.</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Board Meetings and Attendance</w:t>
      </w:r>
    </w:p>
    <w:p>
      <w:pPr>
        <w:spacing w:after="0" w:line="103" w:lineRule="exact"/>
        <w:rPr>
          <w:sz w:val="20"/>
          <w:szCs w:val="20"/>
          <w:color w:val="auto"/>
        </w:rPr>
      </w:pPr>
    </w:p>
    <w:p>
      <w:pPr>
        <w:ind w:left="220" w:right="20"/>
        <w:spacing w:after="0" w:line="253" w:lineRule="auto"/>
        <w:rPr>
          <w:sz w:val="20"/>
          <w:szCs w:val="20"/>
          <w:color w:val="auto"/>
        </w:rPr>
      </w:pPr>
      <w:r>
        <w:rPr>
          <w:rFonts w:ascii="Arial" w:cs="Arial" w:eastAsia="Arial" w:hAnsi="Arial"/>
          <w:sz w:val="17"/>
          <w:szCs w:val="17"/>
          <w:color w:val="auto"/>
        </w:rPr>
        <w:t>The Board met four times in fiscal year 2017. The Company encourages all directors to attend the annual meeting of stockholders. All 14 incumbent directors attended the Company’s 2017 annual meeting. During fiscal 2017, no director attended fewer than 75% of the total number of meetings of the Board and committees on which such director served.</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Governance Principles</w:t>
      </w:r>
    </w:p>
    <w:p>
      <w:pPr>
        <w:spacing w:after="0" w:line="103" w:lineRule="exact"/>
        <w:rPr>
          <w:sz w:val="20"/>
          <w:szCs w:val="20"/>
          <w:color w:val="auto"/>
        </w:rPr>
      </w:pPr>
    </w:p>
    <w:p>
      <w:pPr>
        <w:ind w:left="220" w:right="20"/>
        <w:spacing w:after="0" w:line="239" w:lineRule="auto"/>
        <w:rPr>
          <w:sz w:val="20"/>
          <w:szCs w:val="20"/>
          <w:color w:val="auto"/>
        </w:rPr>
      </w:pPr>
      <w:r>
        <w:rPr>
          <w:rFonts w:ascii="Arial" w:cs="Arial" w:eastAsia="Arial" w:hAnsi="Arial"/>
          <w:sz w:val="17"/>
          <w:szCs w:val="17"/>
          <w:color w:val="auto"/>
        </w:rPr>
        <w:t>The Board has adopted Governance Principles that provide a framework for our governance processes. The portion of our Governance Principles addressing director independence appears below, and the full text of the Governance Principles can be found in the Investor Relations section of the Company’s website (</w:t>
      </w:r>
      <w:r>
        <w:rPr>
          <w:rFonts w:ascii="Arial" w:cs="Arial" w:eastAsia="Arial" w:hAnsi="Arial"/>
          <w:sz w:val="17"/>
          <w:szCs w:val="17"/>
          <w:u w:val="single" w:color="auto"/>
          <w:color w:val="auto"/>
        </w:rPr>
        <w:t>www.marriott.com/investor</w:t>
      </w:r>
      <w:r>
        <w:rPr>
          <w:rFonts w:ascii="Arial" w:cs="Arial" w:eastAsia="Arial" w:hAnsi="Arial"/>
          <w:sz w:val="17"/>
          <w:szCs w:val="17"/>
          <w:color w:val="auto"/>
        </w:rPr>
        <w:t>) by clicking on “Governance” and then “Documents &amp; Charters.” You also may request a copy from the Company’s Corporate Secretary. Our Governance Principles establish the limit on the number of board memberships for the Company’s directors at three, including Marriott, for directors who are chief executive officers of public companies, and five for other directors. Additionally, our Governance Principles provide that members of our Audit Committee should not serve on more than three audit committees of public companies, including Marriott’s Audit Committee.</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Director Independence</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Our Governance Principles include the following standards for director independence:</w:t>
      </w:r>
    </w:p>
    <w:p>
      <w:pPr>
        <w:spacing w:after="0" w:line="99" w:lineRule="exact"/>
        <w:rPr>
          <w:sz w:val="20"/>
          <w:szCs w:val="20"/>
          <w:color w:val="auto"/>
        </w:rPr>
      </w:pPr>
    </w:p>
    <w:p>
      <w:pPr>
        <w:ind w:left="660" w:right="100" w:hanging="10"/>
        <w:spacing w:after="0"/>
        <w:tabs>
          <w:tab w:leader="none" w:pos="850" w:val="left"/>
        </w:tabs>
        <w:numPr>
          <w:ilvl w:val="0"/>
          <w:numId w:val="65"/>
        </w:numPr>
        <w:rPr>
          <w:rFonts w:ascii="Arial" w:cs="Arial" w:eastAsia="Arial" w:hAnsi="Arial"/>
          <w:sz w:val="17"/>
          <w:szCs w:val="17"/>
          <w:color w:val="auto"/>
        </w:rPr>
      </w:pPr>
      <w:r>
        <w:rPr>
          <w:rFonts w:ascii="Arial" w:cs="Arial" w:eastAsia="Arial" w:hAnsi="Arial"/>
          <w:sz w:val="17"/>
          <w:szCs w:val="17"/>
          <w:b w:val="1"/>
          <w:bCs w:val="1"/>
          <w:u w:val="single" w:color="auto"/>
          <w:color w:val="998C87"/>
        </w:rPr>
        <w:t>Independence of Directors</w:t>
      </w:r>
      <w:r>
        <w:rPr>
          <w:rFonts w:ascii="Arial" w:cs="Arial" w:eastAsia="Arial" w:hAnsi="Arial"/>
          <w:sz w:val="17"/>
          <w:szCs w:val="17"/>
          <w:color w:val="000000"/>
        </w:rPr>
        <w:t>. At least two-thirds of the directors shall be independent, provided that having fewer independent directors</w:t>
      </w:r>
      <w:r>
        <w:rPr>
          <w:rFonts w:ascii="Arial" w:cs="Arial" w:eastAsia="Arial" w:hAnsi="Arial"/>
          <w:sz w:val="17"/>
          <w:szCs w:val="17"/>
          <w:b w:val="1"/>
          <w:bCs w:val="1"/>
          <w:color w:val="998C87"/>
        </w:rPr>
        <w:t xml:space="preserve"> </w:t>
      </w:r>
      <w:r>
        <w:rPr>
          <w:rFonts w:ascii="Arial" w:cs="Arial" w:eastAsia="Arial" w:hAnsi="Arial"/>
          <w:sz w:val="17"/>
          <w:szCs w:val="17"/>
          <w:color w:val="000000"/>
        </w:rPr>
        <w:t>due to the departure, addition or change in independent status of one or more directors is permissible temporarily, so long as the two-thirds requirement is again satisfied by the later of the next annual meeting of stockholders or nine months. To be considered “independent,” the board must determine that a director has no relationship that would interfere with the exercise of independent judgment in carrying out the responsibilities of a director of Marriott. The board has established the guidelines set forth below to assist it in determining director independence. For the purpose of this section 5, references to “Marriott” include any of Marriott’s consolidated subsidiaries.</w:t>
      </w:r>
    </w:p>
    <w:p>
      <w:pPr>
        <w:spacing w:after="0" w:line="70" w:lineRule="exact"/>
        <w:rPr>
          <w:rFonts w:ascii="Arial" w:cs="Arial" w:eastAsia="Arial" w:hAnsi="Arial"/>
          <w:sz w:val="17"/>
          <w:szCs w:val="17"/>
          <w:color w:val="auto"/>
        </w:rPr>
      </w:pPr>
    </w:p>
    <w:p>
      <w:pPr>
        <w:ind w:left="1100" w:hanging="9"/>
        <w:spacing w:after="0" w:line="234" w:lineRule="auto"/>
        <w:tabs>
          <w:tab w:leader="none" w:pos="1290" w:val="left"/>
        </w:tabs>
        <w:numPr>
          <w:ilvl w:val="1"/>
          <w:numId w:val="65"/>
        </w:numPr>
        <w:rPr>
          <w:rFonts w:ascii="Arial" w:cs="Arial" w:eastAsia="Arial" w:hAnsi="Arial"/>
          <w:sz w:val="17"/>
          <w:szCs w:val="17"/>
          <w:color w:val="auto"/>
        </w:rPr>
      </w:pPr>
      <w:r>
        <w:rPr>
          <w:rFonts w:ascii="Arial" w:cs="Arial" w:eastAsia="Arial" w:hAnsi="Arial"/>
          <w:sz w:val="17"/>
          <w:szCs w:val="17"/>
          <w:color w:val="auto"/>
        </w:rPr>
        <w:t>A director is not independent if (i) the director is, or has been within the preceding three years, employed by Marriott; (ii) the director or an immediate family member is a current partner or employee of Marriott’s independent auditor, or was a partner or employee of Marriott’s independent auditor and worked on the audit of Marriott at any time during the past three years; (iii) an immediate family member of the director is, or has been within the preceding three years, employed by Marriott as an executive officer; (iv) the director or an immediate family member is, or has been within the preceding three years, part of an interlocking directorate in which the director or an immediate family member is employed as an executive officer of another company where at any time during the last three years an executive officer of Marriott at the same time serves on the compensation committee of that other company; (v) the director has accepted, or an immediate family member has accepted, during any 12-month period within the preceding three years, more than $120,000 in direct compensation from Marriott, other than compensation for board or board committee service, compensation paid to an immediate family member who is an employee (other than an executive officer) of Marriott, or benefits under a tax-qualified retirement plan, or non-discretionary compensation; (vi) the director or an immediate family member is an executive officer of a charitable organization to which Marriott made discretionary charitable contributions in the current or any of the last three fiscal years that exceed five percent of that organization’s consolidated gross revenues for that year, or $200,000, whichever is more; or (vii) the director or an immediate family member is a partner in, or a controlling stockholder or current executive officer of, any organization to which Marriott made, or from which Marriott received, payments for property or services in the current or any of the last three fiscal years that exceed five percent of the recipient’s consolidated gross revenues for that year, or $200,000, whichever is more, other than payments arising solely from investments in Marriott securities or payments under non-discretionary charitable contribution matching programs.</w:t>
      </w:r>
    </w:p>
    <w:p>
      <w:pPr>
        <w:spacing w:after="0" w:line="122" w:lineRule="exact"/>
        <w:rPr>
          <w:sz w:val="20"/>
          <w:szCs w:val="20"/>
          <w:color w:val="auto"/>
        </w:rPr>
      </w:pPr>
    </w:p>
    <w:p>
      <w:pPr>
        <w:ind w:left="540" w:hanging="330"/>
        <w:spacing w:after="0"/>
        <w:tabs>
          <w:tab w:leader="none" w:pos="540" w:val="left"/>
        </w:tabs>
        <w:numPr>
          <w:ilvl w:val="0"/>
          <w:numId w:val="66"/>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20"/>
          </w:cols>
          <w:pgMar w:left="240" w:top="455" w:right="4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b. The following commercial or charitable relationships are not relationships that would impair a Marriott director’s independence:</w:t>
      </w:r>
    </w:p>
    <w:p>
      <w:pPr>
        <w:spacing w:after="0" w:line="15" w:lineRule="exact"/>
        <w:rPr>
          <w:sz w:val="20"/>
          <w:szCs w:val="20"/>
          <w:color w:val="auto"/>
        </w:rPr>
      </w:pPr>
    </w:p>
    <w:p>
      <w:pPr>
        <w:ind w:left="1100" w:right="100" w:hanging="9"/>
        <w:spacing w:after="0" w:line="235" w:lineRule="auto"/>
        <w:tabs>
          <w:tab w:leader="none" w:pos="1299" w:val="left"/>
        </w:tabs>
        <w:numPr>
          <w:ilvl w:val="0"/>
          <w:numId w:val="67"/>
        </w:numPr>
        <w:rPr>
          <w:rFonts w:ascii="Arial" w:cs="Arial" w:eastAsia="Arial" w:hAnsi="Arial"/>
          <w:sz w:val="17"/>
          <w:szCs w:val="17"/>
          <w:color w:val="auto"/>
        </w:rPr>
      </w:pPr>
      <w:r>
        <w:rPr>
          <w:rFonts w:ascii="Arial" w:cs="Arial" w:eastAsia="Arial" w:hAnsi="Arial"/>
          <w:sz w:val="17"/>
          <w:szCs w:val="17"/>
          <w:color w:val="auto"/>
        </w:rPr>
        <w:t>service as an executive officer of another company which is indebted to Marriott, or to which Marriott is indebted, where the total amount of either company’s indebtedness to the other is less than two percent of the total consolidated assets of the other company; and (ii) service by a Marriott director or his or her immediate family member as director or trustee of a charitable organization, where Marriott’s discretionary charitable contributions to that organization are in an amount equal to or less than the greater of $200,000 or five percent of that organization’s consolidated gross annual revenues. The board annually reviews all commercial and charitable relationships of directors, and publishes whether directors previously identified as independent continue to satisfy the foregoing tests.</w:t>
      </w:r>
    </w:p>
    <w:p>
      <w:pPr>
        <w:spacing w:after="0" w:line="71" w:lineRule="exact"/>
        <w:rPr>
          <w:sz w:val="20"/>
          <w:szCs w:val="20"/>
          <w:color w:val="auto"/>
        </w:rPr>
      </w:pPr>
    </w:p>
    <w:p>
      <w:pPr>
        <w:ind w:left="1100" w:right="20"/>
        <w:spacing w:after="0" w:line="246" w:lineRule="auto"/>
        <w:rPr>
          <w:sz w:val="20"/>
          <w:szCs w:val="20"/>
          <w:color w:val="auto"/>
        </w:rPr>
      </w:pPr>
      <w:r>
        <w:rPr>
          <w:rFonts w:ascii="Arial" w:cs="Arial" w:eastAsia="Arial" w:hAnsi="Arial"/>
          <w:sz w:val="17"/>
          <w:szCs w:val="17"/>
          <w:color w:val="auto"/>
        </w:rPr>
        <w:t>c. For relationships not covered by the guidelines in paragraph (b) above, the determination of whether the relationship would interfere with the exercise of independent judgment in carrying out the responsibilities of a director of Marriott, and therefore whether the director would be independent, shall be made by the directors who satisfy the independence guidelines set forth in paragraphs (a) and (b) above.</w:t>
      </w:r>
    </w:p>
    <w:p>
      <w:pPr>
        <w:spacing w:after="0" w:line="62" w:lineRule="exact"/>
        <w:rPr>
          <w:sz w:val="20"/>
          <w:szCs w:val="20"/>
          <w:color w:val="auto"/>
        </w:rPr>
      </w:pPr>
    </w:p>
    <w:p>
      <w:pPr>
        <w:ind w:left="220" w:right="200"/>
        <w:spacing w:after="0" w:line="236" w:lineRule="auto"/>
        <w:rPr>
          <w:sz w:val="20"/>
          <w:szCs w:val="20"/>
          <w:color w:val="auto"/>
        </w:rPr>
      </w:pPr>
      <w:r>
        <w:rPr>
          <w:rFonts w:ascii="Arial" w:cs="Arial" w:eastAsia="Arial" w:hAnsi="Arial"/>
          <w:sz w:val="17"/>
          <w:szCs w:val="17"/>
          <w:color w:val="auto"/>
        </w:rPr>
        <w:t>The Board undertook its annual review of director independence in February 2018. As provided in the Governance Principles, the purpose of these reviews is to determine whether any relationships or transactions are inconsistent with a determination that the director or nominee is independent. During these reviews, the Board recognized the current employment of J.W. Marriott, Jr., Deborah M. Harrison, and Arne M. Sorenson and the family relationships of J.W. Marriott, Jr. and Deborah M. Harrison with other Company executives. The Board considered that Ms. Bush, Mr. Duncan, Mr. Henderson, Mr. Kellner, Ms. Lee, Mr. Lewis, Mr. Muñoz, Mr. Reinemund, and Ambassador Schwab each serve, or recently served, as directors or executive officers of companies that do business with Marriott and that, in each case, the payments to and from Marriott were significantly less than the thresholds in Marriott’s Governance Principles. The Board further considered that Ms. Bush, Ms. Lee, Gov. Romney and Ms. Schwab are affiliated with charitable organizations that received contributions from The J. Willard &amp; Alice S. Marriott Foundation and that the contribution amounts were significantly below the charitable contribution threshold set forth in Marriott’s Governance Principles.</w:t>
      </w:r>
    </w:p>
    <w:p>
      <w:pPr>
        <w:spacing w:after="0" w:line="74" w:lineRule="exact"/>
        <w:rPr>
          <w:sz w:val="20"/>
          <w:szCs w:val="20"/>
          <w:color w:val="auto"/>
        </w:rPr>
      </w:pPr>
    </w:p>
    <w:p>
      <w:pPr>
        <w:ind w:left="220" w:right="120"/>
        <w:spacing w:after="0" w:line="242" w:lineRule="auto"/>
        <w:rPr>
          <w:sz w:val="20"/>
          <w:szCs w:val="20"/>
          <w:color w:val="auto"/>
        </w:rPr>
      </w:pPr>
      <w:r>
        <w:rPr>
          <w:rFonts w:ascii="Arial" w:cs="Arial" w:eastAsia="Arial" w:hAnsi="Arial"/>
          <w:sz w:val="17"/>
          <w:szCs w:val="17"/>
          <w:color w:val="auto"/>
        </w:rPr>
        <w:t>Based on the standards set forth in the Governance Principles and after reviewing the relationships described above, the Board affirmatively determined that Mary K. Bush, Bruce W. Duncan, Frederick A. Henderson, Eric Hippeau, Lawrence W. Kellner, Debra L. Lee, Aylwin B. Lewis, George Muñoz, Steven S Reinemund, W. Mitt Romney, and Susan C. Schwab are each independent of the Company and its management. J.W. Marriott, Jr., Deborah M. Harrison, and Arne M. Sorenson are considered not independent as a result of their employment with the Company and/or family relationships.</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Committees of the Board</w:t>
      </w:r>
    </w:p>
    <w:p>
      <w:pPr>
        <w:spacing w:after="0" w:line="103" w:lineRule="exact"/>
        <w:rPr>
          <w:sz w:val="20"/>
          <w:szCs w:val="20"/>
          <w:color w:val="auto"/>
        </w:rPr>
      </w:pPr>
    </w:p>
    <w:p>
      <w:pPr>
        <w:ind w:left="220" w:right="560"/>
        <w:spacing w:after="0" w:line="246" w:lineRule="auto"/>
        <w:rPr>
          <w:sz w:val="20"/>
          <w:szCs w:val="20"/>
          <w:color w:val="auto"/>
        </w:rPr>
      </w:pPr>
      <w:r>
        <w:rPr>
          <w:rFonts w:ascii="Arial" w:cs="Arial" w:eastAsia="Arial" w:hAnsi="Arial"/>
          <w:sz w:val="17"/>
          <w:szCs w:val="17"/>
          <w:color w:val="auto"/>
        </w:rPr>
        <w:t>The Board has six standing committees: Audit, Compensation Policy, Finance, Nominating and Corporate Governance, Committee for Excellence, and Executive. The Board has adopted a written charter for each committee, and those charters are available on the Investor Relations section of our website (</w:t>
      </w:r>
      <w:r>
        <w:rPr>
          <w:rFonts w:ascii="Arial" w:cs="Arial" w:eastAsia="Arial" w:hAnsi="Arial"/>
          <w:sz w:val="17"/>
          <w:szCs w:val="17"/>
          <w:u w:val="single" w:color="auto"/>
          <w:color w:val="auto"/>
        </w:rPr>
        <w:t>www.marriott.com/investor</w:t>
      </w:r>
      <w:r>
        <w:rPr>
          <w:rFonts w:ascii="Arial" w:cs="Arial" w:eastAsia="Arial" w:hAnsi="Arial"/>
          <w:sz w:val="17"/>
          <w:szCs w:val="17"/>
          <w:color w:val="auto"/>
        </w:rPr>
        <w:t>) by clicking on “Governance” and then “Documents &amp; Charters.” You also may request copies of the committee charters from the Company’s Corporate Secretary.</w:t>
      </w:r>
    </w:p>
    <w:p>
      <w:pPr>
        <w:spacing w:after="0" w:line="172"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7F7F7F"/>
        </w:rPr>
        <w:t>Audit Committee</w:t>
      </w:r>
    </w:p>
    <w:p>
      <w:pPr>
        <w:spacing w:after="0" w:line="99" w:lineRule="exact"/>
        <w:rPr>
          <w:sz w:val="20"/>
          <w:szCs w:val="20"/>
          <w:color w:val="auto"/>
        </w:rPr>
      </w:pPr>
    </w:p>
    <w:p>
      <w:pPr>
        <w:ind w:left="220"/>
        <w:spacing w:after="0"/>
        <w:tabs>
          <w:tab w:leader="none" w:pos="1240" w:val="left"/>
        </w:tabs>
        <w:rPr>
          <w:sz w:val="20"/>
          <w:szCs w:val="20"/>
          <w:color w:val="auto"/>
        </w:rPr>
      </w:pPr>
      <w:r>
        <w:rPr>
          <w:rFonts w:ascii="Arial" w:cs="Arial" w:eastAsia="Arial" w:hAnsi="Arial"/>
          <w:sz w:val="17"/>
          <w:szCs w:val="17"/>
          <w:i w:val="1"/>
          <w:iCs w:val="1"/>
          <w:color w:val="998C87"/>
        </w:rPr>
        <w:t>Members:</w:t>
      </w:r>
      <w:r>
        <w:rPr>
          <w:sz w:val="20"/>
          <w:szCs w:val="20"/>
          <w:color w:val="auto"/>
        </w:rPr>
        <w:tab/>
      </w:r>
      <w:r>
        <w:rPr>
          <w:rFonts w:ascii="Arial" w:cs="Arial" w:eastAsia="Arial" w:hAnsi="Arial"/>
          <w:sz w:val="17"/>
          <w:szCs w:val="17"/>
          <w:color w:val="auto"/>
        </w:rPr>
        <w:t>Frederick A. Henderson (Chair), Mary K. Bush, Aylwin B. Lewis and George Muñoz.</w:t>
      </w:r>
    </w:p>
    <w:p>
      <w:pPr>
        <w:spacing w:after="0" w:line="115" w:lineRule="exact"/>
        <w:rPr>
          <w:sz w:val="20"/>
          <w:szCs w:val="20"/>
          <w:color w:val="auto"/>
        </w:rPr>
      </w:pPr>
    </w:p>
    <w:p>
      <w:pPr>
        <w:ind w:left="420" w:right="820" w:hanging="210"/>
        <w:spacing w:after="0" w:line="274" w:lineRule="auto"/>
        <w:tabs>
          <w:tab w:leader="none" w:pos="4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members of the Committee are not employees of the Company. The Board of Directors has determined that the members of the Committee are independent as defined under our Governance Principles, the Nasdaq Listing Standards and applicable SEC rules.</w:t>
      </w:r>
    </w:p>
    <w:p>
      <w:pPr>
        <w:spacing w:after="0" w:line="52" w:lineRule="exact"/>
        <w:rPr>
          <w:rFonts w:ascii="Arial" w:cs="Arial" w:eastAsia="Arial" w:hAnsi="Arial"/>
          <w:sz w:val="17"/>
          <w:szCs w:val="17"/>
          <w:color w:val="auto"/>
        </w:rPr>
      </w:pPr>
    </w:p>
    <w:p>
      <w:pPr>
        <w:ind w:left="420" w:hanging="210"/>
        <w:spacing w:after="0"/>
        <w:tabs>
          <w:tab w:leader="none" w:pos="4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Audit Committee met ten times in fiscal year 2017.</w:t>
      </w:r>
    </w:p>
    <w:p>
      <w:pPr>
        <w:spacing w:after="0" w:line="114" w:lineRule="exact"/>
        <w:rPr>
          <w:rFonts w:ascii="Arial" w:cs="Arial" w:eastAsia="Arial" w:hAnsi="Arial"/>
          <w:sz w:val="17"/>
          <w:szCs w:val="17"/>
          <w:color w:val="auto"/>
        </w:rPr>
      </w:pPr>
    </w:p>
    <w:p>
      <w:pPr>
        <w:ind w:left="420" w:hanging="210"/>
        <w:spacing w:after="0"/>
        <w:tabs>
          <w:tab w:leader="none" w:pos="4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There is unrestricted access between the Audit Committee and the independent auditor and internal auditors.</w:t>
      </w:r>
    </w:p>
    <w:p>
      <w:pPr>
        <w:spacing w:after="0" w:line="114" w:lineRule="exact"/>
        <w:rPr>
          <w:rFonts w:ascii="Arial" w:cs="Arial" w:eastAsia="Arial" w:hAnsi="Arial"/>
          <w:sz w:val="17"/>
          <w:szCs w:val="17"/>
          <w:color w:val="auto"/>
        </w:rPr>
      </w:pPr>
    </w:p>
    <w:p>
      <w:pPr>
        <w:ind w:left="420" w:right="360" w:hanging="210"/>
        <w:spacing w:after="0" w:line="274" w:lineRule="auto"/>
        <w:tabs>
          <w:tab w:leader="none" w:pos="4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Board of Directors has determined that all current members of the Audit Committee (Mary K. Bush, Frederick A. Henderson, Aylwin B. Lewis and George Muñoz) are financial experts as defined in SEC rules.</w:t>
      </w:r>
    </w:p>
    <w:p>
      <w:pPr>
        <w:spacing w:after="0" w:line="41"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998C87"/>
        </w:rPr>
        <w:t>Responsibilities include:</w:t>
      </w:r>
    </w:p>
    <w:p>
      <w:pPr>
        <w:spacing w:after="0" w:line="113" w:lineRule="exact"/>
        <w:rPr>
          <w:sz w:val="20"/>
          <w:szCs w:val="20"/>
          <w:color w:val="auto"/>
        </w:rPr>
      </w:pPr>
    </w:p>
    <w:p>
      <w:pPr>
        <w:ind w:left="420" w:right="380" w:hanging="210"/>
        <w:spacing w:after="0" w:line="274" w:lineRule="auto"/>
        <w:tabs>
          <w:tab w:leader="none" w:pos="4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Overseeing the accounting, reporting, and financial practices of the Company and its subsidiaries, including the integrity of the Company’s financial statements.</w:t>
      </w:r>
    </w:p>
    <w:p>
      <w:pPr>
        <w:spacing w:after="0" w:line="52" w:lineRule="exact"/>
        <w:rPr>
          <w:rFonts w:ascii="Arial" w:cs="Arial" w:eastAsia="Arial" w:hAnsi="Arial"/>
          <w:sz w:val="17"/>
          <w:szCs w:val="17"/>
          <w:color w:val="auto"/>
        </w:rPr>
      </w:pPr>
    </w:p>
    <w:p>
      <w:pPr>
        <w:ind w:left="420" w:hanging="210"/>
        <w:spacing w:after="0"/>
        <w:tabs>
          <w:tab w:leader="none" w:pos="4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Overseeing the Company’s internal control environment and compliance with legal and regulatory requirements.</w:t>
      </w:r>
    </w:p>
    <w:p>
      <w:pPr>
        <w:spacing w:after="0" w:line="147" w:lineRule="exact"/>
        <w:rPr>
          <w:sz w:val="20"/>
          <w:szCs w:val="20"/>
          <w:color w:val="auto"/>
        </w:rPr>
      </w:pPr>
    </w:p>
    <w:tbl>
      <w:tblPr>
        <w:tblLayout w:type="fixed"/>
        <w:tblInd w:w="9180" w:type="dxa"/>
        <w:tblCellMar>
          <w:top w:w="0" w:type="dxa"/>
          <w:left w:w="0" w:type="dxa"/>
          <w:bottom w:w="0" w:type="dxa"/>
          <w:right w:w="0" w:type="dxa"/>
        </w:tblCellMar>
      </w:tblPr>
      <w:tr>
        <w:trPr>
          <w:trHeight w:val="214"/>
        </w:trPr>
        <w:tc>
          <w:tcPr>
            <w:tcW w:w="1660" w:type="dxa"/>
            <w:vAlign w:val="bottom"/>
          </w:tcPr>
          <w:p>
            <w:pPr>
              <w:spacing w:after="0"/>
              <w:rPr>
                <w:sz w:val="20"/>
                <w:szCs w:val="20"/>
                <w:color w:val="auto"/>
              </w:rPr>
            </w:pPr>
            <w:r>
              <w:rPr>
                <w:rFonts w:ascii="Arial" w:cs="Arial" w:eastAsia="Arial" w:hAnsi="Arial"/>
                <w:sz w:val="15"/>
                <w:szCs w:val="15"/>
                <w:color w:val="998C87"/>
              </w:rPr>
              <w:t>2018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27</w:t>
            </w:r>
          </w:p>
        </w:tc>
      </w:tr>
    </w:tbl>
    <w:p>
      <w:pPr>
        <w:sectPr>
          <w:pgSz w:w="11900" w:h="16838" w:orient="portrait"/>
          <w:cols w:equalWidth="0" w:num="1">
            <w:col w:w="11220"/>
          </w:cols>
          <w:pgMar w:left="240" w:top="455" w:right="4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1" w:lineRule="exact"/>
        <w:rPr>
          <w:sz w:val="20"/>
          <w:szCs w:val="20"/>
          <w:color w:val="auto"/>
        </w:rPr>
      </w:pPr>
    </w:p>
    <w:p>
      <w:pPr>
        <w:ind w:left="420" w:hanging="210"/>
        <w:spacing w:after="0"/>
        <w:tabs>
          <w:tab w:leader="none" w:pos="4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Appointing, retaining, overseeing, and determining the compensation and services of the Company’s independent auditor.</w:t>
      </w:r>
    </w:p>
    <w:p>
      <w:pPr>
        <w:spacing w:after="0" w:line="114" w:lineRule="exact"/>
        <w:rPr>
          <w:rFonts w:ascii="Arial" w:cs="Arial" w:eastAsia="Arial" w:hAnsi="Arial"/>
          <w:sz w:val="17"/>
          <w:szCs w:val="17"/>
          <w:color w:val="auto"/>
        </w:rPr>
      </w:pPr>
    </w:p>
    <w:p>
      <w:pPr>
        <w:ind w:left="420" w:hanging="210"/>
        <w:spacing w:after="0"/>
        <w:tabs>
          <w:tab w:leader="none" w:pos="4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Pre-approving the terms of all audit services, and any permissible non-audit services, to be provided by the Company’s independent auditor.</w:t>
      </w:r>
    </w:p>
    <w:p>
      <w:pPr>
        <w:spacing w:after="0" w:line="114" w:lineRule="exact"/>
        <w:rPr>
          <w:rFonts w:ascii="Arial" w:cs="Arial" w:eastAsia="Arial" w:hAnsi="Arial"/>
          <w:sz w:val="17"/>
          <w:szCs w:val="17"/>
          <w:color w:val="auto"/>
        </w:rPr>
      </w:pPr>
    </w:p>
    <w:p>
      <w:pPr>
        <w:ind w:left="420" w:right="640" w:hanging="210"/>
        <w:spacing w:after="0" w:line="253" w:lineRule="auto"/>
        <w:tabs>
          <w:tab w:leader="none" w:pos="4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Overseeing the independent auditor’s qualifications and independence, including considering whether any circumstance, including the performance of any permissible non-audit services, would impair the independence of the Company’s independent registered public accounting firm.</w:t>
      </w:r>
    </w:p>
    <w:p>
      <w:pPr>
        <w:spacing w:after="0" w:line="69" w:lineRule="exact"/>
        <w:rPr>
          <w:rFonts w:ascii="Arial" w:cs="Arial" w:eastAsia="Arial" w:hAnsi="Arial"/>
          <w:sz w:val="17"/>
          <w:szCs w:val="17"/>
          <w:color w:val="auto"/>
        </w:rPr>
      </w:pPr>
    </w:p>
    <w:p>
      <w:pPr>
        <w:ind w:left="420" w:hanging="210"/>
        <w:spacing w:after="0"/>
        <w:tabs>
          <w:tab w:leader="none" w:pos="4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Overseeing the performance of the Company’s internal audit function and internal auditor.</w:t>
      </w:r>
    </w:p>
    <w:p>
      <w:pPr>
        <w:spacing w:after="0" w:line="114" w:lineRule="exact"/>
        <w:rPr>
          <w:rFonts w:ascii="Arial" w:cs="Arial" w:eastAsia="Arial" w:hAnsi="Arial"/>
          <w:sz w:val="17"/>
          <w:szCs w:val="17"/>
          <w:color w:val="auto"/>
        </w:rPr>
      </w:pPr>
    </w:p>
    <w:p>
      <w:pPr>
        <w:ind w:left="420" w:right="540" w:hanging="210"/>
        <w:spacing w:after="0" w:line="274" w:lineRule="auto"/>
        <w:tabs>
          <w:tab w:leader="none" w:pos="4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Reviewing the Company’s conflict of interest and related party transactions policies, and approving certain related party transactions as provided for in those policies.</w:t>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7F7F7F"/>
        </w:rPr>
        <w:t>Compensation Policy Committee</w:t>
      </w:r>
    </w:p>
    <w:p>
      <w:pPr>
        <w:spacing w:after="0" w:line="113" w:lineRule="exact"/>
        <w:rPr>
          <w:sz w:val="20"/>
          <w:szCs w:val="20"/>
          <w:color w:val="auto"/>
        </w:rPr>
      </w:pPr>
    </w:p>
    <w:p>
      <w:pPr>
        <w:ind w:left="220"/>
        <w:spacing w:after="0"/>
        <w:tabs>
          <w:tab w:leader="none" w:pos="1280" w:val="left"/>
        </w:tabs>
        <w:rPr>
          <w:sz w:val="20"/>
          <w:szCs w:val="20"/>
          <w:color w:val="auto"/>
        </w:rPr>
      </w:pPr>
      <w:r>
        <w:rPr>
          <w:rFonts w:ascii="Arial" w:cs="Arial" w:eastAsia="Arial" w:hAnsi="Arial"/>
          <w:sz w:val="17"/>
          <w:szCs w:val="17"/>
          <w:i w:val="1"/>
          <w:iCs w:val="1"/>
          <w:color w:val="998C87"/>
        </w:rPr>
        <w:t>Members:</w:t>
      </w:r>
      <w:r>
        <w:rPr>
          <w:sz w:val="20"/>
          <w:szCs w:val="20"/>
          <w:color w:val="auto"/>
        </w:rPr>
        <w:tab/>
      </w:r>
      <w:r>
        <w:rPr>
          <w:rFonts w:ascii="Arial" w:cs="Arial" w:eastAsia="Arial" w:hAnsi="Arial"/>
          <w:sz w:val="17"/>
          <w:szCs w:val="17"/>
          <w:color w:val="auto"/>
        </w:rPr>
        <w:t>Steven S Reinemund (Chair), Mary K. Bush, Eric Hippeau and Susan C. Schwab.</w:t>
      </w:r>
    </w:p>
    <w:p>
      <w:pPr>
        <w:spacing w:after="0" w:line="115" w:lineRule="exact"/>
        <w:rPr>
          <w:sz w:val="20"/>
          <w:szCs w:val="20"/>
          <w:color w:val="auto"/>
        </w:rPr>
      </w:pPr>
    </w:p>
    <w:p>
      <w:pPr>
        <w:ind w:left="420" w:right="140" w:hanging="210"/>
        <w:spacing w:after="0" w:line="253" w:lineRule="auto"/>
        <w:tabs>
          <w:tab w:leader="none" w:pos="4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members of the Committee are not employees of the Company. The Board has determined that the members of the Committee are independent as defined under our Governance Principles and satisfy the standards of independence under the Nasdaq Listing Standards for directors and compensation committee members.</w:t>
      </w:r>
    </w:p>
    <w:p>
      <w:pPr>
        <w:spacing w:after="0" w:line="69" w:lineRule="exact"/>
        <w:rPr>
          <w:rFonts w:ascii="Arial" w:cs="Arial" w:eastAsia="Arial" w:hAnsi="Arial"/>
          <w:sz w:val="17"/>
          <w:szCs w:val="17"/>
          <w:color w:val="auto"/>
        </w:rPr>
      </w:pPr>
    </w:p>
    <w:p>
      <w:pPr>
        <w:ind w:left="420" w:hanging="210"/>
        <w:spacing w:after="0"/>
        <w:tabs>
          <w:tab w:leader="none" w:pos="4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Compensation Policy Committee met four times in fiscal year 2017.</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998C87"/>
        </w:rPr>
        <w:t>Responsibilities include:</w:t>
      </w:r>
    </w:p>
    <w:p>
      <w:pPr>
        <w:spacing w:after="0" w:line="113" w:lineRule="exact"/>
        <w:rPr>
          <w:sz w:val="20"/>
          <w:szCs w:val="20"/>
          <w:color w:val="auto"/>
        </w:rPr>
      </w:pPr>
    </w:p>
    <w:p>
      <w:pPr>
        <w:ind w:left="420" w:right="280" w:hanging="210"/>
        <w:spacing w:after="0" w:line="274" w:lineRule="auto"/>
        <w:tabs>
          <w:tab w:leader="none" w:pos="4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Overseeing the evaluation of the Company’s senior executives and reviewing and approving, subject to Board approval in some cases, the appropriateness of senior executive compensation program objectives and the plans designed to accomplish these objectives.</w:t>
      </w:r>
    </w:p>
    <w:p>
      <w:pPr>
        <w:spacing w:after="0" w:line="52" w:lineRule="exact"/>
        <w:rPr>
          <w:rFonts w:ascii="Arial" w:cs="Arial" w:eastAsia="Arial" w:hAnsi="Arial"/>
          <w:sz w:val="17"/>
          <w:szCs w:val="17"/>
          <w:color w:val="auto"/>
        </w:rPr>
      </w:pPr>
    </w:p>
    <w:p>
      <w:pPr>
        <w:ind w:left="420" w:hanging="210"/>
        <w:spacing w:after="0"/>
        <w:tabs>
          <w:tab w:leader="none" w:pos="4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Approving and recommending to the Board:</w:t>
      </w:r>
    </w:p>
    <w:p>
      <w:pPr>
        <w:spacing w:after="0" w:line="114" w:lineRule="exact"/>
        <w:rPr>
          <w:rFonts w:ascii="Arial" w:cs="Arial" w:eastAsia="Arial" w:hAnsi="Arial"/>
          <w:sz w:val="17"/>
          <w:szCs w:val="17"/>
          <w:color w:val="auto"/>
        </w:rPr>
      </w:pPr>
    </w:p>
    <w:p>
      <w:pPr>
        <w:ind w:left="640" w:hanging="214"/>
        <w:spacing w:after="0"/>
        <w:tabs>
          <w:tab w:leader="none" w:pos="640" w:val="left"/>
        </w:tabs>
        <w:numPr>
          <w:ilvl w:val="1"/>
          <w:numId w:val="72"/>
        </w:numPr>
        <w:rPr>
          <w:rFonts w:ascii="Arial" w:cs="Arial" w:eastAsia="Arial" w:hAnsi="Arial"/>
          <w:sz w:val="17"/>
          <w:szCs w:val="17"/>
          <w:color w:val="auto"/>
        </w:rPr>
      </w:pPr>
      <w:r>
        <w:rPr>
          <w:rFonts w:ascii="Arial" w:cs="Arial" w:eastAsia="Arial" w:hAnsi="Arial"/>
          <w:sz w:val="17"/>
          <w:szCs w:val="17"/>
          <w:color w:val="auto"/>
        </w:rPr>
        <w:t>Compensation actions for the Executive Chairman and the President and Chief Executive Officer;</w:t>
      </w:r>
    </w:p>
    <w:p>
      <w:pPr>
        <w:spacing w:after="0" w:line="114" w:lineRule="exact"/>
        <w:rPr>
          <w:rFonts w:ascii="Arial" w:cs="Arial" w:eastAsia="Arial" w:hAnsi="Arial"/>
          <w:sz w:val="17"/>
          <w:szCs w:val="17"/>
          <w:color w:val="auto"/>
        </w:rPr>
      </w:pPr>
    </w:p>
    <w:p>
      <w:pPr>
        <w:ind w:left="640" w:hanging="214"/>
        <w:spacing w:after="0"/>
        <w:tabs>
          <w:tab w:leader="none" w:pos="640" w:val="left"/>
        </w:tabs>
        <w:numPr>
          <w:ilvl w:val="1"/>
          <w:numId w:val="72"/>
        </w:numPr>
        <w:rPr>
          <w:rFonts w:ascii="Arial" w:cs="Arial" w:eastAsia="Arial" w:hAnsi="Arial"/>
          <w:sz w:val="17"/>
          <w:szCs w:val="17"/>
          <w:color w:val="auto"/>
        </w:rPr>
      </w:pPr>
      <w:r>
        <w:rPr>
          <w:rFonts w:ascii="Arial" w:cs="Arial" w:eastAsia="Arial" w:hAnsi="Arial"/>
          <w:sz w:val="17"/>
          <w:szCs w:val="17"/>
          <w:color w:val="auto"/>
        </w:rPr>
        <w:t>Incentive compensation plans and other equity based plans; and</w:t>
      </w:r>
    </w:p>
    <w:p>
      <w:pPr>
        <w:spacing w:after="0" w:line="114" w:lineRule="exact"/>
        <w:rPr>
          <w:rFonts w:ascii="Arial" w:cs="Arial" w:eastAsia="Arial" w:hAnsi="Arial"/>
          <w:sz w:val="17"/>
          <w:szCs w:val="17"/>
          <w:color w:val="auto"/>
        </w:rPr>
      </w:pPr>
    </w:p>
    <w:p>
      <w:pPr>
        <w:ind w:left="640" w:hanging="214"/>
        <w:spacing w:after="0"/>
        <w:tabs>
          <w:tab w:leader="none" w:pos="640" w:val="left"/>
        </w:tabs>
        <w:numPr>
          <w:ilvl w:val="1"/>
          <w:numId w:val="72"/>
        </w:numPr>
        <w:rPr>
          <w:rFonts w:ascii="Arial" w:cs="Arial" w:eastAsia="Arial" w:hAnsi="Arial"/>
          <w:sz w:val="17"/>
          <w:szCs w:val="17"/>
          <w:color w:val="auto"/>
        </w:rPr>
      </w:pPr>
      <w:r>
        <w:rPr>
          <w:rFonts w:ascii="Arial" w:cs="Arial" w:eastAsia="Arial" w:hAnsi="Arial"/>
          <w:sz w:val="17"/>
          <w:szCs w:val="17"/>
          <w:color w:val="auto"/>
        </w:rPr>
        <w:t>Corporate officer nominations.</w:t>
      </w:r>
    </w:p>
    <w:p>
      <w:pPr>
        <w:spacing w:after="0" w:line="114" w:lineRule="exact"/>
        <w:rPr>
          <w:rFonts w:ascii="Arial" w:cs="Arial" w:eastAsia="Arial" w:hAnsi="Arial"/>
          <w:sz w:val="17"/>
          <w:szCs w:val="17"/>
          <w:color w:val="auto"/>
        </w:rPr>
      </w:pPr>
    </w:p>
    <w:p>
      <w:pPr>
        <w:ind w:left="420" w:hanging="210"/>
        <w:spacing w:after="0"/>
        <w:tabs>
          <w:tab w:leader="none" w:pos="4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Setting and recommending to the Board the annual compensation for non-employee directors.</w:t>
      </w:r>
    </w:p>
    <w:p>
      <w:pPr>
        <w:spacing w:after="0" w:line="114" w:lineRule="exact"/>
        <w:rPr>
          <w:rFonts w:ascii="Arial" w:cs="Arial" w:eastAsia="Arial" w:hAnsi="Arial"/>
          <w:sz w:val="17"/>
          <w:szCs w:val="17"/>
          <w:color w:val="auto"/>
        </w:rPr>
      </w:pPr>
    </w:p>
    <w:p>
      <w:pPr>
        <w:ind w:left="420" w:right="480" w:hanging="210"/>
        <w:spacing w:after="0" w:line="274" w:lineRule="auto"/>
        <w:tabs>
          <w:tab w:leader="none" w:pos="4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Overseeing the assessment of the risks relating to the Company’s compensation policies and programs, and reviewing the results of the assessment.</w:t>
      </w:r>
    </w:p>
    <w:p>
      <w:pPr>
        <w:spacing w:after="0" w:line="52" w:lineRule="exact"/>
        <w:rPr>
          <w:rFonts w:ascii="Arial" w:cs="Arial" w:eastAsia="Arial" w:hAnsi="Arial"/>
          <w:sz w:val="17"/>
          <w:szCs w:val="17"/>
          <w:color w:val="auto"/>
        </w:rPr>
      </w:pPr>
    </w:p>
    <w:p>
      <w:pPr>
        <w:ind w:left="420" w:right="420" w:hanging="210"/>
        <w:spacing w:after="0" w:line="274" w:lineRule="auto"/>
        <w:tabs>
          <w:tab w:leader="none" w:pos="4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Reviewing the annual Executive Talent assessment conducted by the President and Chief Executive Officer and the Global Chief Human Resources Officer.</w:t>
      </w:r>
    </w:p>
    <w:p>
      <w:pPr>
        <w:spacing w:after="0" w:line="52" w:lineRule="exact"/>
        <w:rPr>
          <w:rFonts w:ascii="Arial" w:cs="Arial" w:eastAsia="Arial" w:hAnsi="Arial"/>
          <w:sz w:val="17"/>
          <w:szCs w:val="17"/>
          <w:color w:val="auto"/>
        </w:rPr>
      </w:pPr>
    </w:p>
    <w:p>
      <w:pPr>
        <w:ind w:left="420" w:hanging="210"/>
        <w:spacing w:after="0"/>
        <w:tabs>
          <w:tab w:leader="none" w:pos="4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Adopting and reviewing compliance with the Company’s stock ownership guidelines for senior executive officers and non-employee directors.</w:t>
      </w:r>
    </w:p>
    <w:p>
      <w:pPr>
        <w:spacing w:after="0" w:line="101" w:lineRule="exact"/>
        <w:rPr>
          <w:sz w:val="20"/>
          <w:szCs w:val="20"/>
          <w:color w:val="auto"/>
        </w:rPr>
      </w:pPr>
    </w:p>
    <w:p>
      <w:pPr>
        <w:ind w:left="220" w:right="220"/>
        <w:spacing w:after="0" w:line="274" w:lineRule="auto"/>
        <w:rPr>
          <w:sz w:val="20"/>
          <w:szCs w:val="20"/>
          <w:color w:val="auto"/>
        </w:rPr>
      </w:pPr>
      <w:r>
        <w:rPr>
          <w:rFonts w:ascii="Arial" w:cs="Arial" w:eastAsia="Arial" w:hAnsi="Arial"/>
          <w:sz w:val="17"/>
          <w:szCs w:val="17"/>
          <w:color w:val="auto"/>
        </w:rPr>
        <w:t>The Compensation Policy Committee may delegate to one or more executive officers or directors the authority to grant stock awards to certain associates, subject to the terms of our stock plans.</w:t>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7F7F7F"/>
        </w:rPr>
        <w:t>Finance Committee</w:t>
      </w:r>
    </w:p>
    <w:p>
      <w:pPr>
        <w:spacing w:after="0" w:line="113" w:lineRule="exact"/>
        <w:rPr>
          <w:sz w:val="20"/>
          <w:szCs w:val="20"/>
          <w:color w:val="auto"/>
        </w:rPr>
      </w:pPr>
    </w:p>
    <w:p>
      <w:pPr>
        <w:ind w:left="220"/>
        <w:spacing w:after="0"/>
        <w:tabs>
          <w:tab w:leader="none" w:pos="1240" w:val="left"/>
        </w:tabs>
        <w:rPr>
          <w:sz w:val="20"/>
          <w:szCs w:val="20"/>
          <w:color w:val="auto"/>
        </w:rPr>
      </w:pPr>
      <w:r>
        <w:rPr>
          <w:rFonts w:ascii="Arial" w:cs="Arial" w:eastAsia="Arial" w:hAnsi="Arial"/>
          <w:sz w:val="17"/>
          <w:szCs w:val="17"/>
          <w:i w:val="1"/>
          <w:iCs w:val="1"/>
          <w:color w:val="998C87"/>
        </w:rPr>
        <w:t>Members:</w:t>
      </w:r>
      <w:r>
        <w:rPr>
          <w:sz w:val="20"/>
          <w:szCs w:val="20"/>
          <w:color w:val="auto"/>
        </w:rPr>
        <w:tab/>
      </w:r>
      <w:r>
        <w:rPr>
          <w:rFonts w:ascii="Arial" w:cs="Arial" w:eastAsia="Arial" w:hAnsi="Arial"/>
          <w:sz w:val="17"/>
          <w:szCs w:val="17"/>
          <w:color w:val="auto"/>
        </w:rPr>
        <w:t>W. Mitt Romney (Chair), Bruce W. Duncan, Deborah M. Harrison, Lawrence W. Kellner and Susan C. Schwab.</w:t>
      </w:r>
    </w:p>
    <w:p>
      <w:pPr>
        <w:spacing w:after="0" w:line="115" w:lineRule="exact"/>
        <w:rPr>
          <w:sz w:val="20"/>
          <w:szCs w:val="20"/>
          <w:color w:val="auto"/>
        </w:rPr>
      </w:pPr>
    </w:p>
    <w:p>
      <w:pPr>
        <w:ind w:left="420" w:right="340" w:hanging="210"/>
        <w:spacing w:after="0" w:line="253" w:lineRule="auto"/>
        <w:tabs>
          <w:tab w:leader="none" w:pos="4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Except for Deborah M. Harrison, the members of the Committee are not employees of the Company. The Board has determined that the members of the Committee other than Mrs. Harrison are independent as defined under our Governance Principles and the Nasdaq Listing Standards.</w:t>
      </w:r>
    </w:p>
    <w:p>
      <w:pPr>
        <w:spacing w:after="0" w:line="69" w:lineRule="exact"/>
        <w:rPr>
          <w:rFonts w:ascii="Arial" w:cs="Arial" w:eastAsia="Arial" w:hAnsi="Arial"/>
          <w:sz w:val="17"/>
          <w:szCs w:val="17"/>
          <w:color w:val="auto"/>
        </w:rPr>
      </w:pPr>
    </w:p>
    <w:p>
      <w:pPr>
        <w:ind w:left="420" w:hanging="210"/>
        <w:spacing w:after="0"/>
        <w:tabs>
          <w:tab w:leader="none" w:pos="4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Finance Committee met four times in fiscal year 2017.</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998C87"/>
        </w:rPr>
        <w:t>Responsibilities include:</w:t>
      </w:r>
    </w:p>
    <w:p>
      <w:pPr>
        <w:spacing w:after="0" w:line="113" w:lineRule="exact"/>
        <w:rPr>
          <w:sz w:val="20"/>
          <w:szCs w:val="20"/>
          <w:color w:val="auto"/>
        </w:rPr>
      </w:pPr>
    </w:p>
    <w:p>
      <w:pPr>
        <w:ind w:left="420" w:hanging="210"/>
        <w:spacing w:after="0" w:line="274" w:lineRule="auto"/>
        <w:tabs>
          <w:tab w:leader="none" w:pos="4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Making recommendations to the Board for approval of an annual consolidated budget and reviewing the Company’s performance against such budget.</w:t>
      </w:r>
    </w:p>
    <w:p>
      <w:pPr>
        <w:spacing w:after="0" w:line="52" w:lineRule="exact"/>
        <w:rPr>
          <w:rFonts w:ascii="Arial" w:cs="Arial" w:eastAsia="Arial" w:hAnsi="Arial"/>
          <w:sz w:val="17"/>
          <w:szCs w:val="17"/>
          <w:color w:val="auto"/>
        </w:rPr>
      </w:pPr>
    </w:p>
    <w:p>
      <w:pPr>
        <w:ind w:left="420" w:right="440" w:hanging="210"/>
        <w:spacing w:after="0" w:line="274" w:lineRule="auto"/>
        <w:tabs>
          <w:tab w:leader="none" w:pos="4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Providing guidance to the Board and management on proposed mergers, acquisitions, divestitures and other significant transactions and investments that are required to be submitted for Board approval.</w:t>
      </w:r>
    </w:p>
    <w:p>
      <w:pPr>
        <w:spacing w:after="0" w:line="85" w:lineRule="exact"/>
        <w:rPr>
          <w:sz w:val="20"/>
          <w:szCs w:val="20"/>
          <w:color w:val="auto"/>
        </w:rPr>
      </w:pPr>
    </w:p>
    <w:p>
      <w:pPr>
        <w:ind w:left="540" w:hanging="330"/>
        <w:spacing w:after="0"/>
        <w:tabs>
          <w:tab w:leader="none" w:pos="540" w:val="left"/>
        </w:tabs>
        <w:numPr>
          <w:ilvl w:val="0"/>
          <w:numId w:val="75"/>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160"/>
          </w:cols>
          <w:pgMar w:left="240" w:top="455" w:right="49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1" w:lineRule="exact"/>
        <w:rPr>
          <w:sz w:val="20"/>
          <w:szCs w:val="20"/>
          <w:color w:val="auto"/>
        </w:rPr>
      </w:pPr>
    </w:p>
    <w:p>
      <w:pPr>
        <w:ind w:left="420" w:right="100" w:hanging="210"/>
        <w:spacing w:after="0" w:line="274" w:lineRule="auto"/>
        <w:tabs>
          <w:tab w:leader="none" w:pos="4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Providing guidance to the Board and management on the Company’s capital adequacy, credit rating, borrowing needs and proposed debt and equity programs.</w:t>
      </w:r>
    </w:p>
    <w:p>
      <w:pPr>
        <w:spacing w:after="0" w:line="52" w:lineRule="exact"/>
        <w:rPr>
          <w:rFonts w:ascii="Arial" w:cs="Arial" w:eastAsia="Arial" w:hAnsi="Arial"/>
          <w:sz w:val="17"/>
          <w:szCs w:val="17"/>
          <w:color w:val="auto"/>
        </w:rPr>
      </w:pPr>
    </w:p>
    <w:p>
      <w:pPr>
        <w:ind w:left="420" w:right="360" w:hanging="210"/>
        <w:spacing w:after="0" w:line="274" w:lineRule="auto"/>
        <w:tabs>
          <w:tab w:leader="none" w:pos="4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Providing guidance to the Board and management on the Company’s stockholder distribution activities including dividend payments, share repurchases and similar activities.</w:t>
      </w:r>
    </w:p>
    <w:p>
      <w:pPr>
        <w:spacing w:after="0" w:line="52" w:lineRule="exact"/>
        <w:rPr>
          <w:rFonts w:ascii="Arial" w:cs="Arial" w:eastAsia="Arial" w:hAnsi="Arial"/>
          <w:sz w:val="17"/>
          <w:szCs w:val="17"/>
          <w:color w:val="auto"/>
        </w:rPr>
      </w:pPr>
    </w:p>
    <w:p>
      <w:pPr>
        <w:ind w:left="420" w:hanging="210"/>
        <w:spacing w:after="0"/>
        <w:tabs>
          <w:tab w:leader="none" w:pos="4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Providing guidance to the Board and management on the Company’s corporate insurance coverage.</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7F7F7F"/>
        </w:rPr>
        <w:t>Nominating and Corporate Governance Committee</w:t>
      </w:r>
    </w:p>
    <w:p>
      <w:pPr>
        <w:spacing w:after="0" w:line="99" w:lineRule="exact"/>
        <w:rPr>
          <w:sz w:val="20"/>
          <w:szCs w:val="20"/>
          <w:color w:val="auto"/>
        </w:rPr>
      </w:pPr>
    </w:p>
    <w:p>
      <w:pPr>
        <w:ind w:left="220"/>
        <w:spacing w:after="0"/>
        <w:tabs>
          <w:tab w:leader="none" w:pos="1280" w:val="left"/>
        </w:tabs>
        <w:rPr>
          <w:sz w:val="20"/>
          <w:szCs w:val="20"/>
          <w:color w:val="auto"/>
        </w:rPr>
      </w:pPr>
      <w:r>
        <w:rPr>
          <w:rFonts w:ascii="Arial" w:cs="Arial" w:eastAsia="Arial" w:hAnsi="Arial"/>
          <w:sz w:val="17"/>
          <w:szCs w:val="17"/>
          <w:i w:val="1"/>
          <w:iCs w:val="1"/>
          <w:color w:val="998C87"/>
        </w:rPr>
        <w:t>Members:</w:t>
      </w:r>
      <w:r>
        <w:rPr>
          <w:sz w:val="20"/>
          <w:szCs w:val="20"/>
          <w:color w:val="auto"/>
        </w:rPr>
        <w:tab/>
      </w:r>
      <w:r>
        <w:rPr>
          <w:rFonts w:ascii="Arial" w:cs="Arial" w:eastAsia="Arial" w:hAnsi="Arial"/>
          <w:sz w:val="17"/>
          <w:szCs w:val="17"/>
          <w:color w:val="auto"/>
        </w:rPr>
        <w:t>Lawrence W. Kellner (Chair), Debra L. Lee and Steven S Reinemund.</w:t>
      </w:r>
    </w:p>
    <w:p>
      <w:pPr>
        <w:spacing w:after="0" w:line="115" w:lineRule="exact"/>
        <w:rPr>
          <w:sz w:val="20"/>
          <w:szCs w:val="20"/>
          <w:color w:val="auto"/>
        </w:rPr>
      </w:pPr>
    </w:p>
    <w:p>
      <w:pPr>
        <w:ind w:left="420" w:right="560" w:hanging="210"/>
        <w:spacing w:after="0" w:line="274" w:lineRule="auto"/>
        <w:tabs>
          <w:tab w:leader="none" w:pos="4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members of the Committee are not employees of the Company. The Board has determined that the members of the Committee are independent as defined under our Governance Principles and the Nasdaq Listing Standards.</w:t>
      </w:r>
    </w:p>
    <w:p>
      <w:pPr>
        <w:spacing w:after="0" w:line="52" w:lineRule="exact"/>
        <w:rPr>
          <w:rFonts w:ascii="Arial" w:cs="Arial" w:eastAsia="Arial" w:hAnsi="Arial"/>
          <w:sz w:val="17"/>
          <w:szCs w:val="17"/>
          <w:color w:val="auto"/>
        </w:rPr>
      </w:pPr>
    </w:p>
    <w:p>
      <w:pPr>
        <w:ind w:left="420" w:hanging="210"/>
        <w:spacing w:after="0"/>
        <w:tabs>
          <w:tab w:leader="none" w:pos="4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Nominating and Corporate Governance Committee met three times in fiscal year 2017.</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998C87"/>
        </w:rPr>
        <w:t>Responsibilities include:</w:t>
      </w:r>
    </w:p>
    <w:p>
      <w:pPr>
        <w:spacing w:after="0" w:line="113" w:lineRule="exact"/>
        <w:rPr>
          <w:sz w:val="20"/>
          <w:szCs w:val="20"/>
          <w:color w:val="auto"/>
        </w:rPr>
      </w:pPr>
    </w:p>
    <w:p>
      <w:pPr>
        <w:ind w:left="420" w:hanging="210"/>
        <w:spacing w:after="0"/>
        <w:tabs>
          <w:tab w:leader="none" w:pos="4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Making recommendations to the Board regarding corporate governance matters and updates to the Governance Principles.</w:t>
      </w:r>
    </w:p>
    <w:p>
      <w:pPr>
        <w:spacing w:after="0" w:line="114" w:lineRule="exact"/>
        <w:rPr>
          <w:rFonts w:ascii="Arial" w:cs="Arial" w:eastAsia="Arial" w:hAnsi="Arial"/>
          <w:sz w:val="17"/>
          <w:szCs w:val="17"/>
          <w:color w:val="auto"/>
        </w:rPr>
      </w:pPr>
    </w:p>
    <w:p>
      <w:pPr>
        <w:ind w:left="420" w:hanging="210"/>
        <w:spacing w:after="0"/>
        <w:tabs>
          <w:tab w:leader="none" w:pos="4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Reviewing qualifications of candidates for Board membership.</w:t>
      </w:r>
    </w:p>
    <w:p>
      <w:pPr>
        <w:spacing w:after="0" w:line="114" w:lineRule="exact"/>
        <w:rPr>
          <w:rFonts w:ascii="Arial" w:cs="Arial" w:eastAsia="Arial" w:hAnsi="Arial"/>
          <w:sz w:val="17"/>
          <w:szCs w:val="17"/>
          <w:color w:val="auto"/>
        </w:rPr>
      </w:pPr>
    </w:p>
    <w:p>
      <w:pPr>
        <w:ind w:left="420" w:right="100" w:hanging="210"/>
        <w:spacing w:after="0" w:line="253" w:lineRule="auto"/>
        <w:tabs>
          <w:tab w:leader="none" w:pos="4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Advising the Board on a range of matters affecting the Board and its committees, including making recommendations with respect to qualifications of director candidates, selection of committee chairs, committee assignments and related matters affecting the functioning of the Board.</w:t>
      </w:r>
    </w:p>
    <w:p>
      <w:pPr>
        <w:spacing w:after="0" w:line="69" w:lineRule="exact"/>
        <w:rPr>
          <w:rFonts w:ascii="Arial" w:cs="Arial" w:eastAsia="Arial" w:hAnsi="Arial"/>
          <w:sz w:val="17"/>
          <w:szCs w:val="17"/>
          <w:color w:val="auto"/>
        </w:rPr>
      </w:pPr>
    </w:p>
    <w:p>
      <w:pPr>
        <w:ind w:left="420" w:hanging="210"/>
        <w:spacing w:after="0"/>
        <w:tabs>
          <w:tab w:leader="none" w:pos="4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Resolving conflict of interest questions involving directors and senior executive officers.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7F7F7F"/>
        </w:rPr>
        <w:t>Committee for Excellence</w:t>
      </w:r>
    </w:p>
    <w:p>
      <w:pPr>
        <w:spacing w:after="0" w:line="113" w:lineRule="exact"/>
        <w:rPr>
          <w:sz w:val="20"/>
          <w:szCs w:val="20"/>
          <w:color w:val="auto"/>
        </w:rPr>
      </w:pPr>
    </w:p>
    <w:p>
      <w:pPr>
        <w:ind w:left="1540" w:right="80" w:hanging="1319"/>
        <w:spacing w:after="0" w:line="242" w:lineRule="auto"/>
        <w:tabs>
          <w:tab w:leader="none" w:pos="1520" w:val="left"/>
        </w:tabs>
        <w:rPr>
          <w:sz w:val="20"/>
          <w:szCs w:val="20"/>
          <w:color w:val="auto"/>
        </w:rPr>
      </w:pPr>
      <w:r>
        <w:rPr>
          <w:rFonts w:ascii="Arial" w:cs="Arial" w:eastAsia="Arial" w:hAnsi="Arial"/>
          <w:sz w:val="17"/>
          <w:szCs w:val="17"/>
          <w:i w:val="1"/>
          <w:iCs w:val="1"/>
          <w:color w:val="998C87"/>
        </w:rPr>
        <w:t>Members:</w:t>
      </w:r>
      <w:r>
        <w:rPr>
          <w:sz w:val="20"/>
          <w:szCs w:val="20"/>
          <w:color w:val="auto"/>
        </w:rPr>
        <w:tab/>
      </w:r>
      <w:r>
        <w:rPr>
          <w:rFonts w:ascii="Arial" w:cs="Arial" w:eastAsia="Arial" w:hAnsi="Arial"/>
          <w:sz w:val="17"/>
          <w:szCs w:val="17"/>
          <w:color w:val="auto"/>
        </w:rPr>
        <w:t>Board members include Debra L. Lee (Chair), Deborah M. Harrison, George Muñoz, and Arne M. Sorenson. Company officer members include Raymond Bennett, Chief Global Officer, Global Operations; Anthony G. Capuano, Executive Vice President and Global Chief Development Officer; David J. Grissen, Group President; Stephanie C. Linnartz, Executive Vice President and Global Chief Commercial Officer; Tricia A. Primrose, Executive Vice President and Global Chief Communications and Public Affairs Officer; and David A. Rodriguez, Executive Vice President and Global Chief Human Resources Officer.</w:t>
      </w:r>
    </w:p>
    <w:p>
      <w:pPr>
        <w:spacing w:after="0" w:line="80" w:lineRule="exact"/>
        <w:rPr>
          <w:sz w:val="20"/>
          <w:szCs w:val="20"/>
          <w:color w:val="auto"/>
        </w:rPr>
      </w:pPr>
    </w:p>
    <w:p>
      <w:pPr>
        <w:ind w:left="420" w:right="100" w:hanging="210"/>
        <w:spacing w:after="0" w:line="246" w:lineRule="auto"/>
        <w:tabs>
          <w:tab w:leader="none" w:pos="4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members of the Committee consist of at least three members of the Board. The Committee may also consist of officers and associates of the Company who are not directors. At least one member of the Committee must be independent as defined under our Governance Principles and the Nasdaq Listing Standards. The Committee’s charter provides that an independent director will always be the Chairman of the Committee.</w:t>
      </w:r>
    </w:p>
    <w:p>
      <w:pPr>
        <w:spacing w:after="0" w:line="75" w:lineRule="exact"/>
        <w:rPr>
          <w:rFonts w:ascii="Arial" w:cs="Arial" w:eastAsia="Arial" w:hAnsi="Arial"/>
          <w:sz w:val="17"/>
          <w:szCs w:val="17"/>
          <w:color w:val="auto"/>
        </w:rPr>
      </w:pPr>
    </w:p>
    <w:p>
      <w:pPr>
        <w:ind w:left="420" w:hanging="210"/>
        <w:spacing w:after="0"/>
        <w:tabs>
          <w:tab w:leader="none" w:pos="4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Committee for Excellence met twice in fiscal year 2017.</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998C87"/>
        </w:rPr>
        <w:t>Responsibilities include:</w:t>
      </w:r>
    </w:p>
    <w:p>
      <w:pPr>
        <w:spacing w:after="0" w:line="113" w:lineRule="exact"/>
        <w:rPr>
          <w:sz w:val="20"/>
          <w:szCs w:val="20"/>
          <w:color w:val="auto"/>
        </w:rPr>
      </w:pPr>
    </w:p>
    <w:p>
      <w:pPr>
        <w:ind w:left="420" w:right="140" w:hanging="210"/>
        <w:spacing w:after="0" w:line="274" w:lineRule="auto"/>
        <w:tabs>
          <w:tab w:leader="none" w:pos="4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Identifying and encouraging efforts the Company undertakes to promote and leverage the recruitment, retention, and advancement of women and minorities as associates of the Company.</w:t>
      </w:r>
    </w:p>
    <w:p>
      <w:pPr>
        <w:spacing w:after="0" w:line="52" w:lineRule="exact"/>
        <w:rPr>
          <w:rFonts w:ascii="Arial" w:cs="Arial" w:eastAsia="Arial" w:hAnsi="Arial"/>
          <w:sz w:val="17"/>
          <w:szCs w:val="17"/>
          <w:color w:val="auto"/>
        </w:rPr>
      </w:pPr>
    </w:p>
    <w:p>
      <w:pPr>
        <w:ind w:left="420" w:right="160" w:hanging="210"/>
        <w:spacing w:after="0" w:line="274" w:lineRule="auto"/>
        <w:tabs>
          <w:tab w:leader="none" w:pos="4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Identifying and evaluating efforts the Company undertakes to promote and leverage an increasingly diverse ownership, franchisee, customer, and vendor base of the Company.</w:t>
      </w:r>
    </w:p>
    <w:p>
      <w:pPr>
        <w:spacing w:after="0" w:line="52" w:lineRule="exact"/>
        <w:rPr>
          <w:rFonts w:ascii="Arial" w:cs="Arial" w:eastAsia="Arial" w:hAnsi="Arial"/>
          <w:sz w:val="17"/>
          <w:szCs w:val="17"/>
          <w:color w:val="auto"/>
        </w:rPr>
      </w:pPr>
    </w:p>
    <w:p>
      <w:pPr>
        <w:ind w:left="420" w:right="320" w:hanging="210"/>
        <w:spacing w:after="0" w:line="274" w:lineRule="auto"/>
        <w:tabs>
          <w:tab w:leader="none" w:pos="4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Enhancing the public’s recognition of the Company’s efforts and successes to promote diversity and value people of different backgrounds, experiences, and cultures to benefit Marriott’s strategic competitive advantage.</w:t>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7F7F7F"/>
        </w:rPr>
        <w:t>Executive Committee</w:t>
      </w:r>
    </w:p>
    <w:p>
      <w:pPr>
        <w:spacing w:after="0" w:line="113" w:lineRule="exact"/>
        <w:rPr>
          <w:sz w:val="20"/>
          <w:szCs w:val="20"/>
          <w:color w:val="auto"/>
        </w:rPr>
      </w:pPr>
    </w:p>
    <w:p>
      <w:pPr>
        <w:ind w:left="220"/>
        <w:spacing w:after="0"/>
        <w:tabs>
          <w:tab w:leader="none" w:pos="1240" w:val="left"/>
        </w:tabs>
        <w:rPr>
          <w:sz w:val="20"/>
          <w:szCs w:val="20"/>
          <w:color w:val="auto"/>
        </w:rPr>
      </w:pPr>
      <w:r>
        <w:rPr>
          <w:rFonts w:ascii="Arial" w:cs="Arial" w:eastAsia="Arial" w:hAnsi="Arial"/>
          <w:sz w:val="17"/>
          <w:szCs w:val="17"/>
          <w:i w:val="1"/>
          <w:iCs w:val="1"/>
          <w:color w:val="998C87"/>
        </w:rPr>
        <w:t>Members:</w:t>
      </w:r>
      <w:r>
        <w:rPr>
          <w:sz w:val="20"/>
          <w:szCs w:val="20"/>
          <w:color w:val="auto"/>
        </w:rPr>
        <w:tab/>
      </w:r>
      <w:r>
        <w:rPr>
          <w:rFonts w:ascii="Arial" w:cs="Arial" w:eastAsia="Arial" w:hAnsi="Arial"/>
          <w:sz w:val="17"/>
          <w:szCs w:val="17"/>
          <w:color w:val="auto"/>
        </w:rPr>
        <w:t>J.W.Marriott, Jr. (Chair), Lawrence W. Kellner, Steven S Reinemund and Arne M. Sorenson.</w:t>
      </w:r>
    </w:p>
    <w:p>
      <w:pPr>
        <w:spacing w:after="0" w:line="115" w:lineRule="exact"/>
        <w:rPr>
          <w:sz w:val="20"/>
          <w:szCs w:val="20"/>
          <w:color w:val="auto"/>
        </w:rPr>
      </w:pPr>
    </w:p>
    <w:p>
      <w:pPr>
        <w:ind w:left="220" w:right="6380" w:hanging="10"/>
        <w:spacing w:after="0" w:line="372" w:lineRule="auto"/>
        <w:tabs>
          <w:tab w:leader="none" w:pos="436" w:val="left"/>
        </w:tabs>
        <w:numPr>
          <w:ilvl w:val="0"/>
          <w:numId w:val="81"/>
        </w:numPr>
        <w:rPr>
          <w:rFonts w:ascii="Arial" w:cs="Arial" w:eastAsia="Arial" w:hAnsi="Arial"/>
          <w:sz w:val="17"/>
          <w:szCs w:val="17"/>
          <w:color w:val="auto"/>
        </w:rPr>
      </w:pPr>
      <w:r>
        <w:rPr>
          <w:rFonts w:ascii="Arial" w:cs="Arial" w:eastAsia="Arial" w:hAnsi="Arial"/>
          <w:sz w:val="17"/>
          <w:szCs w:val="17"/>
          <w:color w:val="auto"/>
        </w:rPr>
        <w:t xml:space="preserve">The Executive Committee did not meet in fiscal year 2017. </w:t>
      </w:r>
      <w:r>
        <w:rPr>
          <w:rFonts w:ascii="Arial" w:cs="Arial" w:eastAsia="Arial" w:hAnsi="Arial"/>
          <w:sz w:val="17"/>
          <w:szCs w:val="17"/>
          <w:i w:val="1"/>
          <w:iCs w:val="1"/>
          <w:color w:val="998C87"/>
        </w:rPr>
        <w:t>Responsibilities include:</w:t>
      </w:r>
    </w:p>
    <w:p>
      <w:pPr>
        <w:spacing w:after="0" w:line="1" w:lineRule="exact"/>
        <w:rPr>
          <w:rFonts w:ascii="Arial" w:cs="Arial" w:eastAsia="Arial" w:hAnsi="Arial"/>
          <w:sz w:val="17"/>
          <w:szCs w:val="17"/>
          <w:color w:val="auto"/>
        </w:rPr>
      </w:pPr>
    </w:p>
    <w:p>
      <w:pPr>
        <w:ind w:left="420" w:right="320" w:hanging="210"/>
        <w:spacing w:after="0" w:line="253" w:lineRule="auto"/>
        <w:tabs>
          <w:tab w:leader="none" w:pos="4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Exercising the powers of the Board when the Board is not in session, subject to specific restrictions as to powers retained by the full Board. Powers retained by the full Board include those relating to amendments to the Certificate and Bylaws, mergers, consolidations, sales, or exchanges involving substantially all of the Company’s assets,</w:t>
      </w:r>
    </w:p>
    <w:p>
      <w:pPr>
        <w:spacing w:after="0" w:line="102" w:lineRule="exact"/>
        <w:rPr>
          <w:sz w:val="20"/>
          <w:szCs w:val="20"/>
          <w:color w:val="auto"/>
        </w:rPr>
      </w:pPr>
    </w:p>
    <w:tbl>
      <w:tblPr>
        <w:tblLayout w:type="fixed"/>
        <w:tblInd w:w="9180" w:type="dxa"/>
        <w:tblCellMar>
          <w:top w:w="0" w:type="dxa"/>
          <w:left w:w="0" w:type="dxa"/>
          <w:bottom w:w="0" w:type="dxa"/>
          <w:right w:w="0" w:type="dxa"/>
        </w:tblCellMar>
      </w:tblPr>
      <w:tr>
        <w:trPr>
          <w:trHeight w:val="214"/>
        </w:trPr>
        <w:tc>
          <w:tcPr>
            <w:tcW w:w="1660" w:type="dxa"/>
            <w:vAlign w:val="bottom"/>
          </w:tcPr>
          <w:p>
            <w:pPr>
              <w:spacing w:after="0"/>
              <w:rPr>
                <w:sz w:val="20"/>
                <w:szCs w:val="20"/>
                <w:color w:val="auto"/>
              </w:rPr>
            </w:pPr>
            <w:r>
              <w:rPr>
                <w:rFonts w:ascii="Arial" w:cs="Arial" w:eastAsia="Arial" w:hAnsi="Arial"/>
                <w:sz w:val="15"/>
                <w:szCs w:val="15"/>
                <w:color w:val="998C87"/>
              </w:rPr>
              <w:t>2018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29</w:t>
            </w:r>
          </w:p>
        </w:tc>
      </w:tr>
    </w:tbl>
    <w:p>
      <w:pPr>
        <w:sectPr>
          <w:pgSz w:w="11900" w:h="16838" w:orient="portrait"/>
          <w:cols w:equalWidth="0" w:num="1">
            <w:col w:w="11220"/>
          </w:cols>
          <w:pgMar w:left="240" w:top="455" w:right="4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1" w:lineRule="exact"/>
        <w:rPr>
          <w:sz w:val="20"/>
          <w:szCs w:val="20"/>
          <w:color w:val="auto"/>
        </w:rPr>
      </w:pPr>
    </w:p>
    <w:p>
      <w:pPr>
        <w:ind w:left="320" w:right="140"/>
        <w:spacing w:after="0" w:line="274" w:lineRule="auto"/>
        <w:rPr>
          <w:sz w:val="20"/>
          <w:szCs w:val="20"/>
          <w:color w:val="auto"/>
        </w:rPr>
      </w:pPr>
      <w:r>
        <w:rPr>
          <w:rFonts w:ascii="Arial" w:cs="Arial" w:eastAsia="Arial" w:hAnsi="Arial"/>
          <w:sz w:val="17"/>
          <w:szCs w:val="17"/>
          <w:color w:val="auto"/>
        </w:rPr>
        <w:t>dissolution and, unless specifically delegated by the Board to the Executive Committee, those powers relating to declarations of dividends and issuances of stock.</w:t>
      </w:r>
    </w:p>
    <w:p>
      <w:pPr>
        <w:spacing w:after="0" w:line="145"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Compensation Committee Interlocks and Insider Participation</w:t>
      </w:r>
    </w:p>
    <w:p>
      <w:pPr>
        <w:spacing w:after="0" w:line="103" w:lineRule="exact"/>
        <w:rPr>
          <w:sz w:val="20"/>
          <w:szCs w:val="20"/>
          <w:color w:val="auto"/>
        </w:rPr>
      </w:pPr>
    </w:p>
    <w:p>
      <w:pPr>
        <w:jc w:val="both"/>
        <w:ind w:left="220" w:right="120"/>
        <w:spacing w:after="0" w:line="253" w:lineRule="auto"/>
        <w:rPr>
          <w:sz w:val="20"/>
          <w:szCs w:val="20"/>
          <w:color w:val="auto"/>
        </w:rPr>
      </w:pPr>
      <w:r>
        <w:rPr>
          <w:rFonts w:ascii="Arial" w:cs="Arial" w:eastAsia="Arial" w:hAnsi="Arial"/>
          <w:sz w:val="17"/>
          <w:szCs w:val="17"/>
          <w:color w:val="auto"/>
        </w:rPr>
        <w:t>During fiscal year 2017, the Compensation Policy Committee consisted of Steven S Reinemund (Chair), Mary K. Bush, Eric Hippeau and Susan C. Schwab, and none of the members of the Compensation Policy Committee is or has been an officer or employee of the Company or had any relationship that is required to be disclosed as a transaction with a related party.</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Meetings of Independent Directors</w:t>
      </w:r>
    </w:p>
    <w:p>
      <w:pPr>
        <w:spacing w:after="0" w:line="103" w:lineRule="exact"/>
        <w:rPr>
          <w:sz w:val="20"/>
          <w:szCs w:val="20"/>
          <w:color w:val="auto"/>
        </w:rPr>
      </w:pPr>
    </w:p>
    <w:p>
      <w:pPr>
        <w:ind w:left="220" w:right="440"/>
        <w:spacing w:after="0" w:line="253" w:lineRule="auto"/>
        <w:rPr>
          <w:sz w:val="20"/>
          <w:szCs w:val="20"/>
          <w:color w:val="auto"/>
        </w:rPr>
      </w:pPr>
      <w:r>
        <w:rPr>
          <w:rFonts w:ascii="Arial" w:cs="Arial" w:eastAsia="Arial" w:hAnsi="Arial"/>
          <w:sz w:val="17"/>
          <w:szCs w:val="17"/>
          <w:color w:val="auto"/>
        </w:rPr>
        <w:t>Company policy requires that the independent directors meet without management present at least twice a year. In 2017, the independent directors met five times without management present. The Lead Director, currently Mr. Kellner, presides at the meetings of the independent directors.</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Risk Oversight</w:t>
      </w:r>
    </w:p>
    <w:p>
      <w:pPr>
        <w:spacing w:after="0" w:line="103" w:lineRule="exact"/>
        <w:rPr>
          <w:sz w:val="20"/>
          <w:szCs w:val="20"/>
          <w:color w:val="auto"/>
        </w:rPr>
      </w:pPr>
    </w:p>
    <w:p>
      <w:pPr>
        <w:ind w:left="220"/>
        <w:spacing w:after="0" w:line="238" w:lineRule="auto"/>
        <w:rPr>
          <w:sz w:val="20"/>
          <w:szCs w:val="20"/>
          <w:color w:val="auto"/>
        </w:rPr>
      </w:pPr>
      <w:r>
        <w:rPr>
          <w:rFonts w:ascii="Arial" w:cs="Arial" w:eastAsia="Arial" w:hAnsi="Arial"/>
          <w:sz w:val="17"/>
          <w:szCs w:val="17"/>
          <w:color w:val="auto"/>
        </w:rPr>
        <w:t>The Board of Directors is responsible for overseeing the Company’s processes for assessing and managing risk. The Board considers our risk profile when reviewing our annual business plan and incorporates risk assessment into its decisions impacting the Company. In performing its oversight responsibilities, the Board receives an annual risk assessment report from the Chief Financial Officer and discusses the most significant risks facing the Company. As part of this annual review, the Board reviews the Company’s cybersecurity risk profile and is informed on the specifics of the cybersecurity risk program in a separate annual presentation by the Company’s Chief Information Officer. This program provides the Board with an overview of the cybersecurity risks and threats landscape as well as reviews the Company’s risk posture. The Board is further briefed on actions and changes taken by management to mitigate the Company’s risk profile and provided with an overview of the cybersecurity strategy along with key cybersecurity initiatives and incidents.</w:t>
      </w:r>
    </w:p>
    <w:p>
      <w:pPr>
        <w:spacing w:after="0" w:line="68" w:lineRule="exact"/>
        <w:rPr>
          <w:sz w:val="20"/>
          <w:szCs w:val="20"/>
          <w:color w:val="auto"/>
        </w:rPr>
      </w:pPr>
    </w:p>
    <w:p>
      <w:pPr>
        <w:ind w:left="220" w:right="280"/>
        <w:spacing w:after="0" w:line="246" w:lineRule="auto"/>
        <w:rPr>
          <w:sz w:val="20"/>
          <w:szCs w:val="20"/>
          <w:color w:val="auto"/>
        </w:rPr>
      </w:pPr>
      <w:r>
        <w:rPr>
          <w:rFonts w:ascii="Arial" w:cs="Arial" w:eastAsia="Arial" w:hAnsi="Arial"/>
          <w:sz w:val="17"/>
          <w:szCs w:val="17"/>
          <w:color w:val="auto"/>
        </w:rPr>
        <w:t>The Board also has delegated certain risk oversight functions to the Audit Committee. In accordance with its charter, the Audit Committee periodically reviews and discusses the Company’s business and financial risk management and risk assessment policies and procedures with senior management, the Company’s independent auditor, and the Chief Audit Executive. The Audit Committee incorporates its risk oversight function into its regular reports to the Board.</w:t>
      </w:r>
    </w:p>
    <w:p>
      <w:pPr>
        <w:spacing w:after="0" w:line="62" w:lineRule="exact"/>
        <w:rPr>
          <w:sz w:val="20"/>
          <w:szCs w:val="20"/>
          <w:color w:val="auto"/>
        </w:rPr>
      </w:pPr>
    </w:p>
    <w:p>
      <w:pPr>
        <w:ind w:left="220" w:right="20"/>
        <w:spacing w:after="0" w:line="242" w:lineRule="auto"/>
        <w:rPr>
          <w:sz w:val="20"/>
          <w:szCs w:val="20"/>
          <w:color w:val="auto"/>
        </w:rPr>
      </w:pPr>
      <w:r>
        <w:rPr>
          <w:rFonts w:ascii="Arial" w:cs="Arial" w:eastAsia="Arial" w:hAnsi="Arial"/>
          <w:sz w:val="17"/>
          <w:szCs w:val="17"/>
          <w:color w:val="auto"/>
        </w:rPr>
        <w:t>In addition, the Compensation Policy Committee reviewed a risk assessment to determine whether the amount and components of compensation for the Company’s associates and the design of compensation programs might create incentives for excessive risk-taking by the Company’s associates. As explained in the CD&amp;A below, the Compensation Policy Committee believes that our compensation programs encourage associates, including our executives, to remain focused on a balance of the short- and long-term operational and financial goals of the Company, and thereby reduces the potential for actions that involve an excessive level of risk.</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Stockholder Communications with the Board</w:t>
      </w:r>
    </w:p>
    <w:p>
      <w:pPr>
        <w:spacing w:after="0" w:line="103" w:lineRule="exact"/>
        <w:rPr>
          <w:sz w:val="20"/>
          <w:szCs w:val="20"/>
          <w:color w:val="auto"/>
        </w:rPr>
      </w:pPr>
    </w:p>
    <w:p>
      <w:pPr>
        <w:ind w:left="220" w:right="40"/>
        <w:spacing w:after="0" w:line="238" w:lineRule="auto"/>
        <w:rPr>
          <w:sz w:val="20"/>
          <w:szCs w:val="20"/>
          <w:color w:val="auto"/>
        </w:rPr>
      </w:pPr>
      <w:r>
        <w:rPr>
          <w:rFonts w:ascii="Arial" w:cs="Arial" w:eastAsia="Arial" w:hAnsi="Arial"/>
          <w:sz w:val="17"/>
          <w:szCs w:val="17"/>
          <w:color w:val="auto"/>
        </w:rPr>
        <w:t xml:space="preserve">Stockholders and others interested in communicating with the Lead Director, the Audit Committee, the non-employee directors, or any of the employee directors may do so by e-mail to </w:t>
      </w:r>
      <w:r>
        <w:rPr>
          <w:rFonts w:ascii="Arial" w:cs="Arial" w:eastAsia="Arial" w:hAnsi="Arial"/>
          <w:sz w:val="17"/>
          <w:szCs w:val="17"/>
          <w:u w:val="single" w:color="auto"/>
          <w:color w:val="auto"/>
        </w:rPr>
        <w:t>business.ethics@marriott.com</w:t>
      </w:r>
      <w:r>
        <w:rPr>
          <w:rFonts w:ascii="Arial" w:cs="Arial" w:eastAsia="Arial" w:hAnsi="Arial"/>
          <w:sz w:val="17"/>
          <w:szCs w:val="17"/>
          <w:color w:val="auto"/>
        </w:rPr>
        <w:t xml:space="preserve"> or in writing to the Business Ethics Department, Department 52/924.09, 10400 Fernwood Road, Bethesda, Maryland 20817. All communications are forwarded to the appropriate directors for their review, except that the Board has instructed the Company not to forward solicitations, bulk mail or communications that do not address Company-related issues. The Company reports to the directors on the status of all outstanding concerns addressed to the non-employee directors, the Chair of the Nominating and Corporate Governance Committee, or the Audit Committee on a quarterly basis. The non-employee directors, the Chair of the Nominating and Corporate Governance Committee, or the Audit Committee may direct special procedures, including the retention of outside advisors or counsel, for any concern addressed to them.</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Code of Ethics and Business Conduct Guide</w:t>
      </w:r>
    </w:p>
    <w:p>
      <w:pPr>
        <w:spacing w:after="0" w:line="103" w:lineRule="exact"/>
        <w:rPr>
          <w:sz w:val="20"/>
          <w:szCs w:val="20"/>
          <w:color w:val="auto"/>
        </w:rPr>
      </w:pPr>
    </w:p>
    <w:p>
      <w:pPr>
        <w:ind w:left="220" w:right="40"/>
        <w:spacing w:after="0"/>
        <w:rPr>
          <w:sz w:val="20"/>
          <w:szCs w:val="20"/>
          <w:color w:val="auto"/>
        </w:rPr>
      </w:pPr>
      <w:r>
        <w:rPr>
          <w:rFonts w:ascii="Arial" w:cs="Arial" w:eastAsia="Arial" w:hAnsi="Arial"/>
          <w:sz w:val="17"/>
          <w:szCs w:val="17"/>
          <w:color w:val="auto"/>
        </w:rPr>
        <w:t>The Company has long maintained and enforced a Code of Ethics that applies to all Marriott associates, including our Chairman of the Board, Chief Executive Officer, Chief Financial Officer and Principal Accounting Officer and to each member of the Board. The Code of Ethics is encompassed in our Business Conduct Guide, which is available in the Investor Relations section of our website (</w:t>
      </w:r>
      <w:r>
        <w:rPr>
          <w:rFonts w:ascii="Arial" w:cs="Arial" w:eastAsia="Arial" w:hAnsi="Arial"/>
          <w:sz w:val="17"/>
          <w:szCs w:val="17"/>
          <w:u w:val="single" w:color="auto"/>
          <w:color w:val="auto"/>
        </w:rPr>
        <w:t>www.marriott.com/investor</w:t>
      </w:r>
      <w:r>
        <w:rPr>
          <w:rFonts w:ascii="Arial" w:cs="Arial" w:eastAsia="Arial" w:hAnsi="Arial"/>
          <w:sz w:val="17"/>
          <w:szCs w:val="17"/>
          <w:color w:val="auto"/>
        </w:rPr>
        <w:t>) by clicking on “Corporate Governance” and then “Documents &amp; Charters.” We will post on that website any future changes or amendments to our Code of Ethics, and any waiver of our Code of Ethics that applies to our Chairman of the Board, any of our executive officers, or a member of our Board within four business days following the date of the amendment or waiver.</w:t>
      </w:r>
    </w:p>
    <w:p>
      <w:pPr>
        <w:spacing w:after="0" w:line="113" w:lineRule="exact"/>
        <w:rPr>
          <w:sz w:val="20"/>
          <w:szCs w:val="20"/>
          <w:color w:val="auto"/>
        </w:rPr>
      </w:pPr>
    </w:p>
    <w:p>
      <w:pPr>
        <w:ind w:left="540" w:hanging="330"/>
        <w:spacing w:after="0"/>
        <w:tabs>
          <w:tab w:leader="none" w:pos="540" w:val="left"/>
        </w:tabs>
        <w:numPr>
          <w:ilvl w:val="0"/>
          <w:numId w:val="82"/>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180"/>
          </w:cols>
          <w:pgMar w:left="240" w:top="455" w:right="47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Audit Committee Report and Independent Auditor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25"/>
          <w:szCs w:val="25"/>
          <w:color w:val="998C87"/>
        </w:rPr>
        <w:t>AUDIT COMMITTEE REPORT AND INDEPENDENT AUDITOR FEES</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Report of the Audit Committee</w:t>
      </w:r>
    </w:p>
    <w:p>
      <w:pPr>
        <w:spacing w:after="0" w:line="104" w:lineRule="exact"/>
        <w:rPr>
          <w:sz w:val="20"/>
          <w:szCs w:val="20"/>
          <w:color w:val="auto"/>
        </w:rPr>
      </w:pPr>
    </w:p>
    <w:p>
      <w:pPr>
        <w:ind w:left="220" w:right="160"/>
        <w:spacing w:after="0" w:line="246" w:lineRule="auto"/>
        <w:rPr>
          <w:sz w:val="20"/>
          <w:szCs w:val="20"/>
          <w:color w:val="auto"/>
        </w:rPr>
      </w:pPr>
      <w:r>
        <w:rPr>
          <w:rFonts w:ascii="Arial" w:cs="Arial" w:eastAsia="Arial" w:hAnsi="Arial"/>
          <w:sz w:val="17"/>
          <w:szCs w:val="17"/>
          <w:color w:val="auto"/>
        </w:rPr>
        <w:t>The Audit Committee reviews the Company’s financial reporting process on behalf of the Board of Directors. Management has the primary responsibility for the financial statements, the reporting process, and maintaining an effective system of internal controls over financial reporting. The Company’s independent auditor is engaged to audit and express opinions on the conformity of the Company’s financial statements to accounting principles generally accepted in the United States and the effectiveness of the Company’s internal control over financial reporting.</w:t>
      </w:r>
    </w:p>
    <w:p>
      <w:pPr>
        <w:spacing w:after="0" w:line="62" w:lineRule="exact"/>
        <w:rPr>
          <w:sz w:val="20"/>
          <w:szCs w:val="20"/>
          <w:color w:val="auto"/>
        </w:rPr>
      </w:pPr>
    </w:p>
    <w:p>
      <w:pPr>
        <w:ind w:left="220" w:right="200"/>
        <w:spacing w:after="0"/>
        <w:rPr>
          <w:sz w:val="20"/>
          <w:szCs w:val="20"/>
          <w:color w:val="auto"/>
        </w:rPr>
      </w:pPr>
      <w:r>
        <w:rPr>
          <w:rFonts w:ascii="Arial" w:cs="Arial" w:eastAsia="Arial" w:hAnsi="Arial"/>
          <w:sz w:val="17"/>
          <w:szCs w:val="17"/>
          <w:color w:val="auto"/>
        </w:rPr>
        <w:t>In this context, the Audit Committee has reviewed and discussed the audited financial statements together with the results of management’s assessment of internal controls over financial reporting with management and the Company’s independent auditor. The Audit Committee also discussed with the independent auditor those matters required to be discussed by the independent auditor with the Audit Committee under the rules adopted by the Public Company Accounting Oversight Board (“</w:t>
      </w:r>
      <w:r>
        <w:rPr>
          <w:rFonts w:ascii="Arial" w:cs="Arial" w:eastAsia="Arial" w:hAnsi="Arial"/>
          <w:sz w:val="17"/>
          <w:szCs w:val="17"/>
          <w:i w:val="1"/>
          <w:iCs w:val="1"/>
          <w:color w:val="auto"/>
        </w:rPr>
        <w:t>PCAOB</w:t>
      </w:r>
      <w:r>
        <w:rPr>
          <w:rFonts w:ascii="Arial" w:cs="Arial" w:eastAsia="Arial" w:hAnsi="Arial"/>
          <w:sz w:val="17"/>
          <w:szCs w:val="17"/>
          <w:color w:val="auto"/>
        </w:rPr>
        <w:t>”). The Audit Committee has received the written disclosures along with the annual PCAOB Rule 3526 communication of independence including direct discussion with the independent auditor in accordance with the requirements of the PCAOB.</w:t>
      </w:r>
    </w:p>
    <w:p>
      <w:pPr>
        <w:spacing w:after="0" w:line="68" w:lineRule="exact"/>
        <w:rPr>
          <w:sz w:val="20"/>
          <w:szCs w:val="20"/>
          <w:color w:val="auto"/>
        </w:rPr>
      </w:pPr>
    </w:p>
    <w:p>
      <w:pPr>
        <w:ind w:left="220"/>
        <w:spacing w:after="0" w:line="253" w:lineRule="auto"/>
        <w:rPr>
          <w:sz w:val="20"/>
          <w:szCs w:val="20"/>
          <w:color w:val="auto"/>
        </w:rPr>
      </w:pPr>
      <w:r>
        <w:rPr>
          <w:rFonts w:ascii="Arial" w:cs="Arial" w:eastAsia="Arial" w:hAnsi="Arial"/>
          <w:sz w:val="17"/>
          <w:szCs w:val="17"/>
          <w:color w:val="auto"/>
        </w:rPr>
        <w:t>Relying on the reviews and discussions referred to above, the Audit Committee recommended to the Board of Directors, and the Board has approved, that the audited financial statements be included in the Company’s Annual Report on SEC Form 10-K for the year ended December 31, 2017, for filing with the SEC.</w:t>
      </w:r>
    </w:p>
    <w:p>
      <w:pPr>
        <w:spacing w:after="0" w:line="5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Members of the Audit Committee:</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Frederick A. Henderson (Chair)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Mary K. Bush</w:t>
      </w:r>
    </w:p>
    <w:p>
      <w:pPr>
        <w:ind w:left="660"/>
        <w:spacing w:after="0" w:line="231" w:lineRule="auto"/>
        <w:rPr>
          <w:sz w:val="20"/>
          <w:szCs w:val="20"/>
          <w:color w:val="auto"/>
        </w:rPr>
      </w:pPr>
      <w:r>
        <w:rPr>
          <w:rFonts w:ascii="Arial" w:cs="Arial" w:eastAsia="Arial" w:hAnsi="Arial"/>
          <w:sz w:val="17"/>
          <w:szCs w:val="17"/>
          <w:color w:val="auto"/>
        </w:rPr>
        <w:t>Aylwin B. Lewis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George Muñoz</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Pre-Approval of Independent Auditor Fees and Services Policy</w:t>
      </w:r>
    </w:p>
    <w:p>
      <w:pPr>
        <w:spacing w:after="0" w:line="104" w:lineRule="exact"/>
        <w:rPr>
          <w:sz w:val="20"/>
          <w:szCs w:val="20"/>
          <w:color w:val="auto"/>
        </w:rPr>
      </w:pPr>
    </w:p>
    <w:p>
      <w:pPr>
        <w:ind w:left="220" w:right="40"/>
        <w:spacing w:after="0" w:line="242" w:lineRule="auto"/>
        <w:rPr>
          <w:sz w:val="20"/>
          <w:szCs w:val="20"/>
          <w:color w:val="auto"/>
        </w:rPr>
      </w:pPr>
      <w:r>
        <w:rPr>
          <w:rFonts w:ascii="Arial" w:cs="Arial" w:eastAsia="Arial" w:hAnsi="Arial"/>
          <w:sz w:val="17"/>
          <w:szCs w:val="17"/>
          <w:color w:val="auto"/>
        </w:rPr>
        <w:t>The Audit Committee’s Pre-Approval of Independent Auditor Fees and Services Policy provides for pre-approval of all audit, audit-related, tax and other permissible non-audit services provided by our independent auditor on an annual basis and additional services as needed. The policy also requires additional approval of any engagements that were previously approved but are anticipated to exceed pre-approved fee levels. The policy permits the Audit Committee Chair to pre-approve independent auditor services with estimated fees up to $100,000 (provided that the Audit Committee Chair reports to the full Audit Committee at the next meeting on any pre-approval determinations).</w:t>
      </w:r>
    </w:p>
    <w:p>
      <w:pPr>
        <w:spacing w:after="0" w:line="112" w:lineRule="exact"/>
        <w:rPr>
          <w:sz w:val="20"/>
          <w:szCs w:val="20"/>
          <w:color w:val="auto"/>
        </w:rPr>
      </w:pPr>
    </w:p>
    <w:tbl>
      <w:tblPr>
        <w:tblLayout w:type="fixed"/>
        <w:tblInd w:w="9180" w:type="dxa"/>
        <w:tblCellMar>
          <w:top w:w="0" w:type="dxa"/>
          <w:left w:w="0" w:type="dxa"/>
          <w:bottom w:w="0" w:type="dxa"/>
          <w:right w:w="0" w:type="dxa"/>
        </w:tblCellMar>
      </w:tblPr>
      <w:tr>
        <w:trPr>
          <w:trHeight w:val="214"/>
        </w:trPr>
        <w:tc>
          <w:tcPr>
            <w:tcW w:w="1660" w:type="dxa"/>
            <w:vAlign w:val="bottom"/>
          </w:tcPr>
          <w:p>
            <w:pPr>
              <w:spacing w:after="0"/>
              <w:rPr>
                <w:sz w:val="20"/>
                <w:szCs w:val="20"/>
                <w:color w:val="auto"/>
              </w:rPr>
            </w:pPr>
            <w:r>
              <w:rPr>
                <w:rFonts w:ascii="Arial" w:cs="Arial" w:eastAsia="Arial" w:hAnsi="Arial"/>
                <w:sz w:val="15"/>
                <w:szCs w:val="15"/>
                <w:color w:val="998C87"/>
              </w:rPr>
              <w:t>2018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31</w:t>
            </w:r>
          </w:p>
        </w:tc>
      </w:tr>
    </w:tbl>
    <w:p>
      <w:pPr>
        <w:sectPr>
          <w:pgSz w:w="11900" w:h="16838" w:orient="portrait"/>
          <w:cols w:equalWidth="0" w:num="1">
            <w:col w:w="11220"/>
          </w:cols>
          <w:pgMar w:left="240" w:top="455" w:right="4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Audit Committee Report and Independent Auditor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Independent Registered Public Accounting Firm Fee Disclosure</w:t>
      </w:r>
    </w:p>
    <w:p>
      <w:pPr>
        <w:spacing w:after="0" w:line="104" w:lineRule="exact"/>
        <w:rPr>
          <w:sz w:val="20"/>
          <w:szCs w:val="20"/>
          <w:color w:val="auto"/>
        </w:rPr>
      </w:pPr>
    </w:p>
    <w:p>
      <w:pPr>
        <w:ind w:left="220" w:right="380"/>
        <w:spacing w:after="0" w:line="253" w:lineRule="auto"/>
        <w:rPr>
          <w:sz w:val="20"/>
          <w:szCs w:val="20"/>
          <w:color w:val="auto"/>
        </w:rPr>
      </w:pPr>
      <w:r>
        <w:rPr>
          <w:rFonts w:ascii="Arial" w:cs="Arial" w:eastAsia="Arial" w:hAnsi="Arial"/>
          <w:sz w:val="17"/>
          <w:szCs w:val="17"/>
          <w:color w:val="auto"/>
        </w:rPr>
        <w:t>The following table presents fees for professional services rendered by our independent registered public accounting firm for the audit of our annual financial statements for 2017 and 2016 and fees billed for audit-related services, tax services and all other services rendered by our independent registered public accounting firm for 2017 and 2016. The Audit Committee approved all of the fees presented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139065</wp:posOffset>
            </wp:positionV>
            <wp:extent cx="6989445" cy="15760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89445" cy="1576070"/>
                    </a:xfrm>
                    <a:prstGeom prst="rect">
                      <a:avLst/>
                    </a:prstGeom>
                    <a:noFill/>
                  </pic:spPr>
                </pic:pic>
              </a:graphicData>
            </a:graphic>
          </wp:anchor>
        </w:drawing>
      </w:r>
    </w:p>
    <w:p>
      <w:pPr>
        <w:spacing w:after="0" w:line="198"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4820" w:type="dxa"/>
            <w:vAlign w:val="bottom"/>
            <w:shd w:val="clear" w:color="auto" w:fill="998C87"/>
          </w:tcPr>
          <w:p>
            <w:pPr>
              <w:spacing w:after="0"/>
              <w:rPr>
                <w:sz w:val="16"/>
                <w:szCs w:val="16"/>
                <w:color w:val="auto"/>
              </w:rPr>
            </w:pPr>
          </w:p>
        </w:tc>
        <w:tc>
          <w:tcPr>
            <w:tcW w:w="20" w:type="dxa"/>
            <w:vAlign w:val="bottom"/>
            <w:shd w:val="clear" w:color="auto" w:fill="998C87"/>
          </w:tcPr>
          <w:p>
            <w:pPr>
              <w:spacing w:after="0"/>
              <w:rPr>
                <w:sz w:val="16"/>
                <w:szCs w:val="16"/>
                <w:color w:val="auto"/>
              </w:rPr>
            </w:pPr>
          </w:p>
        </w:tc>
        <w:tc>
          <w:tcPr>
            <w:tcW w:w="306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Independent Registered Public</w:t>
            </w:r>
          </w:p>
        </w:tc>
        <w:tc>
          <w:tcPr>
            <w:tcW w:w="310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Independent Registered Public</w:t>
            </w:r>
          </w:p>
        </w:tc>
        <w:tc>
          <w:tcPr>
            <w:tcW w:w="0" w:type="dxa"/>
            <w:vAlign w:val="bottom"/>
          </w:tcPr>
          <w:p>
            <w:pPr>
              <w:spacing w:after="0"/>
              <w:rPr>
                <w:sz w:val="1"/>
                <w:szCs w:val="1"/>
                <w:color w:val="auto"/>
              </w:rPr>
            </w:pPr>
          </w:p>
        </w:tc>
      </w:tr>
      <w:tr>
        <w:trPr>
          <w:trHeight w:val="189"/>
        </w:trPr>
        <w:tc>
          <w:tcPr>
            <w:tcW w:w="4820" w:type="dxa"/>
            <w:vAlign w:val="bottom"/>
            <w:shd w:val="clear" w:color="auto" w:fill="998C87"/>
          </w:tcPr>
          <w:p>
            <w:pPr>
              <w:spacing w:after="0"/>
              <w:rPr>
                <w:sz w:val="16"/>
                <w:szCs w:val="16"/>
                <w:color w:val="auto"/>
              </w:rPr>
            </w:pPr>
          </w:p>
        </w:tc>
        <w:tc>
          <w:tcPr>
            <w:tcW w:w="20" w:type="dxa"/>
            <w:vAlign w:val="bottom"/>
            <w:shd w:val="clear" w:color="auto" w:fill="998C87"/>
          </w:tcPr>
          <w:p>
            <w:pPr>
              <w:spacing w:after="0"/>
              <w:rPr>
                <w:sz w:val="16"/>
                <w:szCs w:val="16"/>
                <w:color w:val="auto"/>
              </w:rPr>
            </w:pPr>
          </w:p>
        </w:tc>
        <w:tc>
          <w:tcPr>
            <w:tcW w:w="306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Accounting Firm Fees Paid</w:t>
            </w:r>
          </w:p>
        </w:tc>
        <w:tc>
          <w:tcPr>
            <w:tcW w:w="310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Accounting Firm Fees Paid</w:t>
            </w:r>
          </w:p>
        </w:tc>
        <w:tc>
          <w:tcPr>
            <w:tcW w:w="0" w:type="dxa"/>
            <w:vAlign w:val="bottom"/>
          </w:tcPr>
          <w:p>
            <w:pPr>
              <w:spacing w:after="0"/>
              <w:rPr>
                <w:sz w:val="1"/>
                <w:szCs w:val="1"/>
                <w:color w:val="auto"/>
              </w:rPr>
            </w:pPr>
          </w:p>
        </w:tc>
      </w:tr>
      <w:tr>
        <w:trPr>
          <w:trHeight w:val="222"/>
        </w:trPr>
        <w:tc>
          <w:tcPr>
            <w:tcW w:w="4820" w:type="dxa"/>
            <w:vAlign w:val="bottom"/>
            <w:shd w:val="clear" w:color="auto" w:fill="998C87"/>
          </w:tcPr>
          <w:p>
            <w:pPr>
              <w:spacing w:after="0"/>
              <w:rPr>
                <w:sz w:val="19"/>
                <w:szCs w:val="19"/>
                <w:color w:val="auto"/>
              </w:rPr>
            </w:pPr>
          </w:p>
        </w:tc>
        <w:tc>
          <w:tcPr>
            <w:tcW w:w="20" w:type="dxa"/>
            <w:vAlign w:val="bottom"/>
            <w:shd w:val="clear" w:color="auto" w:fill="998C87"/>
          </w:tcPr>
          <w:p>
            <w:pPr>
              <w:spacing w:after="0"/>
              <w:rPr>
                <w:sz w:val="19"/>
                <w:szCs w:val="19"/>
                <w:color w:val="auto"/>
              </w:rPr>
            </w:pPr>
          </w:p>
        </w:tc>
        <w:tc>
          <w:tcPr>
            <w:tcW w:w="306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Related to 2017</w:t>
            </w:r>
          </w:p>
        </w:tc>
        <w:tc>
          <w:tcPr>
            <w:tcW w:w="310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Related to 2016</w:t>
            </w:r>
          </w:p>
        </w:tc>
        <w:tc>
          <w:tcPr>
            <w:tcW w:w="0" w:type="dxa"/>
            <w:vAlign w:val="bottom"/>
          </w:tcPr>
          <w:p>
            <w:pPr>
              <w:spacing w:after="0"/>
              <w:rPr>
                <w:sz w:val="1"/>
                <w:szCs w:val="1"/>
                <w:color w:val="auto"/>
              </w:rPr>
            </w:pPr>
          </w:p>
        </w:tc>
      </w:tr>
      <w:tr>
        <w:trPr>
          <w:trHeight w:val="189"/>
        </w:trPr>
        <w:tc>
          <w:tcPr>
            <w:tcW w:w="4820" w:type="dxa"/>
            <w:vAlign w:val="bottom"/>
            <w:shd w:val="clear" w:color="auto" w:fill="998C87"/>
          </w:tcPr>
          <w:p>
            <w:pPr>
              <w:spacing w:after="0"/>
              <w:rPr>
                <w:sz w:val="16"/>
                <w:szCs w:val="16"/>
                <w:color w:val="auto"/>
              </w:rPr>
            </w:pPr>
          </w:p>
        </w:tc>
        <w:tc>
          <w:tcPr>
            <w:tcW w:w="20" w:type="dxa"/>
            <w:vAlign w:val="bottom"/>
            <w:shd w:val="clear" w:color="auto" w:fill="998C87"/>
          </w:tcPr>
          <w:p>
            <w:pPr>
              <w:spacing w:after="0"/>
              <w:rPr>
                <w:sz w:val="16"/>
                <w:szCs w:val="16"/>
                <w:color w:val="auto"/>
              </w:rPr>
            </w:pPr>
          </w:p>
        </w:tc>
        <w:tc>
          <w:tcPr>
            <w:tcW w:w="306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Ernst &amp; Young LLP</w:t>
            </w:r>
          </w:p>
        </w:tc>
        <w:tc>
          <w:tcPr>
            <w:tcW w:w="310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Ernst &amp; Young LLP</w:t>
            </w:r>
          </w:p>
        </w:tc>
        <w:tc>
          <w:tcPr>
            <w:tcW w:w="0" w:type="dxa"/>
            <w:vAlign w:val="bottom"/>
          </w:tcPr>
          <w:p>
            <w:pPr>
              <w:spacing w:after="0"/>
              <w:rPr>
                <w:sz w:val="1"/>
                <w:szCs w:val="1"/>
                <w:color w:val="auto"/>
              </w:rPr>
            </w:pPr>
          </w:p>
        </w:tc>
      </w:tr>
      <w:tr>
        <w:trPr>
          <w:trHeight w:val="202"/>
        </w:trPr>
        <w:tc>
          <w:tcPr>
            <w:tcW w:w="4840" w:type="dxa"/>
            <w:vAlign w:val="bottom"/>
            <w:gridSpan w:val="2"/>
            <w:shd w:val="clear" w:color="auto" w:fill="F4F3F3"/>
          </w:tcPr>
          <w:p>
            <w:pPr>
              <w:ind w:left="80"/>
              <w:spacing w:after="0"/>
              <w:rPr>
                <w:sz w:val="20"/>
                <w:szCs w:val="20"/>
                <w:color w:val="auto"/>
              </w:rPr>
            </w:pPr>
            <w:r>
              <w:rPr>
                <w:rFonts w:ascii="Arial" w:cs="Arial" w:eastAsia="Arial" w:hAnsi="Arial"/>
                <w:sz w:val="17"/>
                <w:szCs w:val="17"/>
                <w:color w:val="auto"/>
              </w:rPr>
              <w:t>Audit Fees:</w:t>
            </w:r>
          </w:p>
        </w:tc>
        <w:tc>
          <w:tcPr>
            <w:tcW w:w="3060" w:type="dxa"/>
            <w:vAlign w:val="bottom"/>
            <w:shd w:val="clear" w:color="auto" w:fill="F4F3F3"/>
          </w:tcPr>
          <w:p>
            <w:pPr>
              <w:spacing w:after="0"/>
              <w:rPr>
                <w:sz w:val="17"/>
                <w:szCs w:val="17"/>
                <w:color w:val="auto"/>
              </w:rPr>
            </w:pPr>
          </w:p>
        </w:tc>
        <w:tc>
          <w:tcPr>
            <w:tcW w:w="3100" w:type="dxa"/>
            <w:vAlign w:val="bottom"/>
            <w:shd w:val="clear" w:color="auto" w:fill="F4F3F3"/>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F4F3F3"/>
          </w:tcPr>
          <w:p>
            <w:pPr>
              <w:ind w:left="80"/>
              <w:spacing w:after="0"/>
              <w:rPr>
                <w:sz w:val="20"/>
                <w:szCs w:val="20"/>
                <w:color w:val="auto"/>
              </w:rPr>
            </w:pPr>
            <w:r>
              <w:rPr>
                <w:rFonts w:ascii="Arial" w:cs="Arial" w:eastAsia="Arial" w:hAnsi="Arial"/>
                <w:sz w:val="17"/>
                <w:szCs w:val="17"/>
                <w:color w:val="auto"/>
              </w:rPr>
              <w:t>Consolidated Audit(1)</w:t>
            </w:r>
          </w:p>
        </w:tc>
        <w:tc>
          <w:tcPr>
            <w:tcW w:w="306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$ 9,869,000</w:t>
            </w:r>
          </w:p>
        </w:tc>
        <w:tc>
          <w:tcPr>
            <w:tcW w:w="310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$ 8,331,000</w:t>
            </w:r>
          </w:p>
        </w:tc>
        <w:tc>
          <w:tcPr>
            <w:tcW w:w="0" w:type="dxa"/>
            <w:vAlign w:val="bottom"/>
          </w:tcPr>
          <w:p>
            <w:pPr>
              <w:spacing w:after="0"/>
              <w:rPr>
                <w:sz w:val="1"/>
                <w:szCs w:val="1"/>
                <w:color w:val="auto"/>
              </w:rPr>
            </w:pPr>
          </w:p>
        </w:tc>
      </w:tr>
      <w:tr>
        <w:trPr>
          <w:trHeight w:val="209"/>
        </w:trPr>
        <w:tc>
          <w:tcPr>
            <w:tcW w:w="4840" w:type="dxa"/>
            <w:vAlign w:val="bottom"/>
            <w:gridSpan w:val="2"/>
            <w:shd w:val="clear" w:color="auto" w:fill="F4F3F3"/>
          </w:tcPr>
          <w:p>
            <w:pPr>
              <w:ind w:left="80"/>
              <w:spacing w:after="0"/>
              <w:rPr>
                <w:sz w:val="20"/>
                <w:szCs w:val="20"/>
                <w:color w:val="auto"/>
              </w:rPr>
            </w:pPr>
            <w:r>
              <w:rPr>
                <w:rFonts w:ascii="Arial" w:cs="Arial" w:eastAsia="Arial" w:hAnsi="Arial"/>
                <w:sz w:val="17"/>
                <w:szCs w:val="17"/>
                <w:color w:val="auto"/>
              </w:rPr>
              <w:t>International Statutory Audits(2)</w:t>
            </w:r>
          </w:p>
        </w:tc>
        <w:tc>
          <w:tcPr>
            <w:tcW w:w="306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2,027,000</w:t>
            </w:r>
          </w:p>
        </w:tc>
        <w:tc>
          <w:tcPr>
            <w:tcW w:w="310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1,925,000</w:t>
            </w:r>
          </w:p>
        </w:tc>
        <w:tc>
          <w:tcPr>
            <w:tcW w:w="0" w:type="dxa"/>
            <w:vAlign w:val="bottom"/>
          </w:tcPr>
          <w:p>
            <w:pPr>
              <w:spacing w:after="0"/>
              <w:rPr>
                <w:sz w:val="1"/>
                <w:szCs w:val="1"/>
                <w:color w:val="auto"/>
              </w:rPr>
            </w:pPr>
          </w:p>
        </w:tc>
      </w:tr>
      <w:tr>
        <w:trPr>
          <w:trHeight w:val="196"/>
        </w:trPr>
        <w:tc>
          <w:tcPr>
            <w:tcW w:w="4820" w:type="dxa"/>
            <w:vAlign w:val="bottom"/>
            <w:tcBorders>
              <w:top w:val="single" w:sz="8" w:color="F4F3F3"/>
              <w:bottom w:val="single" w:sz="8" w:color="F4F3F3"/>
            </w:tcBorders>
            <w:vMerge w:val="restart"/>
            <w:shd w:val="clear" w:color="auto" w:fill="F4F3F3"/>
          </w:tcPr>
          <w:p>
            <w:pPr>
              <w:ind w:left="80"/>
              <w:spacing w:after="0"/>
              <w:rPr>
                <w:sz w:val="20"/>
                <w:szCs w:val="20"/>
                <w:color w:val="auto"/>
              </w:rPr>
            </w:pPr>
            <w:r>
              <w:rPr>
                <w:rFonts w:ascii="Arial" w:cs="Arial" w:eastAsia="Arial" w:hAnsi="Arial"/>
                <w:sz w:val="17"/>
                <w:szCs w:val="17"/>
                <w:color w:val="auto"/>
              </w:rPr>
              <w:t>Audit-Related Fees(3)</w:t>
            </w:r>
          </w:p>
        </w:tc>
        <w:tc>
          <w:tcPr>
            <w:tcW w:w="20" w:type="dxa"/>
            <w:vAlign w:val="bottom"/>
            <w:tcBorders>
              <w:top w:val="single" w:sz="8" w:color="998C87"/>
              <w:bottom w:val="single" w:sz="8" w:color="998C87"/>
            </w:tcBorders>
            <w:shd w:val="clear" w:color="auto" w:fill="F4F3F3"/>
          </w:tcPr>
          <w:p>
            <w:pPr>
              <w:spacing w:after="0"/>
              <w:rPr>
                <w:sz w:val="17"/>
                <w:szCs w:val="17"/>
                <w:color w:val="auto"/>
              </w:rPr>
            </w:pPr>
          </w:p>
        </w:tc>
        <w:tc>
          <w:tcPr>
            <w:tcW w:w="3060" w:type="dxa"/>
            <w:vAlign w:val="bottom"/>
            <w:tcBorders>
              <w:top w:val="single" w:sz="8" w:color="998C87"/>
              <w:bottom w:val="single" w:sz="8" w:color="998C87"/>
            </w:tcBorders>
            <w:shd w:val="clear" w:color="auto" w:fill="F4F3F3"/>
          </w:tcPr>
          <w:p>
            <w:pPr>
              <w:jc w:val="right"/>
              <w:ind w:right="96"/>
              <w:spacing w:after="0" w:line="189" w:lineRule="exact"/>
              <w:rPr>
                <w:sz w:val="20"/>
                <w:szCs w:val="20"/>
                <w:color w:val="auto"/>
              </w:rPr>
            </w:pPr>
            <w:r>
              <w:rPr>
                <w:rFonts w:ascii="Arial" w:cs="Arial" w:eastAsia="Arial" w:hAnsi="Arial"/>
                <w:sz w:val="17"/>
                <w:szCs w:val="17"/>
                <w:color w:val="auto"/>
              </w:rPr>
              <w:t>11,896,000</w:t>
            </w:r>
          </w:p>
        </w:tc>
        <w:tc>
          <w:tcPr>
            <w:tcW w:w="3100" w:type="dxa"/>
            <w:vAlign w:val="bottom"/>
            <w:tcBorders>
              <w:top w:val="single" w:sz="8" w:color="998C87"/>
              <w:bottom w:val="single" w:sz="8" w:color="998C87"/>
            </w:tcBorders>
            <w:shd w:val="clear" w:color="auto" w:fill="F4F3F3"/>
          </w:tcPr>
          <w:p>
            <w:pPr>
              <w:jc w:val="right"/>
              <w:ind w:right="96"/>
              <w:spacing w:after="0" w:line="189" w:lineRule="exact"/>
              <w:rPr>
                <w:sz w:val="20"/>
                <w:szCs w:val="20"/>
                <w:color w:val="auto"/>
              </w:rPr>
            </w:pPr>
            <w:r>
              <w:rPr>
                <w:rFonts w:ascii="Arial" w:cs="Arial" w:eastAsia="Arial" w:hAnsi="Arial"/>
                <w:sz w:val="17"/>
                <w:szCs w:val="17"/>
                <w:color w:val="auto"/>
              </w:rPr>
              <w:t>10,256,000</w:t>
            </w:r>
          </w:p>
        </w:tc>
        <w:tc>
          <w:tcPr>
            <w:tcW w:w="0" w:type="dxa"/>
            <w:vAlign w:val="bottom"/>
          </w:tcPr>
          <w:p>
            <w:pPr>
              <w:spacing w:after="0"/>
              <w:rPr>
                <w:sz w:val="1"/>
                <w:szCs w:val="1"/>
                <w:color w:val="auto"/>
              </w:rPr>
            </w:pPr>
          </w:p>
        </w:tc>
      </w:tr>
      <w:tr>
        <w:trPr>
          <w:trHeight w:val="202"/>
        </w:trPr>
        <w:tc>
          <w:tcPr>
            <w:tcW w:w="4820" w:type="dxa"/>
            <w:vAlign w:val="bottom"/>
            <w:vMerge w:val="continue"/>
            <w:shd w:val="clear" w:color="auto" w:fill="F4F3F3"/>
          </w:tcPr>
          <w:p>
            <w:pPr>
              <w:spacing w:after="0"/>
              <w:rPr>
                <w:sz w:val="17"/>
                <w:szCs w:val="17"/>
                <w:color w:val="auto"/>
              </w:rPr>
            </w:pPr>
          </w:p>
        </w:tc>
        <w:tc>
          <w:tcPr>
            <w:tcW w:w="20" w:type="dxa"/>
            <w:vAlign w:val="bottom"/>
            <w:shd w:val="clear" w:color="auto" w:fill="F4F3F3"/>
          </w:tcPr>
          <w:p>
            <w:pPr>
              <w:spacing w:after="0"/>
              <w:rPr>
                <w:sz w:val="17"/>
                <w:szCs w:val="17"/>
                <w:color w:val="auto"/>
              </w:rPr>
            </w:pPr>
          </w:p>
        </w:tc>
        <w:tc>
          <w:tcPr>
            <w:tcW w:w="306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1,224,000</w:t>
            </w:r>
          </w:p>
        </w:tc>
        <w:tc>
          <w:tcPr>
            <w:tcW w:w="310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1,243,000</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F4F3F3"/>
          </w:tcPr>
          <w:p>
            <w:pPr>
              <w:ind w:left="80"/>
              <w:spacing w:after="0"/>
              <w:rPr>
                <w:sz w:val="20"/>
                <w:szCs w:val="20"/>
                <w:color w:val="auto"/>
              </w:rPr>
            </w:pPr>
            <w:r>
              <w:rPr>
                <w:rFonts w:ascii="Arial" w:cs="Arial" w:eastAsia="Arial" w:hAnsi="Arial"/>
                <w:sz w:val="17"/>
                <w:szCs w:val="17"/>
                <w:color w:val="auto"/>
              </w:rPr>
              <w:t>Tax Fees(4)</w:t>
            </w:r>
          </w:p>
        </w:tc>
        <w:tc>
          <w:tcPr>
            <w:tcW w:w="306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3,645,000</w:t>
            </w:r>
          </w:p>
        </w:tc>
        <w:tc>
          <w:tcPr>
            <w:tcW w:w="310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987,000</w:t>
            </w:r>
          </w:p>
        </w:tc>
        <w:tc>
          <w:tcPr>
            <w:tcW w:w="0" w:type="dxa"/>
            <w:vAlign w:val="bottom"/>
          </w:tcPr>
          <w:p>
            <w:pPr>
              <w:spacing w:after="0"/>
              <w:rPr>
                <w:sz w:val="1"/>
                <w:szCs w:val="1"/>
                <w:color w:val="auto"/>
              </w:rPr>
            </w:pPr>
          </w:p>
        </w:tc>
      </w:tr>
      <w:tr>
        <w:trPr>
          <w:trHeight w:val="209"/>
        </w:trPr>
        <w:tc>
          <w:tcPr>
            <w:tcW w:w="4840" w:type="dxa"/>
            <w:vAlign w:val="bottom"/>
            <w:gridSpan w:val="2"/>
            <w:shd w:val="clear" w:color="auto" w:fill="F4F3F3"/>
          </w:tcPr>
          <w:p>
            <w:pPr>
              <w:ind w:left="80"/>
              <w:spacing w:after="0"/>
              <w:rPr>
                <w:sz w:val="20"/>
                <w:szCs w:val="20"/>
                <w:color w:val="auto"/>
              </w:rPr>
            </w:pPr>
            <w:r>
              <w:rPr>
                <w:rFonts w:ascii="Arial" w:cs="Arial" w:eastAsia="Arial" w:hAnsi="Arial"/>
                <w:sz w:val="17"/>
                <w:szCs w:val="17"/>
                <w:color w:val="auto"/>
              </w:rPr>
              <w:t>All Other Fees</w:t>
            </w:r>
          </w:p>
        </w:tc>
        <w:tc>
          <w:tcPr>
            <w:tcW w:w="3060" w:type="dxa"/>
            <w:vAlign w:val="bottom"/>
            <w:shd w:val="clear" w:color="auto" w:fill="F4F3F3"/>
          </w:tcPr>
          <w:p>
            <w:pPr>
              <w:jc w:val="right"/>
              <w:ind w:right="196"/>
              <w:spacing w:after="0"/>
              <w:rPr>
                <w:sz w:val="20"/>
                <w:szCs w:val="20"/>
                <w:color w:val="auto"/>
              </w:rPr>
            </w:pPr>
            <w:r>
              <w:rPr>
                <w:rFonts w:ascii="Arial" w:cs="Arial" w:eastAsia="Arial" w:hAnsi="Arial"/>
                <w:sz w:val="17"/>
                <w:szCs w:val="17"/>
                <w:color w:val="auto"/>
              </w:rPr>
              <w:t>—</w:t>
            </w:r>
          </w:p>
        </w:tc>
        <w:tc>
          <w:tcPr>
            <w:tcW w:w="3100" w:type="dxa"/>
            <w:vAlign w:val="bottom"/>
            <w:shd w:val="clear" w:color="auto" w:fill="F4F3F3"/>
          </w:tcPr>
          <w:p>
            <w:pPr>
              <w:jc w:val="right"/>
              <w:ind w:right="19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4820" w:type="dxa"/>
            <w:vAlign w:val="bottom"/>
            <w:tcBorders>
              <w:top w:val="single" w:sz="8" w:color="F4F3F3"/>
            </w:tcBorders>
            <w:shd w:val="clear" w:color="auto" w:fill="F4F3F3"/>
          </w:tcPr>
          <w:p>
            <w:pPr>
              <w:ind w:left="80"/>
              <w:spacing w:after="0" w:line="189" w:lineRule="exact"/>
              <w:rPr>
                <w:sz w:val="20"/>
                <w:szCs w:val="20"/>
                <w:color w:val="auto"/>
              </w:rPr>
            </w:pPr>
            <w:r>
              <w:rPr>
                <w:rFonts w:ascii="Arial" w:cs="Arial" w:eastAsia="Arial" w:hAnsi="Arial"/>
                <w:sz w:val="17"/>
                <w:szCs w:val="17"/>
                <w:color w:val="auto"/>
              </w:rPr>
              <w:t>Total Fees</w:t>
            </w:r>
          </w:p>
        </w:tc>
        <w:tc>
          <w:tcPr>
            <w:tcW w:w="20" w:type="dxa"/>
            <w:vAlign w:val="bottom"/>
            <w:tcBorders>
              <w:top w:val="single" w:sz="8" w:color="998C87"/>
            </w:tcBorders>
            <w:shd w:val="clear" w:color="auto" w:fill="F4F3F3"/>
          </w:tcPr>
          <w:p>
            <w:pPr>
              <w:spacing w:after="0"/>
              <w:rPr>
                <w:sz w:val="16"/>
                <w:szCs w:val="16"/>
                <w:color w:val="auto"/>
              </w:rPr>
            </w:pPr>
          </w:p>
        </w:tc>
        <w:tc>
          <w:tcPr>
            <w:tcW w:w="3060" w:type="dxa"/>
            <w:vAlign w:val="bottom"/>
            <w:tcBorders>
              <w:top w:val="single" w:sz="8" w:color="998C87"/>
            </w:tcBorders>
            <w:shd w:val="clear" w:color="auto" w:fill="F4F3F3"/>
          </w:tcPr>
          <w:p>
            <w:pPr>
              <w:jc w:val="right"/>
              <w:ind w:right="96"/>
              <w:spacing w:after="0" w:line="189" w:lineRule="exact"/>
              <w:rPr>
                <w:sz w:val="20"/>
                <w:szCs w:val="20"/>
                <w:color w:val="auto"/>
              </w:rPr>
            </w:pPr>
            <w:r>
              <w:rPr>
                <w:rFonts w:ascii="Arial" w:cs="Arial" w:eastAsia="Arial" w:hAnsi="Arial"/>
                <w:sz w:val="17"/>
                <w:szCs w:val="17"/>
                <w:color w:val="auto"/>
              </w:rPr>
              <w:t>$16,765,000</w:t>
            </w:r>
          </w:p>
        </w:tc>
        <w:tc>
          <w:tcPr>
            <w:tcW w:w="3100" w:type="dxa"/>
            <w:vAlign w:val="bottom"/>
            <w:tcBorders>
              <w:top w:val="single" w:sz="8" w:color="998C87"/>
            </w:tcBorders>
            <w:shd w:val="clear" w:color="auto" w:fill="F4F3F3"/>
          </w:tcPr>
          <w:p>
            <w:pPr>
              <w:jc w:val="right"/>
              <w:ind w:right="96"/>
              <w:spacing w:after="0" w:line="189" w:lineRule="exact"/>
              <w:rPr>
                <w:sz w:val="20"/>
                <w:szCs w:val="20"/>
                <w:color w:val="auto"/>
              </w:rPr>
            </w:pPr>
            <w:r>
              <w:rPr>
                <w:rFonts w:ascii="Arial" w:cs="Arial" w:eastAsia="Arial" w:hAnsi="Arial"/>
                <w:sz w:val="17"/>
                <w:szCs w:val="17"/>
                <w:color w:val="auto"/>
              </w:rPr>
              <w:t>$12,486,000</w:t>
            </w: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420" w:right="280" w:hanging="210"/>
        <w:spacing w:after="0" w:line="202" w:lineRule="auto"/>
        <w:tabs>
          <w:tab w:leader="none" w:pos="420" w:val="left"/>
        </w:tabs>
        <w:numPr>
          <w:ilvl w:val="0"/>
          <w:numId w:val="83"/>
        </w:numPr>
        <w:rPr>
          <w:rFonts w:ascii="Arial" w:cs="Arial" w:eastAsia="Arial" w:hAnsi="Arial"/>
          <w:sz w:val="24"/>
          <w:szCs w:val="24"/>
          <w:color w:val="333333"/>
          <w:vertAlign w:val="superscript"/>
        </w:rPr>
      </w:pPr>
      <w:r>
        <w:rPr>
          <w:rFonts w:ascii="Arial" w:cs="Arial" w:eastAsia="Arial" w:hAnsi="Arial"/>
          <w:sz w:val="14"/>
          <w:szCs w:val="14"/>
          <w:color w:val="333333"/>
        </w:rPr>
        <w:t>Principally fees for the audit of the Company’s annual financial statements, the audit of the effectiveness of the Company’s internal controls over financial reporting pursuant to Section 404 of the Sarbanes-Oxley Act of 2002, the auditors’ review of the Company’s quarterly financial statements, and services provided in connection with the Company’s regulatory filings, including the audit and filings specific to the Company’s acquisition of Starwood in 2016</w:t>
      </w:r>
    </w:p>
    <w:p>
      <w:pPr>
        <w:ind w:left="420" w:hanging="210"/>
        <w:spacing w:after="0" w:line="187" w:lineRule="auto"/>
        <w:tabs>
          <w:tab w:leader="none" w:pos="420" w:val="left"/>
        </w:tabs>
        <w:numPr>
          <w:ilvl w:val="0"/>
          <w:numId w:val="83"/>
        </w:numPr>
        <w:rPr>
          <w:rFonts w:ascii="Arial" w:cs="Arial" w:eastAsia="Arial" w:hAnsi="Arial"/>
          <w:sz w:val="18"/>
          <w:szCs w:val="18"/>
          <w:color w:val="333333"/>
          <w:vertAlign w:val="superscript"/>
        </w:rPr>
      </w:pPr>
      <w:r>
        <w:rPr>
          <w:rFonts w:ascii="Arial" w:cs="Arial" w:eastAsia="Arial" w:hAnsi="Arial"/>
          <w:sz w:val="11"/>
          <w:szCs w:val="11"/>
          <w:color w:val="333333"/>
        </w:rPr>
        <w:t>Fees for statutory audits of our international subsidiaries</w:t>
      </w:r>
    </w:p>
    <w:p>
      <w:pPr>
        <w:ind w:left="420" w:hanging="210"/>
        <w:spacing w:after="0" w:line="187" w:lineRule="auto"/>
        <w:tabs>
          <w:tab w:leader="none" w:pos="420" w:val="left"/>
        </w:tabs>
        <w:numPr>
          <w:ilvl w:val="0"/>
          <w:numId w:val="83"/>
        </w:numPr>
        <w:rPr>
          <w:rFonts w:ascii="Arial" w:cs="Arial" w:eastAsia="Arial" w:hAnsi="Arial"/>
          <w:sz w:val="18"/>
          <w:szCs w:val="18"/>
          <w:color w:val="333333"/>
          <w:vertAlign w:val="superscript"/>
        </w:rPr>
      </w:pPr>
      <w:r>
        <w:rPr>
          <w:rFonts w:ascii="Arial" w:cs="Arial" w:eastAsia="Arial" w:hAnsi="Arial"/>
          <w:sz w:val="11"/>
          <w:szCs w:val="11"/>
          <w:color w:val="333333"/>
        </w:rPr>
        <w:t>Principally audits as required under our agreements with our hotel owners</w:t>
      </w:r>
    </w:p>
    <w:p>
      <w:pPr>
        <w:ind w:left="420" w:hanging="210"/>
        <w:spacing w:after="0" w:line="183" w:lineRule="auto"/>
        <w:tabs>
          <w:tab w:leader="none" w:pos="420" w:val="left"/>
        </w:tabs>
        <w:numPr>
          <w:ilvl w:val="0"/>
          <w:numId w:val="83"/>
        </w:numPr>
        <w:rPr>
          <w:rFonts w:ascii="Arial" w:cs="Arial" w:eastAsia="Arial" w:hAnsi="Arial"/>
          <w:sz w:val="20"/>
          <w:szCs w:val="20"/>
          <w:color w:val="333333"/>
          <w:vertAlign w:val="superscript"/>
        </w:rPr>
      </w:pPr>
      <w:r>
        <w:rPr>
          <w:rFonts w:ascii="Arial" w:cs="Arial" w:eastAsia="Arial" w:hAnsi="Arial"/>
          <w:sz w:val="12"/>
          <w:szCs w:val="12"/>
          <w:color w:val="333333"/>
        </w:rPr>
        <w:t>Principally tax compliance services related to our international entities and in 2017 tax services specific to our intellectual property</w:t>
      </w:r>
    </w:p>
    <w:p>
      <w:pPr>
        <w:spacing w:after="0" w:line="127" w:lineRule="exact"/>
        <w:rPr>
          <w:sz w:val="20"/>
          <w:szCs w:val="20"/>
          <w:color w:val="auto"/>
        </w:rPr>
      </w:pPr>
    </w:p>
    <w:p>
      <w:pPr>
        <w:ind w:left="540" w:hanging="330"/>
        <w:spacing w:after="0"/>
        <w:tabs>
          <w:tab w:leader="none" w:pos="540" w:val="left"/>
        </w:tabs>
        <w:numPr>
          <w:ilvl w:val="0"/>
          <w:numId w:val="84"/>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20"/>
          </w:cols>
          <w:pgMar w:left="240" w:top="455" w:right="4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25"/>
          <w:szCs w:val="25"/>
          <w:color w:val="998C87"/>
        </w:rPr>
        <w:t>EXECUTIVE AND DIRECTOR COMPENSATION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25"/>
          <w:szCs w:val="25"/>
          <w:color w:val="7F7F7F"/>
        </w:rPr>
        <w:t>Report of the Compensation Policy Committee</w:t>
      </w:r>
    </w:p>
    <w:p>
      <w:pPr>
        <w:spacing w:after="0" w:line="120" w:lineRule="exact"/>
        <w:rPr>
          <w:sz w:val="20"/>
          <w:szCs w:val="20"/>
          <w:color w:val="auto"/>
        </w:rPr>
      </w:pPr>
    </w:p>
    <w:p>
      <w:pPr>
        <w:ind w:left="220" w:right="120"/>
        <w:spacing w:after="0" w:line="239" w:lineRule="auto"/>
        <w:rPr>
          <w:sz w:val="20"/>
          <w:szCs w:val="20"/>
          <w:color w:val="auto"/>
        </w:rPr>
      </w:pPr>
      <w:r>
        <w:rPr>
          <w:rFonts w:ascii="Arial" w:cs="Arial" w:eastAsia="Arial" w:hAnsi="Arial"/>
          <w:sz w:val="17"/>
          <w:szCs w:val="17"/>
          <w:color w:val="auto"/>
        </w:rPr>
        <w:t>The Compensation Policy Committee (the “Committee”), which is composed solely of independent members of the Board, assists the Board in fulfilling its responsibilities relating to executive compensation. The Committee is responsible for overseeing compensation programs that enable the Company to attract, retain and motivate executives capable of establishing and implementing business plans in the best interests of the stockholders. The Committee, on behalf of and, in certain instances, subject to the approval of the Board, reviews and approves compensation programs for certain senior officer positions. In this context, the Committee reviewed and discussed with management the Company’s CD&amp;A required by Item 402(b) of SEC Regulation S-K. Following the reviews and discussions referred to above, the Committee recommended to the Board that the CD&amp;A be incorporated by reference in the Company’s annual report on Form 10-K and included in this proxy statement.</w:t>
      </w:r>
    </w:p>
    <w:p>
      <w:pPr>
        <w:spacing w:after="0" w:line="6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Members of the Compensation Policy Committee:</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Steven S Reinemund (Chair)</w:t>
      </w:r>
    </w:p>
    <w:p>
      <w:pPr>
        <w:ind w:left="220"/>
        <w:spacing w:after="0" w:line="231" w:lineRule="auto"/>
        <w:rPr>
          <w:sz w:val="20"/>
          <w:szCs w:val="20"/>
          <w:color w:val="auto"/>
        </w:rPr>
      </w:pPr>
      <w:r>
        <w:rPr>
          <w:rFonts w:ascii="Arial" w:cs="Arial" w:eastAsia="Arial" w:hAnsi="Arial"/>
          <w:sz w:val="17"/>
          <w:szCs w:val="17"/>
          <w:color w:val="auto"/>
        </w:rPr>
        <w:t>Mary K. Bush</w:t>
      </w:r>
    </w:p>
    <w:p>
      <w:pPr>
        <w:ind w:left="220"/>
        <w:spacing w:after="0" w:line="232" w:lineRule="auto"/>
        <w:rPr>
          <w:sz w:val="20"/>
          <w:szCs w:val="20"/>
          <w:color w:val="auto"/>
        </w:rPr>
      </w:pPr>
      <w:r>
        <w:rPr>
          <w:rFonts w:ascii="Arial" w:cs="Arial" w:eastAsia="Arial" w:hAnsi="Arial"/>
          <w:sz w:val="17"/>
          <w:szCs w:val="17"/>
          <w:color w:val="auto"/>
        </w:rPr>
        <w:t>Eric Hippeau</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Susan C. Schwab</w:t>
      </w:r>
    </w:p>
    <w:p>
      <w:pPr>
        <w:spacing w:after="0" w:line="293" w:lineRule="exact"/>
        <w:rPr>
          <w:sz w:val="20"/>
          <w:szCs w:val="20"/>
          <w:color w:val="auto"/>
        </w:rPr>
      </w:pPr>
    </w:p>
    <w:p>
      <w:pPr>
        <w:ind w:left="220"/>
        <w:spacing w:after="0"/>
        <w:rPr>
          <w:sz w:val="20"/>
          <w:szCs w:val="20"/>
          <w:color w:val="auto"/>
        </w:rPr>
      </w:pPr>
      <w:r>
        <w:rPr>
          <w:rFonts w:ascii="Arial" w:cs="Arial" w:eastAsia="Arial" w:hAnsi="Arial"/>
          <w:sz w:val="25"/>
          <w:szCs w:val="25"/>
          <w:color w:val="7F7F7F"/>
        </w:rPr>
        <w:t>Compensation Discussion and Analysis</w:t>
      </w:r>
    </w:p>
    <w:p>
      <w:pPr>
        <w:spacing w:after="0" w:line="12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This section explains the Company’s executive compensation program for the following NEOs for 2017:</w:t>
      </w:r>
    </w:p>
    <w:p>
      <w:pPr>
        <w:spacing w:after="0" w:line="258" w:lineRule="exact"/>
        <w:rPr>
          <w:sz w:val="20"/>
          <w:szCs w:val="20"/>
          <w:color w:val="auto"/>
        </w:rPr>
      </w:pPr>
    </w:p>
    <w:tbl>
      <w:tblPr>
        <w:tblLayout w:type="fixed"/>
        <w:tblInd w:w="220" w:type="dxa"/>
        <w:tblCellMar>
          <w:top w:w="0" w:type="dxa"/>
          <w:left w:w="0" w:type="dxa"/>
          <w:bottom w:w="0" w:type="dxa"/>
          <w:right w:w="0" w:type="dxa"/>
        </w:tblCellMar>
      </w:tblPr>
      <w:tr>
        <w:trPr>
          <w:trHeight w:val="209"/>
        </w:trPr>
        <w:tc>
          <w:tcPr>
            <w:tcW w:w="1740" w:type="dxa"/>
            <w:vAlign w:val="bottom"/>
            <w:shd w:val="clear" w:color="auto" w:fill="F4F3F3"/>
          </w:tcPr>
          <w:p>
            <w:pPr>
              <w:ind w:left="80"/>
              <w:spacing w:after="0"/>
              <w:rPr>
                <w:sz w:val="20"/>
                <w:szCs w:val="20"/>
                <w:color w:val="auto"/>
              </w:rPr>
            </w:pPr>
            <w:r>
              <w:rPr>
                <w:rFonts w:ascii="Arial" w:cs="Arial" w:eastAsia="Arial" w:hAnsi="Arial"/>
                <w:sz w:val="17"/>
                <w:szCs w:val="17"/>
                <w:color w:val="998C87"/>
              </w:rPr>
              <w:t>J.W. Marriott, Jr.*</w:t>
            </w:r>
          </w:p>
        </w:tc>
        <w:tc>
          <w:tcPr>
            <w:tcW w:w="9260" w:type="dxa"/>
            <w:vAlign w:val="bottom"/>
            <w:shd w:val="clear" w:color="auto" w:fill="F4F3F3"/>
          </w:tcPr>
          <w:p>
            <w:pPr>
              <w:ind w:left="200"/>
              <w:spacing w:after="0"/>
              <w:rPr>
                <w:sz w:val="20"/>
                <w:szCs w:val="20"/>
                <w:color w:val="auto"/>
              </w:rPr>
            </w:pPr>
            <w:r>
              <w:rPr>
                <w:rFonts w:ascii="Arial" w:cs="Arial" w:eastAsia="Arial" w:hAnsi="Arial"/>
                <w:sz w:val="17"/>
                <w:szCs w:val="17"/>
                <w:color w:val="auto"/>
              </w:rPr>
              <w:t>Executive Chairman and Chairman of the Board</w:t>
            </w:r>
          </w:p>
        </w:tc>
      </w:tr>
      <w:tr>
        <w:trPr>
          <w:trHeight w:val="216"/>
        </w:trPr>
        <w:tc>
          <w:tcPr>
            <w:tcW w:w="1740" w:type="dxa"/>
            <w:vAlign w:val="bottom"/>
            <w:shd w:val="clear" w:color="auto" w:fill="F4F3F3"/>
          </w:tcPr>
          <w:p>
            <w:pPr>
              <w:ind w:left="80"/>
              <w:spacing w:after="0"/>
              <w:rPr>
                <w:sz w:val="20"/>
                <w:szCs w:val="20"/>
                <w:color w:val="auto"/>
              </w:rPr>
            </w:pPr>
            <w:r>
              <w:rPr>
                <w:rFonts w:ascii="Arial" w:cs="Arial" w:eastAsia="Arial" w:hAnsi="Arial"/>
                <w:sz w:val="17"/>
                <w:szCs w:val="17"/>
                <w:color w:val="998C87"/>
              </w:rPr>
              <w:t>Arne M. Sorenson</w:t>
            </w:r>
          </w:p>
        </w:tc>
        <w:tc>
          <w:tcPr>
            <w:tcW w:w="9260" w:type="dxa"/>
            <w:vAlign w:val="bottom"/>
            <w:shd w:val="clear" w:color="auto" w:fill="F4F3F3"/>
          </w:tcPr>
          <w:p>
            <w:pPr>
              <w:ind w:left="200"/>
              <w:spacing w:after="0"/>
              <w:rPr>
                <w:sz w:val="20"/>
                <w:szCs w:val="20"/>
                <w:color w:val="auto"/>
              </w:rPr>
            </w:pPr>
            <w:r>
              <w:rPr>
                <w:rFonts w:ascii="Arial" w:cs="Arial" w:eastAsia="Arial" w:hAnsi="Arial"/>
                <w:sz w:val="17"/>
                <w:szCs w:val="17"/>
                <w:color w:val="auto"/>
              </w:rPr>
              <w:t>President and Chief Executive Officer</w:t>
            </w:r>
          </w:p>
        </w:tc>
      </w:tr>
      <w:tr>
        <w:trPr>
          <w:trHeight w:val="201"/>
        </w:trPr>
        <w:tc>
          <w:tcPr>
            <w:tcW w:w="1740" w:type="dxa"/>
            <w:vAlign w:val="bottom"/>
            <w:shd w:val="clear" w:color="auto" w:fill="F4F3F3"/>
          </w:tcPr>
          <w:p>
            <w:pPr>
              <w:ind w:left="80"/>
              <w:spacing w:after="0"/>
              <w:rPr>
                <w:sz w:val="20"/>
                <w:szCs w:val="20"/>
                <w:color w:val="auto"/>
              </w:rPr>
            </w:pPr>
            <w:r>
              <w:rPr>
                <w:rFonts w:ascii="Arial" w:cs="Arial" w:eastAsia="Arial" w:hAnsi="Arial"/>
                <w:sz w:val="17"/>
                <w:szCs w:val="17"/>
                <w:color w:val="998C87"/>
              </w:rPr>
              <w:t>Anthony G. Capuano</w:t>
            </w:r>
          </w:p>
        </w:tc>
        <w:tc>
          <w:tcPr>
            <w:tcW w:w="9260" w:type="dxa"/>
            <w:vAlign w:val="bottom"/>
            <w:shd w:val="clear" w:color="auto" w:fill="F4F3F3"/>
          </w:tcPr>
          <w:p>
            <w:pPr>
              <w:ind w:left="200"/>
              <w:spacing w:after="0"/>
              <w:rPr>
                <w:sz w:val="20"/>
                <w:szCs w:val="20"/>
                <w:color w:val="auto"/>
              </w:rPr>
            </w:pPr>
            <w:r>
              <w:rPr>
                <w:rFonts w:ascii="Arial" w:cs="Arial" w:eastAsia="Arial" w:hAnsi="Arial"/>
                <w:sz w:val="17"/>
                <w:szCs w:val="17"/>
                <w:color w:val="auto"/>
              </w:rPr>
              <w:t>Executive Vice President and Global Chief Development Officer</w:t>
            </w:r>
          </w:p>
        </w:tc>
      </w:tr>
      <w:tr>
        <w:trPr>
          <w:trHeight w:val="216"/>
        </w:trPr>
        <w:tc>
          <w:tcPr>
            <w:tcW w:w="1740" w:type="dxa"/>
            <w:vAlign w:val="bottom"/>
            <w:shd w:val="clear" w:color="auto" w:fill="F4F3F3"/>
          </w:tcPr>
          <w:p>
            <w:pPr>
              <w:ind w:left="80"/>
              <w:spacing w:after="0"/>
              <w:rPr>
                <w:sz w:val="20"/>
                <w:szCs w:val="20"/>
                <w:color w:val="auto"/>
              </w:rPr>
            </w:pPr>
            <w:r>
              <w:rPr>
                <w:rFonts w:ascii="Arial" w:cs="Arial" w:eastAsia="Arial" w:hAnsi="Arial"/>
                <w:sz w:val="17"/>
                <w:szCs w:val="17"/>
                <w:color w:val="998C87"/>
              </w:rPr>
              <w:t>Stephanie C. Linnartz</w:t>
            </w:r>
          </w:p>
        </w:tc>
        <w:tc>
          <w:tcPr>
            <w:tcW w:w="9260" w:type="dxa"/>
            <w:vAlign w:val="bottom"/>
            <w:shd w:val="clear" w:color="auto" w:fill="F4F3F3"/>
          </w:tcPr>
          <w:p>
            <w:pPr>
              <w:ind w:left="200"/>
              <w:spacing w:after="0"/>
              <w:rPr>
                <w:sz w:val="20"/>
                <w:szCs w:val="20"/>
                <w:color w:val="auto"/>
              </w:rPr>
            </w:pPr>
            <w:r>
              <w:rPr>
                <w:rFonts w:ascii="Arial" w:cs="Arial" w:eastAsia="Arial" w:hAnsi="Arial"/>
                <w:sz w:val="17"/>
                <w:szCs w:val="17"/>
                <w:color w:val="auto"/>
              </w:rPr>
              <w:t>Executive Vice President and Global Chief Commercial Officer</w:t>
            </w:r>
          </w:p>
        </w:tc>
      </w:tr>
      <w:tr>
        <w:trPr>
          <w:trHeight w:val="216"/>
        </w:trPr>
        <w:tc>
          <w:tcPr>
            <w:tcW w:w="1740" w:type="dxa"/>
            <w:vAlign w:val="bottom"/>
            <w:shd w:val="clear" w:color="auto" w:fill="F4F3F3"/>
          </w:tcPr>
          <w:p>
            <w:pPr>
              <w:ind w:left="80"/>
              <w:spacing w:after="0"/>
              <w:rPr>
                <w:sz w:val="20"/>
                <w:szCs w:val="20"/>
                <w:color w:val="auto"/>
              </w:rPr>
            </w:pPr>
            <w:r>
              <w:rPr>
                <w:rFonts w:ascii="Arial" w:cs="Arial" w:eastAsia="Arial" w:hAnsi="Arial"/>
                <w:sz w:val="17"/>
                <w:szCs w:val="17"/>
                <w:color w:val="998C87"/>
              </w:rPr>
              <w:t>David J. Grissen</w:t>
            </w:r>
          </w:p>
        </w:tc>
        <w:tc>
          <w:tcPr>
            <w:tcW w:w="9260" w:type="dxa"/>
            <w:vAlign w:val="bottom"/>
            <w:shd w:val="clear" w:color="auto" w:fill="F4F3F3"/>
          </w:tcPr>
          <w:p>
            <w:pPr>
              <w:ind w:left="200"/>
              <w:spacing w:after="0"/>
              <w:rPr>
                <w:sz w:val="20"/>
                <w:szCs w:val="20"/>
                <w:color w:val="auto"/>
              </w:rPr>
            </w:pPr>
            <w:r>
              <w:rPr>
                <w:rFonts w:ascii="Arial" w:cs="Arial" w:eastAsia="Arial" w:hAnsi="Arial"/>
                <w:sz w:val="17"/>
                <w:szCs w:val="17"/>
                <w:color w:val="auto"/>
              </w:rPr>
              <w:t>Group President</w:t>
            </w:r>
          </w:p>
        </w:tc>
      </w:tr>
      <w:tr>
        <w:trPr>
          <w:trHeight w:val="217"/>
        </w:trPr>
        <w:tc>
          <w:tcPr>
            <w:tcW w:w="1740" w:type="dxa"/>
            <w:vAlign w:val="bottom"/>
            <w:shd w:val="clear" w:color="auto" w:fill="F4F3F3"/>
          </w:tcPr>
          <w:p>
            <w:pPr>
              <w:ind w:left="80"/>
              <w:spacing w:after="0"/>
              <w:rPr>
                <w:sz w:val="20"/>
                <w:szCs w:val="20"/>
                <w:color w:val="auto"/>
              </w:rPr>
            </w:pPr>
            <w:r>
              <w:rPr>
                <w:rFonts w:ascii="Arial" w:cs="Arial" w:eastAsia="Arial" w:hAnsi="Arial"/>
                <w:sz w:val="17"/>
                <w:szCs w:val="17"/>
                <w:color w:val="998C87"/>
              </w:rPr>
              <w:t>Kathleen K. Oberg</w:t>
            </w:r>
          </w:p>
        </w:tc>
        <w:tc>
          <w:tcPr>
            <w:tcW w:w="9260" w:type="dxa"/>
            <w:vAlign w:val="bottom"/>
            <w:shd w:val="clear" w:color="auto" w:fill="F4F3F3"/>
          </w:tcPr>
          <w:p>
            <w:pPr>
              <w:ind w:left="200"/>
              <w:spacing w:after="0"/>
              <w:rPr>
                <w:sz w:val="20"/>
                <w:szCs w:val="20"/>
                <w:color w:val="auto"/>
              </w:rPr>
            </w:pPr>
            <w:r>
              <w:rPr>
                <w:rFonts w:ascii="Arial" w:cs="Arial" w:eastAsia="Arial" w:hAnsi="Arial"/>
                <w:sz w:val="17"/>
                <w:szCs w:val="17"/>
                <w:color w:val="auto"/>
              </w:rPr>
              <w:t>Executive Vice President and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-804545</wp:posOffset>
            </wp:positionV>
            <wp:extent cx="6989445" cy="8051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89445" cy="805180"/>
                    </a:xfrm>
                    <a:prstGeom prst="rect">
                      <a:avLst/>
                    </a:prstGeom>
                    <a:noFill/>
                  </pic:spPr>
                </pic:pic>
              </a:graphicData>
            </a:graphic>
          </wp:anchor>
        </w:drawing>
      </w:r>
    </w:p>
    <w:p>
      <w:pPr>
        <w:spacing w:after="0" w:line="210" w:lineRule="exact"/>
        <w:rPr>
          <w:sz w:val="20"/>
          <w:szCs w:val="20"/>
          <w:color w:val="auto"/>
        </w:rPr>
      </w:pPr>
    </w:p>
    <w:p>
      <w:pPr>
        <w:ind w:left="420" w:right="320" w:hanging="210"/>
        <w:spacing w:after="0" w:line="257" w:lineRule="auto"/>
        <w:tabs>
          <w:tab w:leader="none" w:pos="420" w:val="left"/>
        </w:tabs>
        <w:numPr>
          <w:ilvl w:val="0"/>
          <w:numId w:val="85"/>
        </w:numPr>
        <w:rPr>
          <w:rFonts w:ascii="Arial" w:cs="Arial" w:eastAsia="Arial" w:hAnsi="Arial"/>
          <w:sz w:val="14"/>
          <w:szCs w:val="14"/>
          <w:color w:val="333333"/>
        </w:rPr>
      </w:pPr>
      <w:r>
        <w:rPr>
          <w:rFonts w:ascii="Arial" w:cs="Arial" w:eastAsia="Arial" w:hAnsi="Arial"/>
          <w:sz w:val="14"/>
          <w:szCs w:val="14"/>
          <w:color w:val="333333"/>
        </w:rPr>
        <w:t>We are providing voluntary disclosure for Mr. Marriott due to his position as Executive Chairman and Chairman of the Board even though he is not considered a NEO under the SEC’s compensation disclosure rules. In his role as Executive Chairman and in light of his significant ownership of our stock, Mr. Marriott is compensated primarily through his annual salary and is not eligible for annual cash incentives or equity awards. His annual salary was unchanged from 2016. Because of his arrangement, references to the NEOs’ annual compensation in the remainder of this CD&amp;A do not pertain to Mr. Marriott unless specifically stated otherwise.</w:t>
      </w:r>
    </w:p>
    <w:p>
      <w:pPr>
        <w:spacing w:after="0" w:line="157"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Overview</w:t>
      </w:r>
    </w:p>
    <w:p>
      <w:pPr>
        <w:spacing w:after="0" w:line="103" w:lineRule="exact"/>
        <w:rPr>
          <w:sz w:val="20"/>
          <w:szCs w:val="20"/>
          <w:color w:val="auto"/>
        </w:rPr>
      </w:pPr>
    </w:p>
    <w:p>
      <w:pPr>
        <w:ind w:left="220" w:right="140"/>
        <w:spacing w:after="0" w:line="242" w:lineRule="auto"/>
        <w:rPr>
          <w:sz w:val="20"/>
          <w:szCs w:val="20"/>
          <w:color w:val="auto"/>
        </w:rPr>
      </w:pPr>
      <w:r>
        <w:rPr>
          <w:rFonts w:ascii="Arial" w:cs="Arial" w:eastAsia="Arial" w:hAnsi="Arial"/>
          <w:sz w:val="17"/>
          <w:szCs w:val="17"/>
          <w:color w:val="auto"/>
        </w:rPr>
        <w:t>Our executive compensation program continues to be designed to drive performance through a combination of near-term financial and operational objectives and long-term focus on our stock price performance. We believe that the consistency in how we manage our executive compensation program and our goals under that program has proven to be an important factor in the Company’s long-term success in the highly cyclical hospitality industry. Our philosophy continues to emphasize equity compensation, with increased use of performance-based share awards, as the most significant component of the NEOs’ total pay opportunity which supports our pay-for-performance objectives.</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2017 Executive Compensation at a Glance</w:t>
      </w:r>
    </w:p>
    <w:p>
      <w:pPr>
        <w:spacing w:after="0" w:line="117" w:lineRule="exact"/>
        <w:rPr>
          <w:sz w:val="20"/>
          <w:szCs w:val="20"/>
          <w:color w:val="auto"/>
        </w:rPr>
      </w:pPr>
    </w:p>
    <w:p>
      <w:pPr>
        <w:ind w:left="420" w:right="220" w:hanging="210"/>
        <w:spacing w:after="0" w:line="274" w:lineRule="auto"/>
        <w:tabs>
          <w:tab w:leader="none" w:pos="420" w:val="left"/>
        </w:tabs>
        <w:numPr>
          <w:ilvl w:val="0"/>
          <w:numId w:val="86"/>
        </w:numPr>
        <w:rPr>
          <w:rFonts w:ascii="Arial" w:cs="Arial" w:eastAsia="Arial" w:hAnsi="Arial"/>
          <w:sz w:val="17"/>
          <w:szCs w:val="17"/>
          <w:color w:val="auto"/>
        </w:rPr>
      </w:pPr>
      <w:r>
        <w:rPr>
          <w:rFonts w:ascii="Arial" w:cs="Arial" w:eastAsia="Arial" w:hAnsi="Arial"/>
          <w:sz w:val="17"/>
          <w:szCs w:val="17"/>
          <w:u w:val="single" w:color="auto"/>
          <w:color w:val="998C87"/>
        </w:rPr>
        <w:t>Base Salary</w:t>
      </w:r>
      <w:r>
        <w:rPr>
          <w:rFonts w:ascii="Arial" w:cs="Arial" w:eastAsia="Arial" w:hAnsi="Arial"/>
          <w:sz w:val="17"/>
          <w:szCs w:val="17"/>
          <w:color w:val="000000"/>
        </w:rPr>
        <w:t>: NEOs received base salary increases ranging from 5% to 15% based on the Committee’s review of external market data at the</w:t>
      </w:r>
      <w:r>
        <w:rPr>
          <w:rFonts w:ascii="Arial" w:cs="Arial" w:eastAsia="Arial" w:hAnsi="Arial"/>
          <w:sz w:val="17"/>
          <w:szCs w:val="17"/>
          <w:color w:val="998C87"/>
        </w:rPr>
        <w:t xml:space="preserve"> </w:t>
      </w:r>
      <w:r>
        <w:rPr>
          <w:rFonts w:ascii="Arial" w:cs="Arial" w:eastAsia="Arial" w:hAnsi="Arial"/>
          <w:sz w:val="17"/>
          <w:szCs w:val="17"/>
          <w:color w:val="000000"/>
        </w:rPr>
        <w:t>50</w:t>
      </w:r>
      <w:r>
        <w:rPr>
          <w:rFonts w:ascii="Arial" w:cs="Arial" w:eastAsia="Arial" w:hAnsi="Arial"/>
          <w:sz w:val="14"/>
          <w:szCs w:val="14"/>
          <w:color w:val="000000"/>
        </w:rPr>
        <w:t>th</w:t>
      </w:r>
      <w:r>
        <w:rPr>
          <w:rFonts w:ascii="Arial" w:cs="Arial" w:eastAsia="Arial" w:hAnsi="Arial"/>
          <w:sz w:val="17"/>
          <w:szCs w:val="17"/>
          <w:color w:val="000000"/>
        </w:rPr>
        <w:t xml:space="preserve"> percentile as well as a consideration of internal equity.</w:t>
      </w:r>
    </w:p>
    <w:p>
      <w:pPr>
        <w:spacing w:after="0" w:line="52" w:lineRule="exact"/>
        <w:rPr>
          <w:rFonts w:ascii="Arial" w:cs="Arial" w:eastAsia="Arial" w:hAnsi="Arial"/>
          <w:sz w:val="17"/>
          <w:szCs w:val="17"/>
          <w:color w:val="auto"/>
        </w:rPr>
      </w:pPr>
    </w:p>
    <w:p>
      <w:pPr>
        <w:ind w:left="420" w:right="80" w:hanging="210"/>
        <w:spacing w:after="0" w:line="246" w:lineRule="auto"/>
        <w:tabs>
          <w:tab w:leader="none" w:pos="420" w:val="left"/>
        </w:tabs>
        <w:numPr>
          <w:ilvl w:val="0"/>
          <w:numId w:val="86"/>
        </w:numPr>
        <w:rPr>
          <w:rFonts w:ascii="Arial" w:cs="Arial" w:eastAsia="Arial" w:hAnsi="Arial"/>
          <w:sz w:val="17"/>
          <w:szCs w:val="17"/>
          <w:color w:val="auto"/>
        </w:rPr>
      </w:pPr>
      <w:r>
        <w:rPr>
          <w:rFonts w:ascii="Arial" w:cs="Arial" w:eastAsia="Arial" w:hAnsi="Arial"/>
          <w:sz w:val="17"/>
          <w:szCs w:val="17"/>
          <w:u w:val="single" w:color="auto"/>
          <w:color w:val="998C87"/>
        </w:rPr>
        <w:t>Annual Incentive</w:t>
      </w:r>
      <w:r>
        <w:rPr>
          <w:rFonts w:ascii="Arial" w:cs="Arial" w:eastAsia="Arial" w:hAnsi="Arial"/>
          <w:sz w:val="17"/>
          <w:szCs w:val="17"/>
          <w:color w:val="000000"/>
        </w:rPr>
        <w:t>: The annual cash incentive program resulted in an overall above target but less than maximum payout for each NEO for</w:t>
      </w:r>
      <w:r>
        <w:rPr>
          <w:rFonts w:ascii="Arial" w:cs="Arial" w:eastAsia="Arial" w:hAnsi="Arial"/>
          <w:sz w:val="17"/>
          <w:szCs w:val="17"/>
          <w:color w:val="998C87"/>
        </w:rPr>
        <w:t xml:space="preserve"> </w:t>
      </w:r>
      <w:r>
        <w:rPr>
          <w:rFonts w:ascii="Arial" w:cs="Arial" w:eastAsia="Arial" w:hAnsi="Arial"/>
          <w:sz w:val="17"/>
          <w:szCs w:val="17"/>
          <w:color w:val="000000"/>
        </w:rPr>
        <w:t>2017. Specifically, the Committee noted that the Company achieved Adjusted EPS of $4.12, which was well above the maximum achievement level of $4.04. The Committee approved payouts at levels that varied among the NEOs based on: (i) the value of our room growth and Company-wide associate engagement at maximum</w:t>
      </w:r>
    </w:p>
    <w:p>
      <w:pPr>
        <w:spacing w:after="0" w:line="107" w:lineRule="exact"/>
        <w:rPr>
          <w:sz w:val="20"/>
          <w:szCs w:val="20"/>
          <w:color w:val="auto"/>
        </w:rPr>
      </w:pPr>
    </w:p>
    <w:tbl>
      <w:tblPr>
        <w:tblLayout w:type="fixed"/>
        <w:tblInd w:w="9180" w:type="dxa"/>
        <w:tblCellMar>
          <w:top w:w="0" w:type="dxa"/>
          <w:left w:w="0" w:type="dxa"/>
          <w:bottom w:w="0" w:type="dxa"/>
          <w:right w:w="0" w:type="dxa"/>
        </w:tblCellMar>
      </w:tblPr>
      <w:tr>
        <w:trPr>
          <w:trHeight w:val="214"/>
        </w:trPr>
        <w:tc>
          <w:tcPr>
            <w:tcW w:w="1660" w:type="dxa"/>
            <w:vAlign w:val="bottom"/>
          </w:tcPr>
          <w:p>
            <w:pPr>
              <w:spacing w:after="0"/>
              <w:rPr>
                <w:sz w:val="20"/>
                <w:szCs w:val="20"/>
                <w:color w:val="auto"/>
              </w:rPr>
            </w:pPr>
            <w:r>
              <w:rPr>
                <w:rFonts w:ascii="Arial" w:cs="Arial" w:eastAsia="Arial" w:hAnsi="Arial"/>
                <w:sz w:val="15"/>
                <w:szCs w:val="15"/>
                <w:color w:val="998C87"/>
              </w:rPr>
              <w:t>2018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33</w:t>
            </w:r>
          </w:p>
        </w:tc>
      </w:tr>
    </w:tbl>
    <w:p>
      <w:pPr>
        <w:sectPr>
          <w:pgSz w:w="11900" w:h="16838" w:orient="portrait"/>
          <w:cols w:equalWidth="0" w:num="1">
            <w:col w:w="11220"/>
          </w:cols>
          <w:pgMar w:left="240" w:top="455" w:right="4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1" w:lineRule="exact"/>
        <w:rPr>
          <w:sz w:val="20"/>
          <w:szCs w:val="20"/>
          <w:color w:val="auto"/>
        </w:rPr>
      </w:pPr>
    </w:p>
    <w:p>
      <w:pPr>
        <w:ind w:left="320" w:right="180"/>
        <w:spacing w:after="0" w:line="253" w:lineRule="auto"/>
        <w:rPr>
          <w:sz w:val="20"/>
          <w:szCs w:val="20"/>
          <w:color w:val="auto"/>
        </w:rPr>
      </w:pPr>
      <w:r>
        <w:rPr>
          <w:rFonts w:ascii="Arial" w:cs="Arial" w:eastAsia="Arial" w:hAnsi="Arial"/>
          <w:sz w:val="17"/>
          <w:szCs w:val="17"/>
          <w:color w:val="auto"/>
        </w:rPr>
        <w:t>achievement level (except for Mr. Capuano, whose value of room growth goal was less than the maximum achievement level due to his higher threshold for maximum payout), (ii) Company-wide RevPAR Index at below target achievement level, (iii) Global Sales (applicable only to Ms. Linnartz) at maximum achievement level and (iv) each NEO achieving certain key individual performance objectives.</w:t>
      </w:r>
    </w:p>
    <w:p>
      <w:pPr>
        <w:spacing w:after="0" w:line="70" w:lineRule="exact"/>
        <w:rPr>
          <w:sz w:val="20"/>
          <w:szCs w:val="20"/>
          <w:color w:val="auto"/>
        </w:rPr>
      </w:pPr>
    </w:p>
    <w:p>
      <w:pPr>
        <w:ind w:left="420" w:right="40" w:hanging="210"/>
        <w:spacing w:after="0" w:line="237" w:lineRule="auto"/>
        <w:tabs>
          <w:tab w:leader="none" w:pos="420"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998C87"/>
        </w:rPr>
        <w:t>Special/Supplemental Cash Bonus</w:t>
      </w:r>
      <w:r>
        <w:rPr>
          <w:rFonts w:ascii="Arial" w:cs="Arial" w:eastAsia="Arial" w:hAnsi="Arial"/>
          <w:sz w:val="17"/>
          <w:szCs w:val="17"/>
          <w:color w:val="000000"/>
        </w:rPr>
        <w:t>: In February 2018, the Committee approved a supplemental cash bonus in the amount of $500,000 to each</w:t>
      </w:r>
      <w:r>
        <w:rPr>
          <w:rFonts w:ascii="Arial" w:cs="Arial" w:eastAsia="Arial" w:hAnsi="Arial"/>
          <w:sz w:val="17"/>
          <w:szCs w:val="17"/>
          <w:color w:val="998C87"/>
        </w:rPr>
        <w:t xml:space="preserve"> </w:t>
      </w:r>
      <w:r>
        <w:rPr>
          <w:rFonts w:ascii="Arial" w:cs="Arial" w:eastAsia="Arial" w:hAnsi="Arial"/>
          <w:sz w:val="17"/>
          <w:szCs w:val="17"/>
          <w:color w:val="000000"/>
        </w:rPr>
        <w:t>of the NEOs other than the Mr. Sorenson, for whom the Board approved a supplemental bonus in the amount of $1,000,000. The purpose of the bonus is to reward senior management for its outstanding performance in 2017 regarding the ongoing seamless integration of Starwood while promoting strong performance in the Company’s legacy operations. In particular, the Board cited strong performance across a broad array of criteria, including high levels of associate engagement, human capital development, completion of co-branded credit card deals, successful asset sales, work toward linking and combining loyalty programs, and progress toward improved leverage in the competitive marketplace. The supplemental cash bonus amounts were determined by the Committee with the objective that the award would result in compensation for each of the NEOs that is well-aligned with the Company’s pay-for-performance philosophy and exceptionally strong 2017 performance.</w:t>
      </w:r>
    </w:p>
    <w:p>
      <w:pPr>
        <w:spacing w:after="0" w:line="83" w:lineRule="exact"/>
        <w:rPr>
          <w:rFonts w:ascii="Arial" w:cs="Arial" w:eastAsia="Arial" w:hAnsi="Arial"/>
          <w:sz w:val="17"/>
          <w:szCs w:val="17"/>
          <w:color w:val="auto"/>
        </w:rPr>
      </w:pPr>
    </w:p>
    <w:p>
      <w:pPr>
        <w:ind w:left="420" w:right="100" w:hanging="210"/>
        <w:spacing w:after="0" w:line="246" w:lineRule="auto"/>
        <w:tabs>
          <w:tab w:leader="none" w:pos="420"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998C87"/>
        </w:rPr>
        <w:t>Equity Compensation</w:t>
      </w:r>
      <w:r>
        <w:rPr>
          <w:rFonts w:ascii="Arial" w:cs="Arial" w:eastAsia="Arial" w:hAnsi="Arial"/>
          <w:sz w:val="17"/>
          <w:szCs w:val="17"/>
          <w:color w:val="000000"/>
        </w:rPr>
        <w:t>: In February 2017, the Committee approved awards with values that were higher than the 2016 annual stock awards for</w:t>
      </w:r>
      <w:r>
        <w:rPr>
          <w:rFonts w:ascii="Arial" w:cs="Arial" w:eastAsia="Arial" w:hAnsi="Arial"/>
          <w:sz w:val="17"/>
          <w:szCs w:val="17"/>
          <w:color w:val="998C87"/>
        </w:rPr>
        <w:t xml:space="preserve"> </w:t>
      </w:r>
      <w:r>
        <w:rPr>
          <w:rFonts w:ascii="Arial" w:cs="Arial" w:eastAsia="Arial" w:hAnsi="Arial"/>
          <w:sz w:val="17"/>
          <w:szCs w:val="17"/>
          <w:color w:val="000000"/>
        </w:rPr>
        <w:t>each NEO based on the Committee’s review of external market data, individual performance, and internal pay equity considerations. Also, for 2017, the Committee increased the portion of the annual award so that PSUs are the largest form of the NEOs’ equity awards, representing 50% of equity for the CEO and 40% of equity for the other NEOs.</w:t>
      </w:r>
    </w:p>
    <w:p>
      <w:pPr>
        <w:spacing w:after="0" w:line="75" w:lineRule="exact"/>
        <w:rPr>
          <w:rFonts w:ascii="Arial" w:cs="Arial" w:eastAsia="Arial" w:hAnsi="Arial"/>
          <w:sz w:val="17"/>
          <w:szCs w:val="17"/>
          <w:color w:val="auto"/>
        </w:rPr>
      </w:pPr>
    </w:p>
    <w:p>
      <w:pPr>
        <w:ind w:left="420" w:right="160" w:hanging="210"/>
        <w:spacing w:after="0"/>
        <w:tabs>
          <w:tab w:leader="none" w:pos="420"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998C87"/>
        </w:rPr>
        <w:t>2015-2017 PSUs</w:t>
      </w:r>
      <w:r>
        <w:rPr>
          <w:rFonts w:ascii="Arial" w:cs="Arial" w:eastAsia="Arial" w:hAnsi="Arial"/>
          <w:sz w:val="17"/>
          <w:szCs w:val="17"/>
          <w:color w:val="000000"/>
        </w:rPr>
        <w:t>: PSUs granted in 2015 were settled in early 2018 at an overall payout of 125% of target based on performance over the</w:t>
      </w:r>
      <w:r>
        <w:rPr>
          <w:rFonts w:ascii="Arial" w:cs="Arial" w:eastAsia="Arial" w:hAnsi="Arial"/>
          <w:sz w:val="17"/>
          <w:szCs w:val="17"/>
          <w:color w:val="998C87"/>
        </w:rPr>
        <w:t xml:space="preserve"> </w:t>
      </w:r>
      <w:r>
        <w:rPr>
          <w:rFonts w:ascii="Arial" w:cs="Arial" w:eastAsia="Arial" w:hAnsi="Arial"/>
          <w:sz w:val="17"/>
          <w:szCs w:val="17"/>
          <w:color w:val="000000"/>
        </w:rPr>
        <w:t>three-year performance period against pre-established goals for Global Gross Room Openings (96% of target payout), Global RevPAR Index (150% of target payout) and Global Net Administrative Expenses (128% of target payout). In addition, supplemental PSUs granted to</w:t>
      </w:r>
    </w:p>
    <w:p>
      <w:pPr>
        <w:spacing w:after="0" w:line="2" w:lineRule="exact"/>
        <w:rPr>
          <w:rFonts w:ascii="Arial" w:cs="Arial" w:eastAsia="Arial" w:hAnsi="Arial"/>
          <w:sz w:val="17"/>
          <w:szCs w:val="17"/>
          <w:color w:val="auto"/>
        </w:rPr>
      </w:pPr>
    </w:p>
    <w:p>
      <w:pPr>
        <w:ind w:left="420" w:right="40"/>
        <w:spacing w:after="0" w:line="247" w:lineRule="auto"/>
        <w:rPr>
          <w:rFonts w:ascii="Arial" w:cs="Arial" w:eastAsia="Arial" w:hAnsi="Arial"/>
          <w:sz w:val="17"/>
          <w:szCs w:val="17"/>
          <w:color w:val="auto"/>
        </w:rPr>
      </w:pPr>
      <w:r>
        <w:rPr>
          <w:rFonts w:ascii="Arial" w:cs="Arial" w:eastAsia="Arial" w:hAnsi="Arial"/>
          <w:sz w:val="17"/>
          <w:szCs w:val="17"/>
          <w:color w:val="auto"/>
        </w:rPr>
        <w:t>Mr. Sorenson in December 2014 were settled in early 2018 at an overall payout of 100% of target based on performance over the 2015 – 2017 performance period against pre-established goals for Global Gross Room Openings.</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Compensation Philosophy and Objectives</w:t>
      </w:r>
    </w:p>
    <w:p>
      <w:pPr>
        <w:spacing w:after="0" w:line="103" w:lineRule="exact"/>
        <w:rPr>
          <w:sz w:val="20"/>
          <w:szCs w:val="20"/>
          <w:color w:val="auto"/>
        </w:rPr>
      </w:pPr>
    </w:p>
    <w:p>
      <w:pPr>
        <w:ind w:left="220" w:right="40"/>
        <w:spacing w:after="0"/>
        <w:rPr>
          <w:sz w:val="20"/>
          <w:szCs w:val="20"/>
          <w:color w:val="auto"/>
        </w:rPr>
      </w:pPr>
      <w:r>
        <w:rPr>
          <w:rFonts w:ascii="Arial" w:cs="Arial" w:eastAsia="Arial" w:hAnsi="Arial"/>
          <w:sz w:val="17"/>
          <w:szCs w:val="17"/>
          <w:color w:val="auto"/>
        </w:rPr>
        <w:t>Marriott is consistently recognized as a global hospitality leader. The Company believes that strong and consistent leadership is the key to long-term success in the hospitality industry. Each of the NEOs is a long-standing member of our senior management team. For example, J.W. Marriott, Jr. and Arne M. Sorenson have over 85 years of combined hospitality experience with the Company. They have led Marriott’s long history of delivering results for stockholders by relying on talented, hard-working associates who uphold the Company’s ideals and unique culture. This culture is reflected in, and reinforced by, the design and implementation of the Company’s executive compensation program, which emphasizes the following principles:</w:t>
      </w:r>
    </w:p>
    <w:p>
      <w:pPr>
        <w:spacing w:after="0" w:line="82" w:lineRule="exact"/>
        <w:rPr>
          <w:sz w:val="20"/>
          <w:szCs w:val="20"/>
          <w:color w:val="auto"/>
        </w:rPr>
      </w:pPr>
    </w:p>
    <w:p>
      <w:pPr>
        <w:ind w:left="420" w:hanging="210"/>
        <w:spacing w:after="0" w:line="274" w:lineRule="auto"/>
        <w:tabs>
          <w:tab w:leader="none" w:pos="4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There should be a strong correlation between NEO pay and Company performance. Therefore, a substantial portion of NEO pay should be tied to achieving key performance goals.</w:t>
      </w:r>
    </w:p>
    <w:p>
      <w:pPr>
        <w:spacing w:after="0" w:line="52" w:lineRule="exact"/>
        <w:rPr>
          <w:rFonts w:ascii="Arial" w:cs="Arial" w:eastAsia="Arial" w:hAnsi="Arial"/>
          <w:sz w:val="17"/>
          <w:szCs w:val="17"/>
          <w:color w:val="auto"/>
        </w:rPr>
      </w:pPr>
    </w:p>
    <w:p>
      <w:pPr>
        <w:ind w:left="420" w:right="700" w:hanging="210"/>
        <w:spacing w:after="0" w:line="274" w:lineRule="auto"/>
        <w:tabs>
          <w:tab w:leader="none" w:pos="4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NEOs should be paid in a manner that contributes to long-term stockholder value. Therefore, equity compensation should be the most significant component of total pay opportunity for the NEOs.</w:t>
      </w:r>
    </w:p>
    <w:p>
      <w:pPr>
        <w:spacing w:after="0" w:line="52" w:lineRule="exact"/>
        <w:rPr>
          <w:rFonts w:ascii="Arial" w:cs="Arial" w:eastAsia="Arial" w:hAnsi="Arial"/>
          <w:sz w:val="17"/>
          <w:szCs w:val="17"/>
          <w:color w:val="auto"/>
        </w:rPr>
      </w:pPr>
    </w:p>
    <w:p>
      <w:pPr>
        <w:jc w:val="both"/>
        <w:ind w:left="420" w:right="240" w:hanging="210"/>
        <w:spacing w:after="0" w:line="253" w:lineRule="auto"/>
        <w:tabs>
          <w:tab w:leader="none" w:pos="4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Compensation should be designed to motivate the NEOs to perform their duties in ways that will help the Company meet its short- and long-term objectives. Therefore, compensation should consist of an appropriate mix of the following compensation elements: cash and non-cash, annual and multi-year, and performance-based and service-based.</w:t>
      </w:r>
    </w:p>
    <w:p>
      <w:pPr>
        <w:spacing w:after="0" w:line="69" w:lineRule="exact"/>
        <w:rPr>
          <w:rFonts w:ascii="Arial" w:cs="Arial" w:eastAsia="Arial" w:hAnsi="Arial"/>
          <w:sz w:val="17"/>
          <w:szCs w:val="17"/>
          <w:color w:val="auto"/>
        </w:rPr>
      </w:pPr>
    </w:p>
    <w:p>
      <w:pPr>
        <w:ind w:left="420" w:right="40" w:hanging="210"/>
        <w:spacing w:after="0" w:line="253" w:lineRule="auto"/>
        <w:tabs>
          <w:tab w:leader="none" w:pos="4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executive compensation program must be competitive so that the Company can attract key talent from within and outside of our industry and retain key talent at costs consistent with market practice. Therefore, compensation should reflect market data, individual performance, and internal pay equity considerations including the ratio of the CEO’s compensation to the other NEOs’ compensation.</w:t>
      </w:r>
    </w:p>
    <w:p>
      <w:pPr>
        <w:spacing w:after="0" w:line="102" w:lineRule="exact"/>
        <w:rPr>
          <w:sz w:val="20"/>
          <w:szCs w:val="20"/>
          <w:color w:val="auto"/>
        </w:rPr>
      </w:pPr>
    </w:p>
    <w:p>
      <w:pPr>
        <w:ind w:left="540" w:hanging="330"/>
        <w:spacing w:after="0"/>
        <w:tabs>
          <w:tab w:leader="none" w:pos="540" w:val="left"/>
        </w:tabs>
        <w:numPr>
          <w:ilvl w:val="0"/>
          <w:numId w:val="89"/>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20"/>
          </w:cols>
          <w:pgMar w:left="240" w:top="455" w:right="4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2017 Compensation in Detail</w:t>
      </w:r>
    </w:p>
    <w:p>
      <w:pPr>
        <w:spacing w:after="0" w:line="105"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7F7F7F"/>
        </w:rPr>
        <w:t>Base Salary</w:t>
      </w:r>
    </w:p>
    <w:p>
      <w:pPr>
        <w:spacing w:after="0" w:line="9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For 2017, the Human Resources Department presented to the Committee market data on base salary levels at the 50</w:t>
      </w:r>
      <w:r>
        <w:rPr>
          <w:rFonts w:ascii="Arial" w:cs="Arial" w:eastAsia="Arial" w:hAnsi="Arial"/>
          <w:sz w:val="14"/>
          <w:szCs w:val="14"/>
          <w:color w:val="auto"/>
        </w:rPr>
        <w:t>th</w:t>
      </w:r>
      <w:r>
        <w:rPr>
          <w:rFonts w:ascii="Arial" w:cs="Arial" w:eastAsia="Arial" w:hAnsi="Arial"/>
          <w:sz w:val="17"/>
          <w:szCs w:val="17"/>
          <w:color w:val="auto"/>
        </w:rPr>
        <w:t xml:space="preserve"> percentile for each</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position and recommended base salary increases of approximately 5% for Mr. Sorenson and 7% for Messrs. Capuano and Grissen. For</w:t>
      </w:r>
    </w:p>
    <w:p>
      <w:pPr>
        <w:ind w:left="220"/>
        <w:spacing w:after="0" w:line="231" w:lineRule="auto"/>
        <w:rPr>
          <w:sz w:val="20"/>
          <w:szCs w:val="20"/>
          <w:color w:val="auto"/>
        </w:rPr>
      </w:pPr>
      <w:r>
        <w:rPr>
          <w:rFonts w:ascii="Arial" w:cs="Arial" w:eastAsia="Arial" w:hAnsi="Arial"/>
          <w:sz w:val="17"/>
          <w:szCs w:val="17"/>
          <w:color w:val="auto"/>
        </w:rPr>
        <w:t>Ms. Linnartz and Ms. Oberg, management recommended a salary increase of approximately 14% and 15%, respectively, after it completed a</w:t>
      </w:r>
    </w:p>
    <w:p>
      <w:pPr>
        <w:ind w:left="220"/>
        <w:spacing w:after="0" w:line="232" w:lineRule="auto"/>
        <w:rPr>
          <w:sz w:val="20"/>
          <w:szCs w:val="20"/>
          <w:color w:val="auto"/>
        </w:rPr>
      </w:pPr>
      <w:r>
        <w:rPr>
          <w:rFonts w:ascii="Arial" w:cs="Arial" w:eastAsia="Arial" w:hAnsi="Arial"/>
          <w:sz w:val="17"/>
          <w:szCs w:val="17"/>
          <w:color w:val="auto"/>
        </w:rPr>
        <w:t>comprehensive review of market data in 2017 as described below, due to the transformational nature of the Starwood combination and resulting</w:t>
      </w:r>
    </w:p>
    <w:p>
      <w:pPr>
        <w:ind w:left="220"/>
        <w:spacing w:after="0" w:line="232" w:lineRule="auto"/>
        <w:rPr>
          <w:sz w:val="20"/>
          <w:szCs w:val="20"/>
          <w:color w:val="auto"/>
        </w:rPr>
      </w:pPr>
      <w:r>
        <w:rPr>
          <w:rFonts w:ascii="Arial" w:cs="Arial" w:eastAsia="Arial" w:hAnsi="Arial"/>
          <w:sz w:val="17"/>
          <w:szCs w:val="17"/>
          <w:color w:val="auto"/>
        </w:rPr>
        <w:t>change in size, scope, and complexity of the business, and considered internal equity. The Company’s independent compensation consultant,</w:t>
      </w:r>
    </w:p>
    <w:p>
      <w:pPr>
        <w:ind w:left="220"/>
        <w:spacing w:after="0" w:line="232" w:lineRule="auto"/>
        <w:rPr>
          <w:sz w:val="20"/>
          <w:szCs w:val="20"/>
          <w:color w:val="auto"/>
        </w:rPr>
      </w:pPr>
      <w:r>
        <w:rPr>
          <w:rFonts w:ascii="Arial" w:cs="Arial" w:eastAsia="Arial" w:hAnsi="Arial"/>
          <w:sz w:val="17"/>
          <w:szCs w:val="17"/>
          <w:color w:val="auto"/>
        </w:rPr>
        <w:t>Pearl Meyer (the “Compensation Consultant”) reviewed and supported the recommendations which were discussed in detail and approved by the</w:t>
      </w:r>
    </w:p>
    <w:p>
      <w:pPr>
        <w:ind w:left="220"/>
        <w:spacing w:after="0"/>
        <w:rPr>
          <w:sz w:val="20"/>
          <w:szCs w:val="20"/>
          <w:color w:val="auto"/>
        </w:rPr>
      </w:pPr>
      <w:r>
        <w:rPr>
          <w:rFonts w:ascii="Arial" w:cs="Arial" w:eastAsia="Arial" w:hAnsi="Arial"/>
          <w:sz w:val="17"/>
          <w:szCs w:val="17"/>
          <w:color w:val="auto"/>
        </w:rPr>
        <w:t>Committee and, with respect to Messrs. Marriott and Sorenson, by the independent members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153670</wp:posOffset>
            </wp:positionV>
            <wp:extent cx="6989445" cy="10877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89445" cy="1087755"/>
                    </a:xfrm>
                    <a:prstGeom prst="rect">
                      <a:avLst/>
                    </a:prstGeom>
                    <a:noFill/>
                  </pic:spPr>
                </pic:pic>
              </a:graphicData>
            </a:graphic>
          </wp:anchor>
        </w:drawing>
      </w:r>
    </w:p>
    <w:p>
      <w:pPr>
        <w:spacing w:after="0" w:line="207"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5610" w:type="dxa"/>
            <w:vAlign w:val="bottom"/>
            <w:shd w:val="clear" w:color="auto" w:fill="998C87"/>
          </w:tcPr>
          <w:p>
            <w:pPr>
              <w:spacing w:after="0"/>
              <w:rPr>
                <w:sz w:val="16"/>
                <w:szCs w:val="16"/>
                <w:color w:val="auto"/>
              </w:rPr>
            </w:pPr>
          </w:p>
        </w:tc>
        <w:tc>
          <w:tcPr>
            <w:tcW w:w="2090" w:type="dxa"/>
            <w:vAlign w:val="bottom"/>
            <w:shd w:val="clear" w:color="auto" w:fill="998C87"/>
          </w:tcPr>
          <w:p>
            <w:pPr>
              <w:spacing w:after="0"/>
              <w:rPr>
                <w:sz w:val="16"/>
                <w:szCs w:val="16"/>
                <w:color w:val="auto"/>
              </w:rPr>
            </w:pPr>
          </w:p>
        </w:tc>
        <w:tc>
          <w:tcPr>
            <w:tcW w:w="2080" w:type="dxa"/>
            <w:vAlign w:val="bottom"/>
            <w:shd w:val="clear" w:color="auto" w:fill="998C87"/>
          </w:tcPr>
          <w:p>
            <w:pPr>
              <w:spacing w:after="0"/>
              <w:rPr>
                <w:sz w:val="16"/>
                <w:szCs w:val="16"/>
                <w:color w:val="auto"/>
              </w:rPr>
            </w:pPr>
          </w:p>
        </w:tc>
        <w:tc>
          <w:tcPr>
            <w:tcW w:w="1220" w:type="dxa"/>
            <w:vAlign w:val="bottom"/>
            <w:shd w:val="clear" w:color="auto" w:fill="998C87"/>
          </w:tcPr>
          <w:p>
            <w:pPr>
              <w:jc w:val="right"/>
              <w:ind w:right="16"/>
              <w:spacing w:after="0"/>
              <w:rPr>
                <w:sz w:val="20"/>
                <w:szCs w:val="20"/>
                <w:color w:val="auto"/>
              </w:rPr>
            </w:pPr>
            <w:r>
              <w:rPr>
                <w:rFonts w:ascii="Arial" w:cs="Arial" w:eastAsia="Arial" w:hAnsi="Arial"/>
                <w:sz w:val="16"/>
                <w:szCs w:val="16"/>
                <w:b w:val="1"/>
                <w:bCs w:val="1"/>
                <w:color w:val="FFFFFF"/>
              </w:rPr>
              <w:t>2016 to 2017</w:t>
            </w:r>
          </w:p>
        </w:tc>
      </w:tr>
      <w:tr>
        <w:trPr>
          <w:trHeight w:val="209"/>
        </w:trPr>
        <w:tc>
          <w:tcPr>
            <w:tcW w:w="5610" w:type="dxa"/>
            <w:vAlign w:val="bottom"/>
            <w:shd w:val="clear" w:color="auto" w:fill="998C87"/>
          </w:tcPr>
          <w:p>
            <w:pPr>
              <w:spacing w:after="0"/>
              <w:rPr>
                <w:sz w:val="18"/>
                <w:szCs w:val="18"/>
                <w:color w:val="auto"/>
              </w:rPr>
            </w:pPr>
          </w:p>
        </w:tc>
        <w:tc>
          <w:tcPr>
            <w:tcW w:w="2090" w:type="dxa"/>
            <w:vAlign w:val="bottom"/>
            <w:shd w:val="clear" w:color="auto" w:fill="998C87"/>
          </w:tcPr>
          <w:p>
            <w:pPr>
              <w:jc w:val="right"/>
              <w:ind w:right="175"/>
              <w:spacing w:after="0"/>
              <w:rPr>
                <w:sz w:val="20"/>
                <w:szCs w:val="20"/>
                <w:color w:val="auto"/>
              </w:rPr>
            </w:pPr>
            <w:r>
              <w:rPr>
                <w:rFonts w:ascii="Arial" w:cs="Arial" w:eastAsia="Arial" w:hAnsi="Arial"/>
                <w:sz w:val="16"/>
                <w:szCs w:val="16"/>
                <w:b w:val="1"/>
                <w:bCs w:val="1"/>
                <w:color w:val="FFFFFF"/>
              </w:rPr>
              <w:t>2017 Base Salary ($)</w:t>
            </w:r>
          </w:p>
        </w:tc>
        <w:tc>
          <w:tcPr>
            <w:tcW w:w="2080" w:type="dxa"/>
            <w:vAlign w:val="bottom"/>
            <w:shd w:val="clear" w:color="auto" w:fill="998C87"/>
          </w:tcPr>
          <w:p>
            <w:pPr>
              <w:jc w:val="right"/>
              <w:ind w:right="155"/>
              <w:spacing w:after="0"/>
              <w:rPr>
                <w:sz w:val="20"/>
                <w:szCs w:val="20"/>
                <w:color w:val="auto"/>
              </w:rPr>
            </w:pPr>
            <w:r>
              <w:rPr>
                <w:rFonts w:ascii="Arial" w:cs="Arial" w:eastAsia="Arial" w:hAnsi="Arial"/>
                <w:sz w:val="16"/>
                <w:szCs w:val="16"/>
                <w:b w:val="1"/>
                <w:bCs w:val="1"/>
                <w:color w:val="FFFFFF"/>
              </w:rPr>
              <w:t>2016 Base Salary ($)</w:t>
            </w:r>
          </w:p>
        </w:tc>
        <w:tc>
          <w:tcPr>
            <w:tcW w:w="1220" w:type="dxa"/>
            <w:vAlign w:val="bottom"/>
            <w:shd w:val="clear" w:color="auto" w:fill="998C87"/>
          </w:tcPr>
          <w:p>
            <w:pPr>
              <w:jc w:val="right"/>
              <w:ind w:right="36"/>
              <w:spacing w:after="0"/>
              <w:rPr>
                <w:sz w:val="20"/>
                <w:szCs w:val="20"/>
                <w:color w:val="auto"/>
              </w:rPr>
            </w:pPr>
            <w:r>
              <w:rPr>
                <w:rFonts w:ascii="Arial" w:cs="Arial" w:eastAsia="Arial" w:hAnsi="Arial"/>
                <w:sz w:val="16"/>
                <w:szCs w:val="16"/>
                <w:b w:val="1"/>
                <w:bCs w:val="1"/>
                <w:color w:val="FFFFFF"/>
              </w:rPr>
              <w:t>Increase (%)</w:t>
            </w:r>
          </w:p>
        </w:tc>
      </w:tr>
      <w:tr>
        <w:trPr>
          <w:trHeight w:val="270"/>
        </w:trPr>
        <w:tc>
          <w:tcPr>
            <w:tcW w:w="5610" w:type="dxa"/>
            <w:vAlign w:val="bottom"/>
            <w:shd w:val="clear" w:color="auto" w:fill="F4F3F3"/>
          </w:tcPr>
          <w:p>
            <w:pPr>
              <w:ind w:left="80"/>
              <w:spacing w:after="0"/>
              <w:rPr>
                <w:sz w:val="20"/>
                <w:szCs w:val="20"/>
                <w:color w:val="auto"/>
              </w:rPr>
            </w:pPr>
            <w:r>
              <w:rPr>
                <w:rFonts w:ascii="Arial" w:cs="Arial" w:eastAsia="Arial" w:hAnsi="Arial"/>
                <w:sz w:val="17"/>
                <w:szCs w:val="17"/>
                <w:color w:val="998C87"/>
              </w:rPr>
              <w:t>J.W. Marriott, Jr.</w:t>
            </w:r>
          </w:p>
        </w:tc>
        <w:tc>
          <w:tcPr>
            <w:tcW w:w="209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3,000,000</w:t>
            </w:r>
          </w:p>
        </w:tc>
        <w:tc>
          <w:tcPr>
            <w:tcW w:w="2080" w:type="dxa"/>
            <w:vAlign w:val="bottom"/>
            <w:shd w:val="clear" w:color="auto" w:fill="F4F3F3"/>
          </w:tcPr>
          <w:p>
            <w:pPr>
              <w:jc w:val="right"/>
              <w:ind w:right="55"/>
              <w:spacing w:after="0"/>
              <w:rPr>
                <w:sz w:val="20"/>
                <w:szCs w:val="20"/>
                <w:color w:val="auto"/>
              </w:rPr>
            </w:pPr>
            <w:r>
              <w:rPr>
                <w:rFonts w:ascii="Arial" w:cs="Arial" w:eastAsia="Arial" w:hAnsi="Arial"/>
                <w:sz w:val="17"/>
                <w:szCs w:val="17"/>
                <w:color w:val="auto"/>
              </w:rPr>
              <w:t>3,000,000</w:t>
            </w:r>
          </w:p>
        </w:tc>
        <w:tc>
          <w:tcPr>
            <w:tcW w:w="122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0</w:t>
            </w:r>
          </w:p>
        </w:tc>
      </w:tr>
      <w:tr>
        <w:trPr>
          <w:trHeight w:val="216"/>
        </w:trPr>
        <w:tc>
          <w:tcPr>
            <w:tcW w:w="5610" w:type="dxa"/>
            <w:vAlign w:val="bottom"/>
            <w:shd w:val="clear" w:color="auto" w:fill="F4F3F3"/>
          </w:tcPr>
          <w:p>
            <w:pPr>
              <w:ind w:left="80"/>
              <w:spacing w:after="0"/>
              <w:rPr>
                <w:sz w:val="20"/>
                <w:szCs w:val="20"/>
                <w:color w:val="auto"/>
              </w:rPr>
            </w:pPr>
            <w:r>
              <w:rPr>
                <w:rFonts w:ascii="Arial" w:cs="Arial" w:eastAsia="Arial" w:hAnsi="Arial"/>
                <w:sz w:val="17"/>
                <w:szCs w:val="17"/>
                <w:color w:val="998C87"/>
              </w:rPr>
              <w:t>Arne M. Sorenson</w:t>
            </w:r>
          </w:p>
        </w:tc>
        <w:tc>
          <w:tcPr>
            <w:tcW w:w="209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1,300,000</w:t>
            </w:r>
          </w:p>
        </w:tc>
        <w:tc>
          <w:tcPr>
            <w:tcW w:w="2080" w:type="dxa"/>
            <w:vAlign w:val="bottom"/>
            <w:shd w:val="clear" w:color="auto" w:fill="F4F3F3"/>
          </w:tcPr>
          <w:p>
            <w:pPr>
              <w:jc w:val="right"/>
              <w:ind w:right="55"/>
              <w:spacing w:after="0"/>
              <w:rPr>
                <w:sz w:val="20"/>
                <w:szCs w:val="20"/>
                <w:color w:val="auto"/>
              </w:rPr>
            </w:pPr>
            <w:r>
              <w:rPr>
                <w:rFonts w:ascii="Arial" w:cs="Arial" w:eastAsia="Arial" w:hAnsi="Arial"/>
                <w:sz w:val="17"/>
                <w:szCs w:val="17"/>
                <w:color w:val="auto"/>
              </w:rPr>
              <w:t>1,236,000</w:t>
            </w:r>
          </w:p>
        </w:tc>
        <w:tc>
          <w:tcPr>
            <w:tcW w:w="122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5.2</w:t>
            </w:r>
          </w:p>
        </w:tc>
      </w:tr>
      <w:tr>
        <w:trPr>
          <w:trHeight w:val="216"/>
        </w:trPr>
        <w:tc>
          <w:tcPr>
            <w:tcW w:w="5610" w:type="dxa"/>
            <w:vAlign w:val="bottom"/>
            <w:shd w:val="clear" w:color="auto" w:fill="F4F3F3"/>
          </w:tcPr>
          <w:p>
            <w:pPr>
              <w:ind w:left="80"/>
              <w:spacing w:after="0"/>
              <w:rPr>
                <w:sz w:val="20"/>
                <w:szCs w:val="20"/>
                <w:color w:val="auto"/>
              </w:rPr>
            </w:pPr>
            <w:r>
              <w:rPr>
                <w:rFonts w:ascii="Arial" w:cs="Arial" w:eastAsia="Arial" w:hAnsi="Arial"/>
                <w:sz w:val="17"/>
                <w:szCs w:val="17"/>
                <w:color w:val="998C87"/>
              </w:rPr>
              <w:t>Anthony G. Capuano</w:t>
            </w:r>
          </w:p>
        </w:tc>
        <w:tc>
          <w:tcPr>
            <w:tcW w:w="209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800,000</w:t>
            </w:r>
          </w:p>
        </w:tc>
        <w:tc>
          <w:tcPr>
            <w:tcW w:w="2080" w:type="dxa"/>
            <w:vAlign w:val="bottom"/>
            <w:shd w:val="clear" w:color="auto" w:fill="F4F3F3"/>
          </w:tcPr>
          <w:p>
            <w:pPr>
              <w:jc w:val="right"/>
              <w:ind w:right="55"/>
              <w:spacing w:after="0"/>
              <w:rPr>
                <w:sz w:val="20"/>
                <w:szCs w:val="20"/>
                <w:color w:val="auto"/>
              </w:rPr>
            </w:pPr>
            <w:r>
              <w:rPr>
                <w:rFonts w:ascii="Arial" w:cs="Arial" w:eastAsia="Arial" w:hAnsi="Arial"/>
                <w:sz w:val="17"/>
                <w:szCs w:val="17"/>
                <w:color w:val="auto"/>
              </w:rPr>
              <w:t>750,000</w:t>
            </w:r>
          </w:p>
        </w:tc>
        <w:tc>
          <w:tcPr>
            <w:tcW w:w="122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6.7</w:t>
            </w:r>
          </w:p>
        </w:tc>
      </w:tr>
      <w:tr>
        <w:trPr>
          <w:trHeight w:val="216"/>
        </w:trPr>
        <w:tc>
          <w:tcPr>
            <w:tcW w:w="5610" w:type="dxa"/>
            <w:vAlign w:val="bottom"/>
            <w:shd w:val="clear" w:color="auto" w:fill="F4F3F3"/>
          </w:tcPr>
          <w:p>
            <w:pPr>
              <w:ind w:left="80"/>
              <w:spacing w:after="0"/>
              <w:rPr>
                <w:sz w:val="20"/>
                <w:szCs w:val="20"/>
                <w:color w:val="auto"/>
              </w:rPr>
            </w:pPr>
            <w:r>
              <w:rPr>
                <w:rFonts w:ascii="Arial" w:cs="Arial" w:eastAsia="Arial" w:hAnsi="Arial"/>
                <w:sz w:val="17"/>
                <w:szCs w:val="17"/>
                <w:color w:val="998C87"/>
              </w:rPr>
              <w:t>Stephanie C. Linnartz</w:t>
            </w:r>
          </w:p>
        </w:tc>
        <w:tc>
          <w:tcPr>
            <w:tcW w:w="209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800,000</w:t>
            </w:r>
          </w:p>
        </w:tc>
        <w:tc>
          <w:tcPr>
            <w:tcW w:w="2080" w:type="dxa"/>
            <w:vAlign w:val="bottom"/>
            <w:shd w:val="clear" w:color="auto" w:fill="F4F3F3"/>
          </w:tcPr>
          <w:p>
            <w:pPr>
              <w:jc w:val="right"/>
              <w:ind w:right="55"/>
              <w:spacing w:after="0"/>
              <w:rPr>
                <w:sz w:val="20"/>
                <w:szCs w:val="20"/>
                <w:color w:val="auto"/>
              </w:rPr>
            </w:pPr>
            <w:r>
              <w:rPr>
                <w:rFonts w:ascii="Arial" w:cs="Arial" w:eastAsia="Arial" w:hAnsi="Arial"/>
                <w:sz w:val="17"/>
                <w:szCs w:val="17"/>
                <w:color w:val="auto"/>
              </w:rPr>
              <w:t>700,000</w:t>
            </w:r>
          </w:p>
        </w:tc>
        <w:tc>
          <w:tcPr>
            <w:tcW w:w="122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14.3</w:t>
            </w:r>
          </w:p>
        </w:tc>
      </w:tr>
      <w:tr>
        <w:trPr>
          <w:trHeight w:val="216"/>
        </w:trPr>
        <w:tc>
          <w:tcPr>
            <w:tcW w:w="5610" w:type="dxa"/>
            <w:vAlign w:val="bottom"/>
            <w:shd w:val="clear" w:color="auto" w:fill="F4F3F3"/>
          </w:tcPr>
          <w:p>
            <w:pPr>
              <w:ind w:left="80"/>
              <w:spacing w:after="0"/>
              <w:rPr>
                <w:sz w:val="20"/>
                <w:szCs w:val="20"/>
                <w:color w:val="auto"/>
              </w:rPr>
            </w:pPr>
            <w:r>
              <w:rPr>
                <w:rFonts w:ascii="Arial" w:cs="Arial" w:eastAsia="Arial" w:hAnsi="Arial"/>
                <w:sz w:val="17"/>
                <w:szCs w:val="17"/>
                <w:color w:val="998C87"/>
              </w:rPr>
              <w:t>David J. Grissen</w:t>
            </w:r>
          </w:p>
        </w:tc>
        <w:tc>
          <w:tcPr>
            <w:tcW w:w="209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800,000</w:t>
            </w:r>
          </w:p>
        </w:tc>
        <w:tc>
          <w:tcPr>
            <w:tcW w:w="2080" w:type="dxa"/>
            <w:vAlign w:val="bottom"/>
            <w:shd w:val="clear" w:color="auto" w:fill="F4F3F3"/>
          </w:tcPr>
          <w:p>
            <w:pPr>
              <w:jc w:val="right"/>
              <w:ind w:right="55"/>
              <w:spacing w:after="0"/>
              <w:rPr>
                <w:sz w:val="20"/>
                <w:szCs w:val="20"/>
                <w:color w:val="auto"/>
              </w:rPr>
            </w:pPr>
            <w:r>
              <w:rPr>
                <w:rFonts w:ascii="Arial" w:cs="Arial" w:eastAsia="Arial" w:hAnsi="Arial"/>
                <w:sz w:val="17"/>
                <w:szCs w:val="17"/>
                <w:color w:val="auto"/>
              </w:rPr>
              <w:t>750,000</w:t>
            </w:r>
          </w:p>
        </w:tc>
        <w:tc>
          <w:tcPr>
            <w:tcW w:w="122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6.7</w:t>
            </w:r>
          </w:p>
        </w:tc>
      </w:tr>
      <w:tr>
        <w:trPr>
          <w:trHeight w:val="202"/>
        </w:trPr>
        <w:tc>
          <w:tcPr>
            <w:tcW w:w="5610" w:type="dxa"/>
            <w:vAlign w:val="bottom"/>
            <w:shd w:val="clear" w:color="auto" w:fill="F4F3F3"/>
          </w:tcPr>
          <w:p>
            <w:pPr>
              <w:ind w:left="80"/>
              <w:spacing w:after="0"/>
              <w:rPr>
                <w:sz w:val="20"/>
                <w:szCs w:val="20"/>
                <w:color w:val="auto"/>
              </w:rPr>
            </w:pPr>
            <w:r>
              <w:rPr>
                <w:rFonts w:ascii="Arial" w:cs="Arial" w:eastAsia="Arial" w:hAnsi="Arial"/>
                <w:sz w:val="17"/>
                <w:szCs w:val="17"/>
                <w:color w:val="998C87"/>
              </w:rPr>
              <w:t>Kathleen K. Oberg</w:t>
            </w:r>
          </w:p>
        </w:tc>
        <w:tc>
          <w:tcPr>
            <w:tcW w:w="209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750,000</w:t>
            </w:r>
          </w:p>
        </w:tc>
        <w:tc>
          <w:tcPr>
            <w:tcW w:w="2080" w:type="dxa"/>
            <w:vAlign w:val="bottom"/>
            <w:shd w:val="clear" w:color="auto" w:fill="F4F3F3"/>
          </w:tcPr>
          <w:p>
            <w:pPr>
              <w:jc w:val="right"/>
              <w:ind w:right="55"/>
              <w:spacing w:after="0"/>
              <w:rPr>
                <w:sz w:val="20"/>
                <w:szCs w:val="20"/>
                <w:color w:val="auto"/>
              </w:rPr>
            </w:pPr>
            <w:r>
              <w:rPr>
                <w:rFonts w:ascii="Arial" w:cs="Arial" w:eastAsia="Arial" w:hAnsi="Arial"/>
                <w:sz w:val="17"/>
                <w:szCs w:val="17"/>
                <w:color w:val="auto"/>
              </w:rPr>
              <w:t>650,000</w:t>
            </w:r>
          </w:p>
        </w:tc>
        <w:tc>
          <w:tcPr>
            <w:tcW w:w="122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15.4</w:t>
            </w:r>
          </w:p>
        </w:tc>
      </w:tr>
    </w:tbl>
    <w:p>
      <w:pPr>
        <w:spacing w:after="0" w:line="190"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7F7F7F"/>
        </w:rPr>
        <w:t>Annual Incentives</w:t>
      </w:r>
    </w:p>
    <w:p>
      <w:pPr>
        <w:spacing w:after="0" w:line="99" w:lineRule="exact"/>
        <w:rPr>
          <w:sz w:val="20"/>
          <w:szCs w:val="20"/>
          <w:color w:val="auto"/>
        </w:rPr>
      </w:pPr>
    </w:p>
    <w:p>
      <w:pPr>
        <w:ind w:left="220" w:right="180"/>
        <w:spacing w:after="0" w:line="253" w:lineRule="auto"/>
        <w:rPr>
          <w:sz w:val="20"/>
          <w:szCs w:val="20"/>
          <w:color w:val="auto"/>
        </w:rPr>
      </w:pPr>
      <w:r>
        <w:rPr>
          <w:rFonts w:ascii="Arial" w:cs="Arial" w:eastAsia="Arial" w:hAnsi="Arial"/>
          <w:sz w:val="17"/>
          <w:szCs w:val="17"/>
          <w:color w:val="auto"/>
        </w:rPr>
        <w:t>To promote growth and profitability, the Company’s annual cash incentive program is based on actual performance measured against pre-established financial and business operational targets. The annual cash incentive design rewards executives for achieving annual corporate and individual performance objectives that support long-term financial and operational success.</w:t>
      </w:r>
    </w:p>
    <w:p>
      <w:pPr>
        <w:spacing w:after="0" w:line="56" w:lineRule="exact"/>
        <w:rPr>
          <w:sz w:val="20"/>
          <w:szCs w:val="20"/>
          <w:color w:val="auto"/>
        </w:rPr>
      </w:pPr>
    </w:p>
    <w:p>
      <w:pPr>
        <w:jc w:val="both"/>
        <w:ind w:left="220" w:right="40"/>
        <w:spacing w:after="0" w:line="253" w:lineRule="auto"/>
        <w:rPr>
          <w:sz w:val="20"/>
          <w:szCs w:val="20"/>
          <w:color w:val="auto"/>
        </w:rPr>
      </w:pPr>
      <w:r>
        <w:rPr>
          <w:rFonts w:ascii="Arial" w:cs="Arial" w:eastAsia="Arial" w:hAnsi="Arial"/>
          <w:sz w:val="17"/>
          <w:szCs w:val="17"/>
          <w:color w:val="auto"/>
        </w:rPr>
        <w:t>The following graph illustrates how the aggregate annual incentives paid to the NEOs have changed relative to changes in the Company’s annual diluted earnings per share (“</w:t>
      </w:r>
      <w:r>
        <w:rPr>
          <w:rFonts w:ascii="Arial" w:cs="Arial" w:eastAsia="Arial" w:hAnsi="Arial"/>
          <w:sz w:val="17"/>
          <w:szCs w:val="17"/>
          <w:i w:val="1"/>
          <w:iCs w:val="1"/>
          <w:color w:val="auto"/>
        </w:rPr>
        <w:t>EPS</w:t>
      </w:r>
      <w:r>
        <w:rPr>
          <w:rFonts w:ascii="Arial" w:cs="Arial" w:eastAsia="Arial" w:hAnsi="Arial"/>
          <w:sz w:val="17"/>
          <w:szCs w:val="17"/>
          <w:color w:val="auto"/>
        </w:rPr>
        <w:t>”), over the past five years. EPS for 2016 and 2017 reflects $386 million and $159 million in merger-related costs attributable to the Starwood combination, respectively.</w:t>
      </w:r>
    </w:p>
    <w:p>
      <w:pPr>
        <w:spacing w:after="0" w:line="162"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NEOs’ Aggregate Annual Incentive Value vs.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1041400</wp:posOffset>
            </wp:positionH>
            <wp:positionV relativeFrom="paragraph">
              <wp:posOffset>92075</wp:posOffset>
            </wp:positionV>
            <wp:extent cx="5182235" cy="24498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82235" cy="2449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9180" w:type="dxa"/>
        <w:tblCellMar>
          <w:top w:w="0" w:type="dxa"/>
          <w:left w:w="0" w:type="dxa"/>
          <w:bottom w:w="0" w:type="dxa"/>
          <w:right w:w="0" w:type="dxa"/>
        </w:tblCellMar>
      </w:tblPr>
      <w:tr>
        <w:trPr>
          <w:trHeight w:val="214"/>
        </w:trPr>
        <w:tc>
          <w:tcPr>
            <w:tcW w:w="1660" w:type="dxa"/>
            <w:vAlign w:val="bottom"/>
          </w:tcPr>
          <w:p>
            <w:pPr>
              <w:spacing w:after="0"/>
              <w:rPr>
                <w:sz w:val="20"/>
                <w:szCs w:val="20"/>
                <w:color w:val="auto"/>
              </w:rPr>
            </w:pPr>
            <w:r>
              <w:rPr>
                <w:rFonts w:ascii="Arial" w:cs="Arial" w:eastAsia="Arial" w:hAnsi="Arial"/>
                <w:sz w:val="15"/>
                <w:szCs w:val="15"/>
                <w:color w:val="998C87"/>
              </w:rPr>
              <w:t>2018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35</w:t>
            </w:r>
          </w:p>
        </w:tc>
      </w:tr>
    </w:tbl>
    <w:p>
      <w:pPr>
        <w:sectPr>
          <w:pgSz w:w="11900" w:h="16838" w:orient="portrait"/>
          <w:cols w:equalWidth="0" w:num="1">
            <w:col w:w="11220"/>
          </w:cols>
          <w:pgMar w:left="240" w:top="455" w:right="4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1" w:lineRule="exact"/>
        <w:rPr>
          <w:sz w:val="20"/>
          <w:szCs w:val="20"/>
          <w:color w:val="auto"/>
        </w:rPr>
      </w:pPr>
    </w:p>
    <w:p>
      <w:pPr>
        <w:ind w:left="220" w:right="100"/>
        <w:spacing w:after="0" w:line="242" w:lineRule="auto"/>
        <w:rPr>
          <w:sz w:val="20"/>
          <w:szCs w:val="20"/>
          <w:color w:val="auto"/>
        </w:rPr>
      </w:pPr>
      <w:r>
        <w:rPr>
          <w:rFonts w:ascii="Arial" w:cs="Arial" w:eastAsia="Arial" w:hAnsi="Arial"/>
          <w:sz w:val="17"/>
          <w:szCs w:val="17"/>
          <w:color w:val="auto"/>
        </w:rPr>
        <w:t>At its February 2017 meeting, the Committee approved specific performance objectives and targets under the annual cash incentive program for 2017. In February 2018, upon review of the 2017 fiscal year’s strategic integration achievements and financial results and taking into account the Company’s performance relative to lodging and other comparator companies, the Committee reviewed each NEO’s performance against the pre-established performance objectives to determine the actual cash incentive payments, as discussed below. All the Committee’s decisions regarding annual cash incentives for Mr. Sorenson were subject to and received Board approval.</w:t>
      </w:r>
    </w:p>
    <w:p>
      <w:pPr>
        <w:spacing w:after="0" w:line="67" w:lineRule="exact"/>
        <w:rPr>
          <w:sz w:val="20"/>
          <w:szCs w:val="20"/>
          <w:color w:val="auto"/>
        </w:rPr>
      </w:pPr>
    </w:p>
    <w:p>
      <w:pPr>
        <w:ind w:left="220" w:right="60"/>
        <w:spacing w:after="0" w:line="253" w:lineRule="auto"/>
        <w:rPr>
          <w:sz w:val="20"/>
          <w:szCs w:val="20"/>
          <w:color w:val="auto"/>
        </w:rPr>
      </w:pPr>
      <w:r>
        <w:rPr>
          <w:rFonts w:ascii="Arial" w:cs="Arial" w:eastAsia="Arial" w:hAnsi="Arial"/>
          <w:sz w:val="17"/>
          <w:szCs w:val="17"/>
          <w:color w:val="auto"/>
        </w:rPr>
        <w:t>As reflected in the following table, target awards under the annual cash incentive program were 150% of salary for Mr. Sorenson and 75% for the other NEOs. The Committee reviewed market data for each position and determined that the incentive amounts payable upon achievement of target performance levels would result in total cash compensation (base salary plus annual incentive) that would be at or near the 50</w:t>
      </w:r>
      <w:r>
        <w:rPr>
          <w:rFonts w:ascii="Arial" w:cs="Arial" w:eastAsia="Arial" w:hAnsi="Arial"/>
          <w:sz w:val="14"/>
          <w:szCs w:val="14"/>
          <w:color w:val="auto"/>
        </w:rPr>
        <w:t>th</w:t>
      </w:r>
      <w:r>
        <w:rPr>
          <w:rFonts w:ascii="Arial" w:cs="Arial" w:eastAsia="Arial" w:hAnsi="Arial"/>
          <w:sz w:val="17"/>
          <w:szCs w:val="17"/>
          <w:color w:val="auto"/>
        </w:rPr>
        <w:t xml:space="preserve"> percentile.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139065</wp:posOffset>
            </wp:positionV>
            <wp:extent cx="6989445" cy="10877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89445" cy="1087755"/>
                    </a:xfrm>
                    <a:prstGeom prst="rect">
                      <a:avLst/>
                    </a:prstGeom>
                    <a:noFill/>
                  </pic:spPr>
                </pic:pic>
              </a:graphicData>
            </a:graphic>
          </wp:anchor>
        </w:drawing>
      </w:r>
    </w:p>
    <w:p>
      <w:pPr>
        <w:spacing w:after="0" w:line="184"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9225" w:type="dxa"/>
            <w:vAlign w:val="bottom"/>
            <w:shd w:val="clear" w:color="auto" w:fill="998C87"/>
          </w:tcPr>
          <w:p>
            <w:pPr>
              <w:spacing w:after="0"/>
              <w:rPr>
                <w:sz w:val="16"/>
                <w:szCs w:val="16"/>
                <w:color w:val="auto"/>
              </w:rPr>
            </w:pPr>
          </w:p>
        </w:tc>
        <w:tc>
          <w:tcPr>
            <w:tcW w:w="1775" w:type="dxa"/>
            <w:vAlign w:val="bottom"/>
            <w:shd w:val="clear" w:color="auto" w:fill="998C87"/>
          </w:tcPr>
          <w:p>
            <w:pPr>
              <w:jc w:val="right"/>
              <w:ind w:right="156"/>
              <w:spacing w:after="0"/>
              <w:rPr>
                <w:sz w:val="20"/>
                <w:szCs w:val="20"/>
                <w:color w:val="auto"/>
              </w:rPr>
            </w:pPr>
            <w:r>
              <w:rPr>
                <w:rFonts w:ascii="Arial" w:cs="Arial" w:eastAsia="Arial" w:hAnsi="Arial"/>
                <w:sz w:val="16"/>
                <w:szCs w:val="16"/>
                <w:b w:val="1"/>
                <w:bCs w:val="1"/>
                <w:color w:val="FFFFFF"/>
              </w:rPr>
              <w:t>Target Award as a</w:t>
            </w:r>
          </w:p>
        </w:tc>
      </w:tr>
      <w:tr>
        <w:trPr>
          <w:trHeight w:val="209"/>
        </w:trPr>
        <w:tc>
          <w:tcPr>
            <w:tcW w:w="9225" w:type="dxa"/>
            <w:vAlign w:val="bottom"/>
            <w:shd w:val="clear" w:color="auto" w:fill="998C87"/>
          </w:tcPr>
          <w:p>
            <w:pPr>
              <w:ind w:left="80"/>
              <w:spacing w:after="0"/>
              <w:rPr>
                <w:sz w:val="20"/>
                <w:szCs w:val="20"/>
                <w:color w:val="auto"/>
              </w:rPr>
            </w:pPr>
            <w:r>
              <w:rPr>
                <w:rFonts w:ascii="Arial" w:cs="Arial" w:eastAsia="Arial" w:hAnsi="Arial"/>
                <w:sz w:val="16"/>
                <w:szCs w:val="16"/>
                <w:b w:val="1"/>
                <w:bCs w:val="1"/>
                <w:color w:val="FFFFFF"/>
              </w:rPr>
              <w:t>Name</w:t>
            </w:r>
          </w:p>
        </w:tc>
        <w:tc>
          <w:tcPr>
            <w:tcW w:w="1775" w:type="dxa"/>
            <w:vAlign w:val="bottom"/>
            <w:shd w:val="clear" w:color="auto" w:fill="998C87"/>
          </w:tcPr>
          <w:p>
            <w:pPr>
              <w:jc w:val="right"/>
              <w:ind w:right="416"/>
              <w:spacing w:after="0"/>
              <w:rPr>
                <w:sz w:val="20"/>
                <w:szCs w:val="20"/>
                <w:color w:val="auto"/>
              </w:rPr>
            </w:pPr>
            <w:r>
              <w:rPr>
                <w:rFonts w:ascii="Arial" w:cs="Arial" w:eastAsia="Arial" w:hAnsi="Arial"/>
                <w:sz w:val="16"/>
                <w:szCs w:val="16"/>
                <w:b w:val="1"/>
                <w:bCs w:val="1"/>
                <w:color w:val="FFFFFF"/>
              </w:rPr>
              <w:t>% of Salary</w:t>
            </w:r>
          </w:p>
        </w:tc>
      </w:tr>
      <w:tr>
        <w:trPr>
          <w:trHeight w:val="270"/>
        </w:trPr>
        <w:tc>
          <w:tcPr>
            <w:tcW w:w="9225" w:type="dxa"/>
            <w:vAlign w:val="bottom"/>
            <w:shd w:val="clear" w:color="auto" w:fill="F4F3F3"/>
          </w:tcPr>
          <w:p>
            <w:pPr>
              <w:ind w:left="80"/>
              <w:spacing w:after="0"/>
              <w:rPr>
                <w:sz w:val="20"/>
                <w:szCs w:val="20"/>
                <w:color w:val="auto"/>
              </w:rPr>
            </w:pPr>
            <w:r>
              <w:rPr>
                <w:rFonts w:ascii="Arial" w:cs="Arial" w:eastAsia="Arial" w:hAnsi="Arial"/>
                <w:sz w:val="17"/>
                <w:szCs w:val="17"/>
                <w:color w:val="998C87"/>
              </w:rPr>
              <w:t>J.W. Marriott, Jr.</w:t>
            </w:r>
          </w:p>
        </w:tc>
        <w:tc>
          <w:tcPr>
            <w:tcW w:w="1775" w:type="dxa"/>
            <w:vAlign w:val="bottom"/>
            <w:shd w:val="clear" w:color="auto" w:fill="F4F3F3"/>
          </w:tcPr>
          <w:p>
            <w:pPr>
              <w:jc w:val="right"/>
              <w:ind w:right="376"/>
              <w:spacing w:after="0"/>
              <w:rPr>
                <w:sz w:val="20"/>
                <w:szCs w:val="20"/>
                <w:color w:val="auto"/>
              </w:rPr>
            </w:pPr>
            <w:r>
              <w:rPr>
                <w:rFonts w:ascii="Arial" w:cs="Arial" w:eastAsia="Arial" w:hAnsi="Arial"/>
                <w:sz w:val="17"/>
                <w:szCs w:val="17"/>
                <w:color w:val="auto"/>
              </w:rPr>
              <w:t>n/a</w:t>
            </w:r>
          </w:p>
        </w:tc>
      </w:tr>
      <w:tr>
        <w:trPr>
          <w:trHeight w:val="216"/>
        </w:trPr>
        <w:tc>
          <w:tcPr>
            <w:tcW w:w="9225" w:type="dxa"/>
            <w:vAlign w:val="bottom"/>
            <w:shd w:val="clear" w:color="auto" w:fill="F4F3F3"/>
          </w:tcPr>
          <w:p>
            <w:pPr>
              <w:ind w:left="80"/>
              <w:spacing w:after="0"/>
              <w:rPr>
                <w:sz w:val="20"/>
                <w:szCs w:val="20"/>
                <w:color w:val="auto"/>
              </w:rPr>
            </w:pPr>
            <w:r>
              <w:rPr>
                <w:rFonts w:ascii="Arial" w:cs="Arial" w:eastAsia="Arial" w:hAnsi="Arial"/>
                <w:sz w:val="17"/>
                <w:szCs w:val="17"/>
                <w:color w:val="998C87"/>
              </w:rPr>
              <w:t>Arne M. Sorenson</w:t>
            </w:r>
          </w:p>
        </w:tc>
        <w:tc>
          <w:tcPr>
            <w:tcW w:w="1775" w:type="dxa"/>
            <w:vAlign w:val="bottom"/>
            <w:shd w:val="clear" w:color="auto" w:fill="F4F3F3"/>
          </w:tcPr>
          <w:p>
            <w:pPr>
              <w:jc w:val="right"/>
              <w:ind w:right="376"/>
              <w:spacing w:after="0"/>
              <w:rPr>
                <w:sz w:val="20"/>
                <w:szCs w:val="20"/>
                <w:color w:val="auto"/>
              </w:rPr>
            </w:pPr>
            <w:r>
              <w:rPr>
                <w:rFonts w:ascii="Arial" w:cs="Arial" w:eastAsia="Arial" w:hAnsi="Arial"/>
                <w:sz w:val="17"/>
                <w:szCs w:val="17"/>
                <w:color w:val="auto"/>
              </w:rPr>
              <w:t>150</w:t>
            </w:r>
          </w:p>
        </w:tc>
      </w:tr>
      <w:tr>
        <w:trPr>
          <w:trHeight w:val="216"/>
        </w:trPr>
        <w:tc>
          <w:tcPr>
            <w:tcW w:w="9225" w:type="dxa"/>
            <w:vAlign w:val="bottom"/>
            <w:shd w:val="clear" w:color="auto" w:fill="F4F3F3"/>
          </w:tcPr>
          <w:p>
            <w:pPr>
              <w:ind w:left="80"/>
              <w:spacing w:after="0"/>
              <w:rPr>
                <w:sz w:val="20"/>
                <w:szCs w:val="20"/>
                <w:color w:val="auto"/>
              </w:rPr>
            </w:pPr>
            <w:r>
              <w:rPr>
                <w:rFonts w:ascii="Arial" w:cs="Arial" w:eastAsia="Arial" w:hAnsi="Arial"/>
                <w:sz w:val="17"/>
                <w:szCs w:val="17"/>
                <w:color w:val="998C87"/>
              </w:rPr>
              <w:t>Anthony G. Capuano</w:t>
            </w:r>
          </w:p>
        </w:tc>
        <w:tc>
          <w:tcPr>
            <w:tcW w:w="1775" w:type="dxa"/>
            <w:vAlign w:val="bottom"/>
            <w:shd w:val="clear" w:color="auto" w:fill="F4F3F3"/>
          </w:tcPr>
          <w:p>
            <w:pPr>
              <w:jc w:val="right"/>
              <w:ind w:right="376"/>
              <w:spacing w:after="0"/>
              <w:rPr>
                <w:sz w:val="20"/>
                <w:szCs w:val="20"/>
                <w:color w:val="auto"/>
              </w:rPr>
            </w:pPr>
            <w:r>
              <w:rPr>
                <w:rFonts w:ascii="Arial" w:cs="Arial" w:eastAsia="Arial" w:hAnsi="Arial"/>
                <w:sz w:val="17"/>
                <w:szCs w:val="17"/>
                <w:color w:val="auto"/>
              </w:rPr>
              <w:t>75</w:t>
            </w:r>
          </w:p>
        </w:tc>
      </w:tr>
      <w:tr>
        <w:trPr>
          <w:trHeight w:val="216"/>
        </w:trPr>
        <w:tc>
          <w:tcPr>
            <w:tcW w:w="9225" w:type="dxa"/>
            <w:vAlign w:val="bottom"/>
            <w:shd w:val="clear" w:color="auto" w:fill="F4F3F3"/>
          </w:tcPr>
          <w:p>
            <w:pPr>
              <w:ind w:left="80"/>
              <w:spacing w:after="0"/>
              <w:rPr>
                <w:sz w:val="20"/>
                <w:szCs w:val="20"/>
                <w:color w:val="auto"/>
              </w:rPr>
            </w:pPr>
            <w:r>
              <w:rPr>
                <w:rFonts w:ascii="Arial" w:cs="Arial" w:eastAsia="Arial" w:hAnsi="Arial"/>
                <w:sz w:val="17"/>
                <w:szCs w:val="17"/>
                <w:color w:val="998C87"/>
              </w:rPr>
              <w:t>Stephanie C. Linnartz</w:t>
            </w:r>
          </w:p>
        </w:tc>
        <w:tc>
          <w:tcPr>
            <w:tcW w:w="1775" w:type="dxa"/>
            <w:vAlign w:val="bottom"/>
            <w:shd w:val="clear" w:color="auto" w:fill="F4F3F3"/>
          </w:tcPr>
          <w:p>
            <w:pPr>
              <w:jc w:val="right"/>
              <w:ind w:right="376"/>
              <w:spacing w:after="0"/>
              <w:rPr>
                <w:sz w:val="20"/>
                <w:szCs w:val="20"/>
                <w:color w:val="auto"/>
              </w:rPr>
            </w:pPr>
            <w:r>
              <w:rPr>
                <w:rFonts w:ascii="Arial" w:cs="Arial" w:eastAsia="Arial" w:hAnsi="Arial"/>
                <w:sz w:val="17"/>
                <w:szCs w:val="17"/>
                <w:color w:val="auto"/>
              </w:rPr>
              <w:t>75</w:t>
            </w:r>
          </w:p>
        </w:tc>
      </w:tr>
      <w:tr>
        <w:trPr>
          <w:trHeight w:val="201"/>
        </w:trPr>
        <w:tc>
          <w:tcPr>
            <w:tcW w:w="9225" w:type="dxa"/>
            <w:vAlign w:val="bottom"/>
            <w:shd w:val="clear" w:color="auto" w:fill="F4F3F3"/>
          </w:tcPr>
          <w:p>
            <w:pPr>
              <w:ind w:left="80"/>
              <w:spacing w:after="0"/>
              <w:rPr>
                <w:sz w:val="20"/>
                <w:szCs w:val="20"/>
                <w:color w:val="auto"/>
              </w:rPr>
            </w:pPr>
            <w:r>
              <w:rPr>
                <w:rFonts w:ascii="Arial" w:cs="Arial" w:eastAsia="Arial" w:hAnsi="Arial"/>
                <w:sz w:val="17"/>
                <w:szCs w:val="17"/>
                <w:color w:val="998C87"/>
              </w:rPr>
              <w:t>David J. Grissen</w:t>
            </w:r>
          </w:p>
        </w:tc>
        <w:tc>
          <w:tcPr>
            <w:tcW w:w="1775" w:type="dxa"/>
            <w:vAlign w:val="bottom"/>
            <w:shd w:val="clear" w:color="auto" w:fill="F4F3F3"/>
          </w:tcPr>
          <w:p>
            <w:pPr>
              <w:jc w:val="right"/>
              <w:ind w:right="376"/>
              <w:spacing w:after="0"/>
              <w:rPr>
                <w:sz w:val="20"/>
                <w:szCs w:val="20"/>
                <w:color w:val="auto"/>
              </w:rPr>
            </w:pPr>
            <w:r>
              <w:rPr>
                <w:rFonts w:ascii="Arial" w:cs="Arial" w:eastAsia="Arial" w:hAnsi="Arial"/>
                <w:sz w:val="17"/>
                <w:szCs w:val="17"/>
                <w:color w:val="auto"/>
              </w:rPr>
              <w:t>75</w:t>
            </w:r>
          </w:p>
        </w:tc>
      </w:tr>
      <w:tr>
        <w:trPr>
          <w:trHeight w:val="217"/>
        </w:trPr>
        <w:tc>
          <w:tcPr>
            <w:tcW w:w="9225" w:type="dxa"/>
            <w:vAlign w:val="bottom"/>
            <w:shd w:val="clear" w:color="auto" w:fill="F4F3F3"/>
          </w:tcPr>
          <w:p>
            <w:pPr>
              <w:ind w:left="80"/>
              <w:spacing w:after="0"/>
              <w:rPr>
                <w:sz w:val="20"/>
                <w:szCs w:val="20"/>
                <w:color w:val="auto"/>
              </w:rPr>
            </w:pPr>
            <w:r>
              <w:rPr>
                <w:rFonts w:ascii="Arial" w:cs="Arial" w:eastAsia="Arial" w:hAnsi="Arial"/>
                <w:sz w:val="17"/>
                <w:szCs w:val="17"/>
                <w:color w:val="998C87"/>
              </w:rPr>
              <w:t>Kathleen K. Oberg</w:t>
            </w:r>
          </w:p>
        </w:tc>
        <w:tc>
          <w:tcPr>
            <w:tcW w:w="1775" w:type="dxa"/>
            <w:vAlign w:val="bottom"/>
            <w:shd w:val="clear" w:color="auto" w:fill="F4F3F3"/>
          </w:tcPr>
          <w:p>
            <w:pPr>
              <w:jc w:val="right"/>
              <w:ind w:right="376"/>
              <w:spacing w:after="0"/>
              <w:rPr>
                <w:sz w:val="20"/>
                <w:szCs w:val="20"/>
                <w:color w:val="auto"/>
              </w:rPr>
            </w:pPr>
            <w:r>
              <w:rPr>
                <w:rFonts w:ascii="Arial" w:cs="Arial" w:eastAsia="Arial" w:hAnsi="Arial"/>
                <w:sz w:val="17"/>
                <w:szCs w:val="17"/>
                <w:color w:val="auto"/>
              </w:rPr>
              <w:t>75</w:t>
            </w:r>
          </w:p>
        </w:tc>
      </w:tr>
    </w:tbl>
    <w:p>
      <w:pPr>
        <w:spacing w:after="0" w:line="80" w:lineRule="exact"/>
        <w:rPr>
          <w:sz w:val="20"/>
          <w:szCs w:val="20"/>
          <w:color w:val="auto"/>
        </w:rPr>
      </w:pPr>
    </w:p>
    <w:p>
      <w:pPr>
        <w:ind w:left="220" w:right="180"/>
        <w:spacing w:after="0" w:line="242" w:lineRule="auto"/>
        <w:rPr>
          <w:sz w:val="20"/>
          <w:szCs w:val="20"/>
          <w:color w:val="auto"/>
        </w:rPr>
      </w:pPr>
      <w:r>
        <w:rPr>
          <w:rFonts w:ascii="Arial" w:cs="Arial" w:eastAsia="Arial" w:hAnsi="Arial"/>
          <w:sz w:val="17"/>
          <w:szCs w:val="17"/>
          <w:color w:val="auto"/>
        </w:rPr>
        <w:t>The annual cash incentive program performance factors are intended to establish high standards consistent with the Company’s quality goals, which are designed to be achievable, but not certain to be met. The Company believes that these factors are critical to achieving success within the hospitality and service industry. The weighting of each performance factor varies slightly among the NEOs by position due to differences in responsibility. The table below displays the respective weightings of the relevant performance measures and the aggregate actual performance for 2017 under the annual cash incentive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146050</wp:posOffset>
            </wp:positionV>
            <wp:extent cx="6989445" cy="13620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89445" cy="1362075"/>
                    </a:xfrm>
                    <a:prstGeom prst="rect">
                      <a:avLst/>
                    </a:prstGeom>
                    <a:noFill/>
                  </pic:spPr>
                </pic:pic>
              </a:graphicData>
            </a:graphic>
          </wp:anchor>
        </w:drawing>
      </w:r>
    </w:p>
    <w:p>
      <w:pPr>
        <w:spacing w:after="0" w:line="195"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460" w:type="dxa"/>
            <w:vAlign w:val="bottom"/>
            <w:shd w:val="clear" w:color="auto" w:fill="998C87"/>
          </w:tcPr>
          <w:p>
            <w:pPr>
              <w:spacing w:after="0"/>
              <w:rPr>
                <w:sz w:val="14"/>
                <w:szCs w:val="14"/>
                <w:color w:val="auto"/>
              </w:rPr>
            </w:pPr>
          </w:p>
        </w:tc>
        <w:tc>
          <w:tcPr>
            <w:tcW w:w="855" w:type="dxa"/>
            <w:vAlign w:val="bottom"/>
            <w:shd w:val="clear" w:color="auto" w:fill="998C87"/>
          </w:tcPr>
          <w:p>
            <w:pPr>
              <w:spacing w:after="0"/>
              <w:rPr>
                <w:sz w:val="14"/>
                <w:szCs w:val="14"/>
                <w:color w:val="auto"/>
              </w:rPr>
            </w:pPr>
          </w:p>
        </w:tc>
        <w:tc>
          <w:tcPr>
            <w:tcW w:w="925" w:type="dxa"/>
            <w:vAlign w:val="bottom"/>
            <w:shd w:val="clear" w:color="auto" w:fill="998C87"/>
          </w:tcPr>
          <w:p>
            <w:pPr>
              <w:spacing w:after="0"/>
              <w:rPr>
                <w:sz w:val="14"/>
                <w:szCs w:val="14"/>
                <w:color w:val="auto"/>
              </w:rPr>
            </w:pPr>
          </w:p>
        </w:tc>
        <w:tc>
          <w:tcPr>
            <w:tcW w:w="960" w:type="dxa"/>
            <w:vAlign w:val="bottom"/>
            <w:shd w:val="clear" w:color="auto" w:fill="998C87"/>
          </w:tcPr>
          <w:p>
            <w:pPr>
              <w:spacing w:after="0"/>
              <w:rPr>
                <w:sz w:val="14"/>
                <w:szCs w:val="14"/>
                <w:color w:val="auto"/>
              </w:rPr>
            </w:pPr>
          </w:p>
        </w:tc>
        <w:tc>
          <w:tcPr>
            <w:tcW w:w="820" w:type="dxa"/>
            <w:vAlign w:val="bottom"/>
            <w:shd w:val="clear" w:color="auto" w:fill="998C87"/>
          </w:tcPr>
          <w:p>
            <w:pPr>
              <w:spacing w:after="0"/>
              <w:rPr>
                <w:sz w:val="14"/>
                <w:szCs w:val="14"/>
                <w:color w:val="auto"/>
              </w:rPr>
            </w:pPr>
          </w:p>
        </w:tc>
        <w:tc>
          <w:tcPr>
            <w:tcW w:w="1320" w:type="dxa"/>
            <w:vAlign w:val="bottom"/>
            <w:shd w:val="clear" w:color="auto" w:fill="998C87"/>
          </w:tcPr>
          <w:p>
            <w:pPr>
              <w:spacing w:after="0"/>
              <w:rPr>
                <w:sz w:val="14"/>
                <w:szCs w:val="14"/>
                <w:color w:val="auto"/>
              </w:rPr>
            </w:pPr>
          </w:p>
        </w:tc>
        <w:tc>
          <w:tcPr>
            <w:tcW w:w="820" w:type="dxa"/>
            <w:vAlign w:val="bottom"/>
            <w:shd w:val="clear" w:color="auto" w:fill="998C87"/>
          </w:tcPr>
          <w:p>
            <w:pPr>
              <w:spacing w:after="0"/>
              <w:rPr>
                <w:sz w:val="14"/>
                <w:szCs w:val="14"/>
                <w:color w:val="auto"/>
              </w:rPr>
            </w:pPr>
          </w:p>
        </w:tc>
        <w:tc>
          <w:tcPr>
            <w:tcW w:w="1360" w:type="dxa"/>
            <w:vAlign w:val="bottom"/>
            <w:shd w:val="clear" w:color="auto" w:fill="998C87"/>
          </w:tcPr>
          <w:p>
            <w:pPr>
              <w:spacing w:after="0"/>
              <w:rPr>
                <w:sz w:val="14"/>
                <w:szCs w:val="14"/>
                <w:color w:val="auto"/>
              </w:rPr>
            </w:pPr>
          </w:p>
        </w:tc>
        <w:tc>
          <w:tcPr>
            <w:tcW w:w="600" w:type="dxa"/>
            <w:vAlign w:val="bottom"/>
            <w:shd w:val="clear" w:color="auto" w:fill="998C87"/>
          </w:tcPr>
          <w:p>
            <w:pPr>
              <w:spacing w:after="0"/>
              <w:rPr>
                <w:sz w:val="14"/>
                <w:szCs w:val="14"/>
                <w:color w:val="auto"/>
              </w:rPr>
            </w:pPr>
          </w:p>
        </w:tc>
        <w:tc>
          <w:tcPr>
            <w:tcW w:w="880" w:type="dxa"/>
            <w:vAlign w:val="bottom"/>
            <w:shd w:val="clear" w:color="auto" w:fill="998C87"/>
          </w:tcPr>
          <w:p>
            <w:pPr>
              <w:ind w:left="220"/>
              <w:spacing w:after="0"/>
              <w:rPr>
                <w:sz w:val="20"/>
                <w:szCs w:val="20"/>
                <w:color w:val="auto"/>
              </w:rPr>
            </w:pPr>
            <w:r>
              <w:rPr>
                <w:rFonts w:ascii="Arial" w:cs="Arial" w:eastAsia="Arial" w:hAnsi="Arial"/>
                <w:sz w:val="14"/>
                <w:szCs w:val="14"/>
                <w:b w:val="1"/>
                <w:bCs w:val="1"/>
                <w:color w:val="FFFFFF"/>
              </w:rPr>
              <w:t>Actual</w:t>
            </w:r>
          </w:p>
        </w:tc>
      </w:tr>
      <w:tr>
        <w:trPr>
          <w:trHeight w:val="162"/>
        </w:trPr>
        <w:tc>
          <w:tcPr>
            <w:tcW w:w="2460" w:type="dxa"/>
            <w:vAlign w:val="bottom"/>
            <w:shd w:val="clear" w:color="auto" w:fill="998C87"/>
          </w:tcPr>
          <w:p>
            <w:pPr>
              <w:spacing w:after="0"/>
              <w:rPr>
                <w:sz w:val="14"/>
                <w:szCs w:val="14"/>
                <w:color w:val="auto"/>
              </w:rPr>
            </w:pPr>
          </w:p>
        </w:tc>
        <w:tc>
          <w:tcPr>
            <w:tcW w:w="855" w:type="dxa"/>
            <w:vAlign w:val="bottom"/>
            <w:shd w:val="clear" w:color="auto" w:fill="998C87"/>
          </w:tcPr>
          <w:p>
            <w:pPr>
              <w:spacing w:after="0"/>
              <w:rPr>
                <w:sz w:val="14"/>
                <w:szCs w:val="14"/>
                <w:color w:val="auto"/>
              </w:rPr>
            </w:pPr>
          </w:p>
        </w:tc>
        <w:tc>
          <w:tcPr>
            <w:tcW w:w="925" w:type="dxa"/>
            <w:vAlign w:val="bottom"/>
            <w:shd w:val="clear" w:color="auto" w:fill="998C87"/>
          </w:tcPr>
          <w:p>
            <w:pPr>
              <w:spacing w:after="0"/>
              <w:rPr>
                <w:sz w:val="14"/>
                <w:szCs w:val="14"/>
                <w:color w:val="auto"/>
              </w:rPr>
            </w:pPr>
          </w:p>
        </w:tc>
        <w:tc>
          <w:tcPr>
            <w:tcW w:w="960" w:type="dxa"/>
            <w:vAlign w:val="bottom"/>
            <w:shd w:val="clear" w:color="auto" w:fill="998C87"/>
          </w:tcPr>
          <w:p>
            <w:pPr>
              <w:spacing w:after="0"/>
              <w:rPr>
                <w:sz w:val="14"/>
                <w:szCs w:val="14"/>
                <w:color w:val="auto"/>
              </w:rPr>
            </w:pPr>
          </w:p>
        </w:tc>
        <w:tc>
          <w:tcPr>
            <w:tcW w:w="820" w:type="dxa"/>
            <w:vAlign w:val="bottom"/>
            <w:shd w:val="clear" w:color="auto" w:fill="998C87"/>
          </w:tcPr>
          <w:p>
            <w:pPr>
              <w:spacing w:after="0"/>
              <w:rPr>
                <w:sz w:val="14"/>
                <w:szCs w:val="14"/>
                <w:color w:val="auto"/>
              </w:rPr>
            </w:pPr>
          </w:p>
        </w:tc>
        <w:tc>
          <w:tcPr>
            <w:tcW w:w="1320" w:type="dxa"/>
            <w:vAlign w:val="bottom"/>
            <w:shd w:val="clear" w:color="auto" w:fill="998C87"/>
          </w:tcPr>
          <w:p>
            <w:pPr>
              <w:spacing w:after="0"/>
              <w:rPr>
                <w:sz w:val="14"/>
                <w:szCs w:val="14"/>
                <w:color w:val="auto"/>
              </w:rPr>
            </w:pPr>
          </w:p>
        </w:tc>
        <w:tc>
          <w:tcPr>
            <w:tcW w:w="820" w:type="dxa"/>
            <w:vAlign w:val="bottom"/>
            <w:shd w:val="clear" w:color="auto" w:fill="998C87"/>
          </w:tcPr>
          <w:p>
            <w:pPr>
              <w:spacing w:after="0"/>
              <w:rPr>
                <w:sz w:val="14"/>
                <w:szCs w:val="14"/>
                <w:color w:val="auto"/>
              </w:rPr>
            </w:pPr>
          </w:p>
        </w:tc>
        <w:tc>
          <w:tcPr>
            <w:tcW w:w="1360" w:type="dxa"/>
            <w:vAlign w:val="bottom"/>
            <w:shd w:val="clear" w:color="auto" w:fill="998C87"/>
          </w:tcPr>
          <w:p>
            <w:pPr>
              <w:spacing w:after="0"/>
              <w:rPr>
                <w:sz w:val="14"/>
                <w:szCs w:val="14"/>
                <w:color w:val="auto"/>
              </w:rPr>
            </w:pPr>
          </w:p>
        </w:tc>
        <w:tc>
          <w:tcPr>
            <w:tcW w:w="600" w:type="dxa"/>
            <w:vAlign w:val="bottom"/>
            <w:shd w:val="clear" w:color="auto" w:fill="998C87"/>
          </w:tcPr>
          <w:p>
            <w:pPr>
              <w:spacing w:after="0"/>
              <w:rPr>
                <w:sz w:val="14"/>
                <w:szCs w:val="14"/>
                <w:color w:val="auto"/>
              </w:rPr>
            </w:pPr>
          </w:p>
        </w:tc>
        <w:tc>
          <w:tcPr>
            <w:tcW w:w="880" w:type="dxa"/>
            <w:vAlign w:val="bottom"/>
            <w:shd w:val="clear" w:color="auto" w:fill="998C87"/>
          </w:tcPr>
          <w:p>
            <w:pPr>
              <w:ind w:left="200"/>
              <w:spacing w:after="0"/>
              <w:rPr>
                <w:sz w:val="20"/>
                <w:szCs w:val="20"/>
                <w:color w:val="auto"/>
              </w:rPr>
            </w:pPr>
            <w:r>
              <w:rPr>
                <w:rFonts w:ascii="Arial" w:cs="Arial" w:eastAsia="Arial" w:hAnsi="Arial"/>
                <w:sz w:val="14"/>
                <w:szCs w:val="14"/>
                <w:b w:val="1"/>
                <w:bCs w:val="1"/>
                <w:color w:val="FFFFFF"/>
              </w:rPr>
              <w:t>Payout</w:t>
            </w:r>
          </w:p>
        </w:tc>
      </w:tr>
      <w:tr>
        <w:trPr>
          <w:trHeight w:val="162"/>
        </w:trPr>
        <w:tc>
          <w:tcPr>
            <w:tcW w:w="2460" w:type="dxa"/>
            <w:vAlign w:val="bottom"/>
            <w:shd w:val="clear" w:color="auto" w:fill="998C87"/>
          </w:tcPr>
          <w:p>
            <w:pPr>
              <w:spacing w:after="0"/>
              <w:rPr>
                <w:sz w:val="14"/>
                <w:szCs w:val="14"/>
                <w:color w:val="auto"/>
              </w:rPr>
            </w:pPr>
          </w:p>
        </w:tc>
        <w:tc>
          <w:tcPr>
            <w:tcW w:w="855" w:type="dxa"/>
            <w:vAlign w:val="bottom"/>
            <w:shd w:val="clear" w:color="auto" w:fill="998C87"/>
          </w:tcPr>
          <w:p>
            <w:pPr>
              <w:spacing w:after="0"/>
              <w:rPr>
                <w:sz w:val="14"/>
                <w:szCs w:val="14"/>
                <w:color w:val="auto"/>
              </w:rPr>
            </w:pPr>
          </w:p>
        </w:tc>
        <w:tc>
          <w:tcPr>
            <w:tcW w:w="925"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Adjusted</w:t>
            </w:r>
          </w:p>
        </w:tc>
        <w:tc>
          <w:tcPr>
            <w:tcW w:w="960" w:type="dxa"/>
            <w:vAlign w:val="bottom"/>
            <w:shd w:val="clear" w:color="auto" w:fill="998C87"/>
          </w:tcPr>
          <w:p>
            <w:pPr>
              <w:spacing w:after="0"/>
              <w:rPr>
                <w:sz w:val="14"/>
                <w:szCs w:val="14"/>
                <w:color w:val="auto"/>
              </w:rPr>
            </w:pPr>
          </w:p>
        </w:tc>
        <w:tc>
          <w:tcPr>
            <w:tcW w:w="820" w:type="dxa"/>
            <w:vAlign w:val="bottom"/>
            <w:shd w:val="clear" w:color="auto" w:fill="998C87"/>
          </w:tcPr>
          <w:p>
            <w:pPr>
              <w:spacing w:after="0"/>
              <w:rPr>
                <w:sz w:val="14"/>
                <w:szCs w:val="14"/>
                <w:color w:val="auto"/>
              </w:rPr>
            </w:pPr>
          </w:p>
        </w:tc>
        <w:tc>
          <w:tcPr>
            <w:tcW w:w="1320" w:type="dxa"/>
            <w:vAlign w:val="bottom"/>
            <w:shd w:val="clear" w:color="auto" w:fill="998C87"/>
          </w:tcPr>
          <w:p>
            <w:pPr>
              <w:spacing w:after="0"/>
              <w:rPr>
                <w:sz w:val="14"/>
                <w:szCs w:val="14"/>
                <w:color w:val="auto"/>
              </w:rPr>
            </w:pPr>
          </w:p>
        </w:tc>
        <w:tc>
          <w:tcPr>
            <w:tcW w:w="820" w:type="dxa"/>
            <w:vAlign w:val="bottom"/>
            <w:shd w:val="clear" w:color="auto" w:fill="998C87"/>
          </w:tcPr>
          <w:p>
            <w:pPr>
              <w:spacing w:after="0"/>
              <w:rPr>
                <w:sz w:val="14"/>
                <w:szCs w:val="14"/>
                <w:color w:val="auto"/>
              </w:rPr>
            </w:pPr>
          </w:p>
        </w:tc>
        <w:tc>
          <w:tcPr>
            <w:tcW w:w="1360" w:type="dxa"/>
            <w:vAlign w:val="bottom"/>
            <w:shd w:val="clear" w:color="auto" w:fill="998C87"/>
          </w:tcPr>
          <w:p>
            <w:pPr>
              <w:spacing w:after="0"/>
              <w:rPr>
                <w:sz w:val="14"/>
                <w:szCs w:val="14"/>
                <w:color w:val="auto"/>
              </w:rPr>
            </w:pPr>
          </w:p>
        </w:tc>
        <w:tc>
          <w:tcPr>
            <w:tcW w:w="600" w:type="dxa"/>
            <w:vAlign w:val="bottom"/>
            <w:shd w:val="clear" w:color="auto" w:fill="998C87"/>
          </w:tcPr>
          <w:p>
            <w:pPr>
              <w:spacing w:after="0"/>
              <w:rPr>
                <w:sz w:val="14"/>
                <w:szCs w:val="14"/>
                <w:color w:val="auto"/>
              </w:rPr>
            </w:pPr>
          </w:p>
        </w:tc>
        <w:tc>
          <w:tcPr>
            <w:tcW w:w="88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as a</w:t>
            </w:r>
          </w:p>
        </w:tc>
      </w:tr>
      <w:tr>
        <w:trPr>
          <w:trHeight w:val="162"/>
        </w:trPr>
        <w:tc>
          <w:tcPr>
            <w:tcW w:w="2460" w:type="dxa"/>
            <w:vAlign w:val="bottom"/>
            <w:shd w:val="clear" w:color="auto" w:fill="998C87"/>
          </w:tcPr>
          <w:p>
            <w:pPr>
              <w:spacing w:after="0"/>
              <w:rPr>
                <w:sz w:val="14"/>
                <w:szCs w:val="14"/>
                <w:color w:val="auto"/>
              </w:rPr>
            </w:pPr>
          </w:p>
        </w:tc>
        <w:tc>
          <w:tcPr>
            <w:tcW w:w="855" w:type="dxa"/>
            <w:vAlign w:val="bottom"/>
            <w:shd w:val="clear" w:color="auto" w:fill="998C87"/>
          </w:tcPr>
          <w:p>
            <w:pPr>
              <w:spacing w:after="0"/>
              <w:rPr>
                <w:sz w:val="14"/>
                <w:szCs w:val="14"/>
                <w:color w:val="auto"/>
              </w:rPr>
            </w:pPr>
          </w:p>
        </w:tc>
        <w:tc>
          <w:tcPr>
            <w:tcW w:w="925"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Operating</w:t>
            </w:r>
          </w:p>
        </w:tc>
        <w:tc>
          <w:tcPr>
            <w:tcW w:w="960" w:type="dxa"/>
            <w:vAlign w:val="bottom"/>
            <w:shd w:val="clear" w:color="auto" w:fill="998C87"/>
          </w:tcPr>
          <w:p>
            <w:pPr>
              <w:spacing w:after="0"/>
              <w:rPr>
                <w:sz w:val="14"/>
                <w:szCs w:val="14"/>
                <w:color w:val="auto"/>
              </w:rPr>
            </w:pPr>
          </w:p>
        </w:tc>
        <w:tc>
          <w:tcPr>
            <w:tcW w:w="820" w:type="dxa"/>
            <w:vAlign w:val="bottom"/>
            <w:shd w:val="clear" w:color="auto" w:fill="998C87"/>
          </w:tcPr>
          <w:p>
            <w:pPr>
              <w:spacing w:after="0"/>
              <w:rPr>
                <w:sz w:val="14"/>
                <w:szCs w:val="14"/>
                <w:color w:val="auto"/>
              </w:rPr>
            </w:pPr>
          </w:p>
        </w:tc>
        <w:tc>
          <w:tcPr>
            <w:tcW w:w="1320" w:type="dxa"/>
            <w:vAlign w:val="bottom"/>
            <w:shd w:val="clear" w:color="auto" w:fill="998C87"/>
          </w:tcPr>
          <w:p>
            <w:pPr>
              <w:spacing w:after="0"/>
              <w:rPr>
                <w:sz w:val="14"/>
                <w:szCs w:val="14"/>
                <w:color w:val="auto"/>
              </w:rPr>
            </w:pPr>
          </w:p>
        </w:tc>
        <w:tc>
          <w:tcPr>
            <w:tcW w:w="820" w:type="dxa"/>
            <w:vAlign w:val="bottom"/>
            <w:shd w:val="clear" w:color="auto" w:fill="998C87"/>
          </w:tcPr>
          <w:p>
            <w:pPr>
              <w:spacing w:after="0"/>
              <w:rPr>
                <w:sz w:val="14"/>
                <w:szCs w:val="14"/>
                <w:color w:val="auto"/>
              </w:rPr>
            </w:pPr>
          </w:p>
        </w:tc>
        <w:tc>
          <w:tcPr>
            <w:tcW w:w="1360" w:type="dxa"/>
            <w:vAlign w:val="bottom"/>
            <w:shd w:val="clear" w:color="auto" w:fill="998C87"/>
          </w:tcPr>
          <w:p>
            <w:pPr>
              <w:spacing w:after="0"/>
              <w:rPr>
                <w:sz w:val="14"/>
                <w:szCs w:val="14"/>
                <w:color w:val="auto"/>
              </w:rPr>
            </w:pPr>
          </w:p>
        </w:tc>
        <w:tc>
          <w:tcPr>
            <w:tcW w:w="600" w:type="dxa"/>
            <w:vAlign w:val="bottom"/>
            <w:shd w:val="clear" w:color="auto" w:fill="998C87"/>
          </w:tcPr>
          <w:p>
            <w:pPr>
              <w:spacing w:after="0"/>
              <w:rPr>
                <w:sz w:val="14"/>
                <w:szCs w:val="14"/>
                <w:color w:val="auto"/>
              </w:rPr>
            </w:pPr>
          </w:p>
        </w:tc>
        <w:tc>
          <w:tcPr>
            <w:tcW w:w="88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Percent</w:t>
            </w:r>
          </w:p>
        </w:tc>
      </w:tr>
      <w:tr>
        <w:trPr>
          <w:trHeight w:val="162"/>
        </w:trPr>
        <w:tc>
          <w:tcPr>
            <w:tcW w:w="2460" w:type="dxa"/>
            <w:vAlign w:val="bottom"/>
            <w:shd w:val="clear" w:color="auto" w:fill="998C87"/>
          </w:tcPr>
          <w:p>
            <w:pPr>
              <w:spacing w:after="0"/>
              <w:rPr>
                <w:sz w:val="14"/>
                <w:szCs w:val="14"/>
                <w:color w:val="auto"/>
              </w:rPr>
            </w:pPr>
          </w:p>
        </w:tc>
        <w:tc>
          <w:tcPr>
            <w:tcW w:w="855" w:type="dxa"/>
            <w:vAlign w:val="bottom"/>
            <w:shd w:val="clear" w:color="auto" w:fill="998C87"/>
          </w:tcPr>
          <w:p>
            <w:pPr>
              <w:jc w:val="right"/>
              <w:ind w:right="103"/>
              <w:spacing w:after="0"/>
              <w:rPr>
                <w:sz w:val="20"/>
                <w:szCs w:val="20"/>
                <w:color w:val="auto"/>
              </w:rPr>
            </w:pPr>
            <w:r>
              <w:rPr>
                <w:rFonts w:ascii="Arial" w:cs="Arial" w:eastAsia="Arial" w:hAnsi="Arial"/>
                <w:sz w:val="14"/>
                <w:szCs w:val="14"/>
                <w:b w:val="1"/>
                <w:bCs w:val="1"/>
                <w:color w:val="FFFFFF"/>
              </w:rPr>
              <w:t>Adjusted</w:t>
            </w:r>
          </w:p>
        </w:tc>
        <w:tc>
          <w:tcPr>
            <w:tcW w:w="925"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Profit -</w:t>
            </w:r>
          </w:p>
        </w:tc>
        <w:tc>
          <w:tcPr>
            <w:tcW w:w="960" w:type="dxa"/>
            <w:vAlign w:val="bottom"/>
            <w:shd w:val="clear" w:color="auto" w:fill="998C87"/>
          </w:tcPr>
          <w:p>
            <w:pPr>
              <w:jc w:val="right"/>
              <w:ind w:right="208"/>
              <w:spacing w:after="0"/>
              <w:rPr>
                <w:sz w:val="20"/>
                <w:szCs w:val="20"/>
                <w:color w:val="auto"/>
              </w:rPr>
            </w:pPr>
            <w:r>
              <w:rPr>
                <w:rFonts w:ascii="Arial" w:cs="Arial" w:eastAsia="Arial" w:hAnsi="Arial"/>
                <w:sz w:val="14"/>
                <w:szCs w:val="14"/>
                <w:b w:val="1"/>
                <w:bCs w:val="1"/>
                <w:color w:val="FFFFFF"/>
              </w:rPr>
              <w:t>Room</w:t>
            </w:r>
          </w:p>
        </w:tc>
        <w:tc>
          <w:tcPr>
            <w:tcW w:w="82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Global</w:t>
            </w:r>
          </w:p>
        </w:tc>
        <w:tc>
          <w:tcPr>
            <w:tcW w:w="1320" w:type="dxa"/>
            <w:vAlign w:val="bottom"/>
            <w:shd w:val="clear" w:color="auto" w:fill="998C87"/>
          </w:tcPr>
          <w:p>
            <w:pPr>
              <w:jc w:val="right"/>
              <w:ind w:right="248"/>
              <w:spacing w:after="0"/>
              <w:rPr>
                <w:sz w:val="20"/>
                <w:szCs w:val="20"/>
                <w:color w:val="auto"/>
              </w:rPr>
            </w:pPr>
            <w:r>
              <w:rPr>
                <w:rFonts w:ascii="Arial" w:cs="Arial" w:eastAsia="Arial" w:hAnsi="Arial"/>
                <w:sz w:val="14"/>
                <w:szCs w:val="14"/>
                <w:b w:val="1"/>
                <w:bCs w:val="1"/>
                <w:color w:val="FFFFFF"/>
              </w:rPr>
              <w:t>Associate</w:t>
            </w:r>
          </w:p>
        </w:tc>
        <w:tc>
          <w:tcPr>
            <w:tcW w:w="820" w:type="dxa"/>
            <w:vAlign w:val="bottom"/>
            <w:shd w:val="clear" w:color="auto" w:fill="998C87"/>
          </w:tcPr>
          <w:p>
            <w:pPr>
              <w:jc w:val="right"/>
              <w:ind w:right="68"/>
              <w:spacing w:after="0"/>
              <w:rPr>
                <w:sz w:val="20"/>
                <w:szCs w:val="20"/>
                <w:color w:val="auto"/>
              </w:rPr>
            </w:pPr>
            <w:r>
              <w:rPr>
                <w:rFonts w:ascii="Arial" w:cs="Arial" w:eastAsia="Arial" w:hAnsi="Arial"/>
                <w:sz w:val="14"/>
                <w:szCs w:val="14"/>
                <w:b w:val="1"/>
                <w:bCs w:val="1"/>
                <w:color w:val="FFFFFF"/>
              </w:rPr>
              <w:t>RevPAR</w:t>
            </w:r>
          </w:p>
        </w:tc>
        <w:tc>
          <w:tcPr>
            <w:tcW w:w="1360" w:type="dxa"/>
            <w:vAlign w:val="bottom"/>
            <w:shd w:val="clear" w:color="auto" w:fill="998C87"/>
          </w:tcPr>
          <w:p>
            <w:pPr>
              <w:jc w:val="right"/>
              <w:ind w:right="268"/>
              <w:spacing w:after="0"/>
              <w:rPr>
                <w:sz w:val="20"/>
                <w:szCs w:val="20"/>
                <w:color w:val="auto"/>
              </w:rPr>
            </w:pPr>
            <w:r>
              <w:rPr>
                <w:rFonts w:ascii="Arial" w:cs="Arial" w:eastAsia="Arial" w:hAnsi="Arial"/>
                <w:sz w:val="14"/>
                <w:szCs w:val="14"/>
                <w:b w:val="1"/>
                <w:bCs w:val="1"/>
                <w:color w:val="FFFFFF"/>
              </w:rPr>
              <w:t>Individual</w:t>
            </w:r>
          </w:p>
        </w:tc>
        <w:tc>
          <w:tcPr>
            <w:tcW w:w="600" w:type="dxa"/>
            <w:vAlign w:val="bottom"/>
            <w:shd w:val="clear" w:color="auto" w:fill="998C87"/>
          </w:tcPr>
          <w:p>
            <w:pPr>
              <w:spacing w:after="0"/>
              <w:rPr>
                <w:sz w:val="14"/>
                <w:szCs w:val="14"/>
                <w:color w:val="auto"/>
              </w:rPr>
            </w:pPr>
          </w:p>
        </w:tc>
        <w:tc>
          <w:tcPr>
            <w:tcW w:w="88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w w:val="90"/>
              </w:rPr>
              <w:t>of</w:t>
            </w:r>
          </w:p>
        </w:tc>
      </w:tr>
      <w:tr>
        <w:trPr>
          <w:trHeight w:val="177"/>
        </w:trPr>
        <w:tc>
          <w:tcPr>
            <w:tcW w:w="2460" w:type="dxa"/>
            <w:vAlign w:val="bottom"/>
            <w:shd w:val="clear" w:color="auto" w:fill="998C87"/>
          </w:tcPr>
          <w:p>
            <w:pPr>
              <w:ind w:left="80"/>
              <w:spacing w:after="0"/>
              <w:rPr>
                <w:sz w:val="20"/>
                <w:szCs w:val="20"/>
                <w:color w:val="auto"/>
              </w:rPr>
            </w:pPr>
            <w:r>
              <w:rPr>
                <w:rFonts w:ascii="Arial" w:cs="Arial" w:eastAsia="Arial" w:hAnsi="Arial"/>
                <w:sz w:val="14"/>
                <w:szCs w:val="14"/>
                <w:b w:val="1"/>
                <w:bCs w:val="1"/>
                <w:color w:val="FFFFFF"/>
              </w:rPr>
              <w:t>Name</w:t>
            </w:r>
          </w:p>
        </w:tc>
        <w:tc>
          <w:tcPr>
            <w:tcW w:w="855" w:type="dxa"/>
            <w:vAlign w:val="bottom"/>
            <w:shd w:val="clear" w:color="auto" w:fill="998C87"/>
          </w:tcPr>
          <w:p>
            <w:pPr>
              <w:jc w:val="right"/>
              <w:ind w:right="263"/>
              <w:spacing w:after="0"/>
              <w:rPr>
                <w:sz w:val="20"/>
                <w:szCs w:val="20"/>
                <w:color w:val="auto"/>
              </w:rPr>
            </w:pPr>
            <w:r>
              <w:rPr>
                <w:rFonts w:ascii="Arial" w:cs="Arial" w:eastAsia="Arial" w:hAnsi="Arial"/>
                <w:sz w:val="14"/>
                <w:szCs w:val="14"/>
                <w:b w:val="1"/>
                <w:bCs w:val="1"/>
                <w:color w:val="FFFFFF"/>
              </w:rPr>
              <w:t>EPS</w:t>
            </w:r>
          </w:p>
        </w:tc>
        <w:tc>
          <w:tcPr>
            <w:tcW w:w="925"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Americas</w:t>
            </w:r>
          </w:p>
        </w:tc>
        <w:tc>
          <w:tcPr>
            <w:tcW w:w="960" w:type="dxa"/>
            <w:vAlign w:val="bottom"/>
            <w:shd w:val="clear" w:color="auto" w:fill="998C87"/>
          </w:tcPr>
          <w:p>
            <w:pPr>
              <w:jc w:val="right"/>
              <w:ind w:right="68"/>
              <w:spacing w:after="0"/>
              <w:rPr>
                <w:sz w:val="20"/>
                <w:szCs w:val="20"/>
                <w:color w:val="auto"/>
              </w:rPr>
            </w:pPr>
            <w:r>
              <w:rPr>
                <w:rFonts w:ascii="Arial" w:cs="Arial" w:eastAsia="Arial" w:hAnsi="Arial"/>
                <w:sz w:val="14"/>
                <w:szCs w:val="14"/>
                <w:b w:val="1"/>
                <w:bCs w:val="1"/>
                <w:color w:val="FFFFFF"/>
              </w:rPr>
              <w:t>Growth(1)</w:t>
            </w:r>
          </w:p>
        </w:tc>
        <w:tc>
          <w:tcPr>
            <w:tcW w:w="82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Sales(1)</w:t>
            </w:r>
          </w:p>
        </w:tc>
        <w:tc>
          <w:tcPr>
            <w:tcW w:w="1320" w:type="dxa"/>
            <w:vAlign w:val="bottom"/>
            <w:shd w:val="clear" w:color="auto" w:fill="998C87"/>
          </w:tcPr>
          <w:p>
            <w:pPr>
              <w:jc w:val="right"/>
              <w:ind w:right="68"/>
              <w:spacing w:after="0"/>
              <w:rPr>
                <w:sz w:val="20"/>
                <w:szCs w:val="20"/>
                <w:color w:val="auto"/>
              </w:rPr>
            </w:pPr>
            <w:r>
              <w:rPr>
                <w:rFonts w:ascii="Arial" w:cs="Arial" w:eastAsia="Arial" w:hAnsi="Arial"/>
                <w:sz w:val="14"/>
                <w:szCs w:val="14"/>
                <w:b w:val="1"/>
                <w:bCs w:val="1"/>
                <w:color w:val="FFFFFF"/>
              </w:rPr>
              <w:t>Engagement(1)</w:t>
            </w:r>
          </w:p>
        </w:tc>
        <w:tc>
          <w:tcPr>
            <w:tcW w:w="820" w:type="dxa"/>
            <w:vAlign w:val="bottom"/>
            <w:shd w:val="clear" w:color="auto" w:fill="998C87"/>
          </w:tcPr>
          <w:p>
            <w:pPr>
              <w:jc w:val="right"/>
              <w:ind w:right="68"/>
              <w:spacing w:after="0"/>
              <w:rPr>
                <w:sz w:val="20"/>
                <w:szCs w:val="20"/>
                <w:color w:val="auto"/>
              </w:rPr>
            </w:pPr>
            <w:r>
              <w:rPr>
                <w:rFonts w:ascii="Arial" w:cs="Arial" w:eastAsia="Arial" w:hAnsi="Arial"/>
                <w:sz w:val="14"/>
                <w:szCs w:val="14"/>
                <w:b w:val="1"/>
                <w:bCs w:val="1"/>
                <w:color w:val="FFFFFF"/>
              </w:rPr>
              <w:t>Index(1)</w:t>
            </w:r>
          </w:p>
        </w:tc>
        <w:tc>
          <w:tcPr>
            <w:tcW w:w="1360" w:type="dxa"/>
            <w:vAlign w:val="bottom"/>
            <w:shd w:val="clear" w:color="auto" w:fill="998C87"/>
          </w:tcPr>
          <w:p>
            <w:pPr>
              <w:jc w:val="right"/>
              <w:ind w:right="68"/>
              <w:spacing w:after="0"/>
              <w:rPr>
                <w:sz w:val="20"/>
                <w:szCs w:val="20"/>
                <w:color w:val="auto"/>
              </w:rPr>
            </w:pPr>
            <w:r>
              <w:rPr>
                <w:rFonts w:ascii="Arial" w:cs="Arial" w:eastAsia="Arial" w:hAnsi="Arial"/>
                <w:sz w:val="14"/>
                <w:szCs w:val="14"/>
                <w:b w:val="1"/>
                <w:bCs w:val="1"/>
                <w:color w:val="FFFFFF"/>
              </w:rPr>
              <w:t>Achievement(2)</w:t>
            </w:r>
          </w:p>
        </w:tc>
        <w:tc>
          <w:tcPr>
            <w:tcW w:w="600" w:type="dxa"/>
            <w:vAlign w:val="bottom"/>
            <w:shd w:val="clear" w:color="auto" w:fill="998C87"/>
          </w:tcPr>
          <w:p>
            <w:pPr>
              <w:jc w:val="right"/>
              <w:ind w:right="68"/>
              <w:spacing w:after="0"/>
              <w:rPr>
                <w:sz w:val="20"/>
                <w:szCs w:val="20"/>
                <w:color w:val="auto"/>
              </w:rPr>
            </w:pPr>
            <w:r>
              <w:rPr>
                <w:rFonts w:ascii="Arial" w:cs="Arial" w:eastAsia="Arial" w:hAnsi="Arial"/>
                <w:sz w:val="14"/>
                <w:szCs w:val="14"/>
                <w:b w:val="1"/>
                <w:bCs w:val="1"/>
                <w:color w:val="FFFFFF"/>
              </w:rPr>
              <w:t>Total</w:t>
            </w:r>
          </w:p>
        </w:tc>
        <w:tc>
          <w:tcPr>
            <w:tcW w:w="88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Target(3)</w:t>
            </w:r>
          </w:p>
        </w:tc>
      </w:tr>
      <w:tr>
        <w:trPr>
          <w:trHeight w:val="243"/>
        </w:trPr>
        <w:tc>
          <w:tcPr>
            <w:tcW w:w="2460" w:type="dxa"/>
            <w:vAlign w:val="bottom"/>
            <w:shd w:val="clear" w:color="auto" w:fill="F4F3F3"/>
          </w:tcPr>
          <w:p>
            <w:pPr>
              <w:ind w:left="80"/>
              <w:spacing w:after="0"/>
              <w:rPr>
                <w:sz w:val="20"/>
                <w:szCs w:val="20"/>
                <w:color w:val="auto"/>
              </w:rPr>
            </w:pPr>
            <w:r>
              <w:rPr>
                <w:rFonts w:ascii="Arial" w:cs="Arial" w:eastAsia="Arial" w:hAnsi="Arial"/>
                <w:sz w:val="14"/>
                <w:szCs w:val="14"/>
                <w:color w:val="998C87"/>
              </w:rPr>
              <w:t>J.W. Marriott, Jr.</w:t>
            </w:r>
          </w:p>
        </w:tc>
        <w:tc>
          <w:tcPr>
            <w:tcW w:w="855" w:type="dxa"/>
            <w:vAlign w:val="bottom"/>
            <w:shd w:val="clear" w:color="auto" w:fill="F4F3F3"/>
          </w:tcPr>
          <w:p>
            <w:pPr>
              <w:jc w:val="right"/>
              <w:ind w:right="303"/>
              <w:spacing w:after="0"/>
              <w:rPr>
                <w:sz w:val="20"/>
                <w:szCs w:val="20"/>
                <w:color w:val="auto"/>
              </w:rPr>
            </w:pPr>
            <w:r>
              <w:rPr>
                <w:rFonts w:ascii="Arial" w:cs="Arial" w:eastAsia="Arial" w:hAnsi="Arial"/>
                <w:sz w:val="14"/>
                <w:szCs w:val="14"/>
                <w:color w:val="auto"/>
              </w:rPr>
              <w:t>n/a</w:t>
            </w:r>
          </w:p>
        </w:tc>
        <w:tc>
          <w:tcPr>
            <w:tcW w:w="925" w:type="dxa"/>
            <w:vAlign w:val="bottom"/>
            <w:shd w:val="clear" w:color="auto" w:fill="F4F3F3"/>
          </w:tcPr>
          <w:p>
            <w:pPr>
              <w:jc w:val="right"/>
              <w:ind w:right="268"/>
              <w:spacing w:after="0"/>
              <w:rPr>
                <w:sz w:val="20"/>
                <w:szCs w:val="20"/>
                <w:color w:val="auto"/>
              </w:rPr>
            </w:pPr>
            <w:r>
              <w:rPr>
                <w:rFonts w:ascii="Arial" w:cs="Arial" w:eastAsia="Arial" w:hAnsi="Arial"/>
                <w:sz w:val="14"/>
                <w:szCs w:val="14"/>
                <w:color w:val="auto"/>
              </w:rPr>
              <w:t>n/a</w:t>
            </w:r>
          </w:p>
        </w:tc>
        <w:tc>
          <w:tcPr>
            <w:tcW w:w="960" w:type="dxa"/>
            <w:vAlign w:val="bottom"/>
            <w:shd w:val="clear" w:color="auto" w:fill="F4F3F3"/>
          </w:tcPr>
          <w:p>
            <w:pPr>
              <w:jc w:val="right"/>
              <w:ind w:right="268"/>
              <w:spacing w:after="0"/>
              <w:rPr>
                <w:sz w:val="20"/>
                <w:szCs w:val="20"/>
                <w:color w:val="auto"/>
              </w:rPr>
            </w:pPr>
            <w:r>
              <w:rPr>
                <w:rFonts w:ascii="Arial" w:cs="Arial" w:eastAsia="Arial" w:hAnsi="Arial"/>
                <w:sz w:val="14"/>
                <w:szCs w:val="14"/>
                <w:color w:val="auto"/>
              </w:rPr>
              <w:t>n/a</w:t>
            </w:r>
          </w:p>
        </w:tc>
        <w:tc>
          <w:tcPr>
            <w:tcW w:w="82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n/a</w:t>
            </w:r>
          </w:p>
        </w:tc>
        <w:tc>
          <w:tcPr>
            <w:tcW w:w="1320" w:type="dxa"/>
            <w:vAlign w:val="bottom"/>
            <w:shd w:val="clear" w:color="auto" w:fill="F4F3F3"/>
          </w:tcPr>
          <w:p>
            <w:pPr>
              <w:jc w:val="right"/>
              <w:ind w:right="388"/>
              <w:spacing w:after="0"/>
              <w:rPr>
                <w:sz w:val="20"/>
                <w:szCs w:val="20"/>
                <w:color w:val="auto"/>
              </w:rPr>
            </w:pPr>
            <w:r>
              <w:rPr>
                <w:rFonts w:ascii="Arial" w:cs="Arial" w:eastAsia="Arial" w:hAnsi="Arial"/>
                <w:sz w:val="14"/>
                <w:szCs w:val="14"/>
                <w:color w:val="auto"/>
              </w:rPr>
              <w:t>n/a</w:t>
            </w:r>
          </w:p>
        </w:tc>
        <w:tc>
          <w:tcPr>
            <w:tcW w:w="820" w:type="dxa"/>
            <w:vAlign w:val="bottom"/>
            <w:shd w:val="clear" w:color="auto" w:fill="F4F3F3"/>
          </w:tcPr>
          <w:p>
            <w:pPr>
              <w:jc w:val="right"/>
              <w:ind w:right="208"/>
              <w:spacing w:after="0"/>
              <w:rPr>
                <w:sz w:val="20"/>
                <w:szCs w:val="20"/>
                <w:color w:val="auto"/>
              </w:rPr>
            </w:pPr>
            <w:r>
              <w:rPr>
                <w:rFonts w:ascii="Arial" w:cs="Arial" w:eastAsia="Arial" w:hAnsi="Arial"/>
                <w:sz w:val="14"/>
                <w:szCs w:val="14"/>
                <w:color w:val="auto"/>
              </w:rPr>
              <w:t>n/a</w:t>
            </w:r>
          </w:p>
        </w:tc>
        <w:tc>
          <w:tcPr>
            <w:tcW w:w="1360" w:type="dxa"/>
            <w:vAlign w:val="bottom"/>
            <w:shd w:val="clear" w:color="auto" w:fill="F4F3F3"/>
          </w:tcPr>
          <w:p>
            <w:pPr>
              <w:jc w:val="right"/>
              <w:ind w:right="388"/>
              <w:spacing w:after="0"/>
              <w:rPr>
                <w:sz w:val="20"/>
                <w:szCs w:val="20"/>
                <w:color w:val="auto"/>
              </w:rPr>
            </w:pPr>
            <w:r>
              <w:rPr>
                <w:rFonts w:ascii="Arial" w:cs="Arial" w:eastAsia="Arial" w:hAnsi="Arial"/>
                <w:sz w:val="14"/>
                <w:szCs w:val="14"/>
                <w:color w:val="auto"/>
              </w:rPr>
              <w:t>n/a</w:t>
            </w:r>
          </w:p>
        </w:tc>
        <w:tc>
          <w:tcPr>
            <w:tcW w:w="600" w:type="dxa"/>
            <w:vAlign w:val="bottom"/>
            <w:shd w:val="clear" w:color="auto" w:fill="F4F3F3"/>
          </w:tcPr>
          <w:p>
            <w:pPr>
              <w:jc w:val="right"/>
              <w:ind w:right="68"/>
              <w:spacing w:after="0"/>
              <w:rPr>
                <w:sz w:val="20"/>
                <w:szCs w:val="20"/>
                <w:color w:val="auto"/>
              </w:rPr>
            </w:pPr>
            <w:r>
              <w:rPr>
                <w:rFonts w:ascii="Arial" w:cs="Arial" w:eastAsia="Arial" w:hAnsi="Arial"/>
                <w:sz w:val="14"/>
                <w:szCs w:val="14"/>
                <w:color w:val="auto"/>
              </w:rPr>
              <w:t>n/a</w:t>
            </w:r>
          </w:p>
        </w:tc>
        <w:tc>
          <w:tcPr>
            <w:tcW w:w="880" w:type="dxa"/>
            <w:vAlign w:val="bottom"/>
            <w:shd w:val="clear" w:color="auto" w:fill="F4F3F3"/>
          </w:tcPr>
          <w:p>
            <w:pPr>
              <w:ind w:left="220"/>
              <w:spacing w:after="0"/>
              <w:rPr>
                <w:sz w:val="20"/>
                <w:szCs w:val="20"/>
                <w:color w:val="auto"/>
              </w:rPr>
            </w:pPr>
            <w:r>
              <w:rPr>
                <w:rFonts w:ascii="Arial" w:cs="Arial" w:eastAsia="Arial" w:hAnsi="Arial"/>
                <w:sz w:val="14"/>
                <w:szCs w:val="14"/>
                <w:color w:val="auto"/>
              </w:rPr>
              <w:t>n/a</w:t>
            </w:r>
          </w:p>
        </w:tc>
      </w:tr>
      <w:tr>
        <w:trPr>
          <w:trHeight w:val="189"/>
        </w:trPr>
        <w:tc>
          <w:tcPr>
            <w:tcW w:w="2460" w:type="dxa"/>
            <w:vAlign w:val="bottom"/>
            <w:shd w:val="clear" w:color="auto" w:fill="F4F3F3"/>
          </w:tcPr>
          <w:p>
            <w:pPr>
              <w:ind w:left="80"/>
              <w:spacing w:after="0"/>
              <w:rPr>
                <w:sz w:val="20"/>
                <w:szCs w:val="20"/>
                <w:color w:val="auto"/>
              </w:rPr>
            </w:pPr>
            <w:r>
              <w:rPr>
                <w:rFonts w:ascii="Arial" w:cs="Arial" w:eastAsia="Arial" w:hAnsi="Arial"/>
                <w:sz w:val="14"/>
                <w:szCs w:val="14"/>
                <w:color w:val="998C87"/>
              </w:rPr>
              <w:t>Arne M. Sorenson</w:t>
            </w:r>
          </w:p>
        </w:tc>
        <w:tc>
          <w:tcPr>
            <w:tcW w:w="855" w:type="dxa"/>
            <w:vAlign w:val="bottom"/>
            <w:shd w:val="clear" w:color="auto" w:fill="F4F3F3"/>
          </w:tcPr>
          <w:p>
            <w:pPr>
              <w:jc w:val="right"/>
              <w:ind w:right="303"/>
              <w:spacing w:after="0"/>
              <w:rPr>
                <w:sz w:val="20"/>
                <w:szCs w:val="20"/>
                <w:color w:val="auto"/>
              </w:rPr>
            </w:pPr>
            <w:r>
              <w:rPr>
                <w:rFonts w:ascii="Arial" w:cs="Arial" w:eastAsia="Arial" w:hAnsi="Arial"/>
                <w:sz w:val="14"/>
                <w:szCs w:val="14"/>
                <w:color w:val="auto"/>
              </w:rPr>
              <w:t>60</w:t>
            </w:r>
          </w:p>
        </w:tc>
        <w:tc>
          <w:tcPr>
            <w:tcW w:w="925" w:type="dxa"/>
            <w:vAlign w:val="bottom"/>
            <w:shd w:val="clear" w:color="auto" w:fill="F4F3F3"/>
          </w:tcPr>
          <w:p>
            <w:pPr>
              <w:jc w:val="right"/>
              <w:ind w:right="268"/>
              <w:spacing w:after="0"/>
              <w:rPr>
                <w:sz w:val="20"/>
                <w:szCs w:val="20"/>
                <w:color w:val="auto"/>
              </w:rPr>
            </w:pPr>
            <w:r>
              <w:rPr>
                <w:rFonts w:ascii="Arial" w:cs="Arial" w:eastAsia="Arial" w:hAnsi="Arial"/>
                <w:sz w:val="14"/>
                <w:szCs w:val="14"/>
                <w:color w:val="auto"/>
              </w:rPr>
              <w:t>n/a</w:t>
            </w:r>
          </w:p>
        </w:tc>
        <w:tc>
          <w:tcPr>
            <w:tcW w:w="960" w:type="dxa"/>
            <w:vAlign w:val="bottom"/>
            <w:shd w:val="clear" w:color="auto" w:fill="F4F3F3"/>
          </w:tcPr>
          <w:p>
            <w:pPr>
              <w:jc w:val="right"/>
              <w:ind w:right="268"/>
              <w:spacing w:after="0"/>
              <w:rPr>
                <w:sz w:val="20"/>
                <w:szCs w:val="20"/>
                <w:color w:val="auto"/>
              </w:rPr>
            </w:pPr>
            <w:r>
              <w:rPr>
                <w:rFonts w:ascii="Arial" w:cs="Arial" w:eastAsia="Arial" w:hAnsi="Arial"/>
                <w:sz w:val="14"/>
                <w:szCs w:val="14"/>
                <w:color w:val="auto"/>
              </w:rPr>
              <w:t>10</w:t>
            </w:r>
          </w:p>
        </w:tc>
        <w:tc>
          <w:tcPr>
            <w:tcW w:w="82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n/a</w:t>
            </w:r>
          </w:p>
        </w:tc>
        <w:tc>
          <w:tcPr>
            <w:tcW w:w="1320" w:type="dxa"/>
            <w:vAlign w:val="bottom"/>
            <w:shd w:val="clear" w:color="auto" w:fill="F4F3F3"/>
          </w:tcPr>
          <w:p>
            <w:pPr>
              <w:jc w:val="right"/>
              <w:ind w:right="388"/>
              <w:spacing w:after="0"/>
              <w:rPr>
                <w:sz w:val="20"/>
                <w:szCs w:val="20"/>
                <w:color w:val="auto"/>
              </w:rPr>
            </w:pPr>
            <w:r>
              <w:rPr>
                <w:rFonts w:ascii="Arial" w:cs="Arial" w:eastAsia="Arial" w:hAnsi="Arial"/>
                <w:sz w:val="14"/>
                <w:szCs w:val="14"/>
                <w:color w:val="auto"/>
              </w:rPr>
              <w:t>5</w:t>
            </w:r>
          </w:p>
        </w:tc>
        <w:tc>
          <w:tcPr>
            <w:tcW w:w="820" w:type="dxa"/>
            <w:vAlign w:val="bottom"/>
            <w:shd w:val="clear" w:color="auto" w:fill="F4F3F3"/>
          </w:tcPr>
          <w:p>
            <w:pPr>
              <w:jc w:val="right"/>
              <w:ind w:right="208"/>
              <w:spacing w:after="0"/>
              <w:rPr>
                <w:sz w:val="20"/>
                <w:szCs w:val="20"/>
                <w:color w:val="auto"/>
              </w:rPr>
            </w:pPr>
            <w:r>
              <w:rPr>
                <w:rFonts w:ascii="Arial" w:cs="Arial" w:eastAsia="Arial" w:hAnsi="Arial"/>
                <w:sz w:val="14"/>
                <w:szCs w:val="14"/>
                <w:color w:val="auto"/>
              </w:rPr>
              <w:t>10</w:t>
            </w:r>
          </w:p>
        </w:tc>
        <w:tc>
          <w:tcPr>
            <w:tcW w:w="1360" w:type="dxa"/>
            <w:vAlign w:val="bottom"/>
            <w:shd w:val="clear" w:color="auto" w:fill="F4F3F3"/>
          </w:tcPr>
          <w:p>
            <w:pPr>
              <w:jc w:val="right"/>
              <w:ind w:right="388"/>
              <w:spacing w:after="0"/>
              <w:rPr>
                <w:sz w:val="20"/>
                <w:szCs w:val="20"/>
                <w:color w:val="auto"/>
              </w:rPr>
            </w:pPr>
            <w:r>
              <w:rPr>
                <w:rFonts w:ascii="Arial" w:cs="Arial" w:eastAsia="Arial" w:hAnsi="Arial"/>
                <w:sz w:val="14"/>
                <w:szCs w:val="14"/>
                <w:color w:val="auto"/>
              </w:rPr>
              <w:t>15</w:t>
            </w:r>
          </w:p>
        </w:tc>
        <w:tc>
          <w:tcPr>
            <w:tcW w:w="600" w:type="dxa"/>
            <w:vAlign w:val="bottom"/>
            <w:shd w:val="clear" w:color="auto" w:fill="F4F3F3"/>
          </w:tcPr>
          <w:p>
            <w:pPr>
              <w:jc w:val="right"/>
              <w:ind w:right="68"/>
              <w:spacing w:after="0"/>
              <w:rPr>
                <w:sz w:val="20"/>
                <w:szCs w:val="20"/>
                <w:color w:val="auto"/>
              </w:rPr>
            </w:pPr>
            <w:r>
              <w:rPr>
                <w:rFonts w:ascii="Arial" w:cs="Arial" w:eastAsia="Arial" w:hAnsi="Arial"/>
                <w:sz w:val="14"/>
                <w:szCs w:val="14"/>
                <w:color w:val="auto"/>
              </w:rPr>
              <w:t>100</w:t>
            </w:r>
          </w:p>
        </w:tc>
        <w:tc>
          <w:tcPr>
            <w:tcW w:w="880" w:type="dxa"/>
            <w:vAlign w:val="bottom"/>
            <w:shd w:val="clear" w:color="auto" w:fill="F4F3F3"/>
          </w:tcPr>
          <w:p>
            <w:pPr>
              <w:ind w:left="220"/>
              <w:spacing w:after="0"/>
              <w:rPr>
                <w:sz w:val="20"/>
                <w:szCs w:val="20"/>
                <w:color w:val="auto"/>
              </w:rPr>
            </w:pPr>
            <w:r>
              <w:rPr>
                <w:rFonts w:ascii="Arial" w:cs="Arial" w:eastAsia="Arial" w:hAnsi="Arial"/>
                <w:sz w:val="14"/>
                <w:szCs w:val="14"/>
                <w:color w:val="auto"/>
              </w:rPr>
              <w:t>186%</w:t>
            </w:r>
          </w:p>
        </w:tc>
      </w:tr>
      <w:tr>
        <w:trPr>
          <w:trHeight w:val="189"/>
        </w:trPr>
        <w:tc>
          <w:tcPr>
            <w:tcW w:w="2460" w:type="dxa"/>
            <w:vAlign w:val="bottom"/>
            <w:shd w:val="clear" w:color="auto" w:fill="F4F3F3"/>
          </w:tcPr>
          <w:p>
            <w:pPr>
              <w:ind w:left="60"/>
              <w:spacing w:after="0"/>
              <w:rPr>
                <w:sz w:val="20"/>
                <w:szCs w:val="20"/>
                <w:color w:val="auto"/>
              </w:rPr>
            </w:pPr>
            <w:r>
              <w:rPr>
                <w:rFonts w:ascii="Arial" w:cs="Arial" w:eastAsia="Arial" w:hAnsi="Arial"/>
                <w:sz w:val="14"/>
                <w:szCs w:val="14"/>
                <w:color w:val="998C87"/>
              </w:rPr>
              <w:t>Anthony G. Capuano</w:t>
            </w:r>
          </w:p>
        </w:tc>
        <w:tc>
          <w:tcPr>
            <w:tcW w:w="855" w:type="dxa"/>
            <w:vAlign w:val="bottom"/>
            <w:shd w:val="clear" w:color="auto" w:fill="F4F3F3"/>
          </w:tcPr>
          <w:p>
            <w:pPr>
              <w:jc w:val="right"/>
              <w:ind w:right="303"/>
              <w:spacing w:after="0"/>
              <w:rPr>
                <w:sz w:val="20"/>
                <w:szCs w:val="20"/>
                <w:color w:val="auto"/>
              </w:rPr>
            </w:pPr>
            <w:r>
              <w:rPr>
                <w:rFonts w:ascii="Arial" w:cs="Arial" w:eastAsia="Arial" w:hAnsi="Arial"/>
                <w:sz w:val="14"/>
                <w:szCs w:val="14"/>
                <w:color w:val="auto"/>
              </w:rPr>
              <w:t>10</w:t>
            </w:r>
          </w:p>
        </w:tc>
        <w:tc>
          <w:tcPr>
            <w:tcW w:w="925" w:type="dxa"/>
            <w:vAlign w:val="bottom"/>
            <w:shd w:val="clear" w:color="auto" w:fill="F4F3F3"/>
          </w:tcPr>
          <w:p>
            <w:pPr>
              <w:jc w:val="right"/>
              <w:ind w:right="268"/>
              <w:spacing w:after="0"/>
              <w:rPr>
                <w:sz w:val="20"/>
                <w:szCs w:val="20"/>
                <w:color w:val="auto"/>
              </w:rPr>
            </w:pPr>
            <w:r>
              <w:rPr>
                <w:rFonts w:ascii="Arial" w:cs="Arial" w:eastAsia="Arial" w:hAnsi="Arial"/>
                <w:sz w:val="14"/>
                <w:szCs w:val="14"/>
                <w:color w:val="auto"/>
              </w:rPr>
              <w:t>n/a</w:t>
            </w:r>
          </w:p>
        </w:tc>
        <w:tc>
          <w:tcPr>
            <w:tcW w:w="960" w:type="dxa"/>
            <w:vAlign w:val="bottom"/>
            <w:shd w:val="clear" w:color="auto" w:fill="F4F3F3"/>
          </w:tcPr>
          <w:p>
            <w:pPr>
              <w:jc w:val="right"/>
              <w:ind w:right="268"/>
              <w:spacing w:after="0"/>
              <w:rPr>
                <w:sz w:val="20"/>
                <w:szCs w:val="20"/>
                <w:color w:val="auto"/>
              </w:rPr>
            </w:pPr>
            <w:r>
              <w:rPr>
                <w:rFonts w:ascii="Arial" w:cs="Arial" w:eastAsia="Arial" w:hAnsi="Arial"/>
                <w:sz w:val="14"/>
                <w:szCs w:val="14"/>
                <w:color w:val="auto"/>
              </w:rPr>
              <w:t>75</w:t>
            </w:r>
          </w:p>
        </w:tc>
        <w:tc>
          <w:tcPr>
            <w:tcW w:w="82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n/a</w:t>
            </w:r>
          </w:p>
        </w:tc>
        <w:tc>
          <w:tcPr>
            <w:tcW w:w="1320" w:type="dxa"/>
            <w:vAlign w:val="bottom"/>
            <w:shd w:val="clear" w:color="auto" w:fill="F4F3F3"/>
          </w:tcPr>
          <w:p>
            <w:pPr>
              <w:jc w:val="right"/>
              <w:ind w:right="388"/>
              <w:spacing w:after="0"/>
              <w:rPr>
                <w:sz w:val="20"/>
                <w:szCs w:val="20"/>
                <w:color w:val="auto"/>
              </w:rPr>
            </w:pPr>
            <w:r>
              <w:rPr>
                <w:rFonts w:ascii="Arial" w:cs="Arial" w:eastAsia="Arial" w:hAnsi="Arial"/>
                <w:sz w:val="14"/>
                <w:szCs w:val="14"/>
                <w:color w:val="auto"/>
              </w:rPr>
              <w:t>5</w:t>
            </w:r>
          </w:p>
        </w:tc>
        <w:tc>
          <w:tcPr>
            <w:tcW w:w="820" w:type="dxa"/>
            <w:vAlign w:val="bottom"/>
            <w:shd w:val="clear" w:color="auto" w:fill="F4F3F3"/>
          </w:tcPr>
          <w:p>
            <w:pPr>
              <w:jc w:val="right"/>
              <w:ind w:right="208"/>
              <w:spacing w:after="0"/>
              <w:rPr>
                <w:sz w:val="20"/>
                <w:szCs w:val="20"/>
                <w:color w:val="auto"/>
              </w:rPr>
            </w:pPr>
            <w:r>
              <w:rPr>
                <w:rFonts w:ascii="Arial" w:cs="Arial" w:eastAsia="Arial" w:hAnsi="Arial"/>
                <w:sz w:val="14"/>
                <w:szCs w:val="14"/>
                <w:color w:val="auto"/>
              </w:rPr>
              <w:t>5</w:t>
            </w:r>
          </w:p>
        </w:tc>
        <w:tc>
          <w:tcPr>
            <w:tcW w:w="1360" w:type="dxa"/>
            <w:vAlign w:val="bottom"/>
            <w:shd w:val="clear" w:color="auto" w:fill="F4F3F3"/>
          </w:tcPr>
          <w:p>
            <w:pPr>
              <w:jc w:val="right"/>
              <w:ind w:right="388"/>
              <w:spacing w:after="0"/>
              <w:rPr>
                <w:sz w:val="20"/>
                <w:szCs w:val="20"/>
                <w:color w:val="auto"/>
              </w:rPr>
            </w:pPr>
            <w:r>
              <w:rPr>
                <w:rFonts w:ascii="Arial" w:cs="Arial" w:eastAsia="Arial" w:hAnsi="Arial"/>
                <w:sz w:val="14"/>
                <w:szCs w:val="14"/>
                <w:color w:val="auto"/>
              </w:rPr>
              <w:t>5</w:t>
            </w:r>
          </w:p>
        </w:tc>
        <w:tc>
          <w:tcPr>
            <w:tcW w:w="600" w:type="dxa"/>
            <w:vAlign w:val="bottom"/>
            <w:shd w:val="clear" w:color="auto" w:fill="F4F3F3"/>
          </w:tcPr>
          <w:p>
            <w:pPr>
              <w:jc w:val="right"/>
              <w:ind w:right="68"/>
              <w:spacing w:after="0"/>
              <w:rPr>
                <w:sz w:val="20"/>
                <w:szCs w:val="20"/>
                <w:color w:val="auto"/>
              </w:rPr>
            </w:pPr>
            <w:r>
              <w:rPr>
                <w:rFonts w:ascii="Arial" w:cs="Arial" w:eastAsia="Arial" w:hAnsi="Arial"/>
                <w:sz w:val="14"/>
                <w:szCs w:val="14"/>
                <w:color w:val="auto"/>
              </w:rPr>
              <w:t>100</w:t>
            </w:r>
          </w:p>
        </w:tc>
        <w:tc>
          <w:tcPr>
            <w:tcW w:w="880" w:type="dxa"/>
            <w:vAlign w:val="bottom"/>
            <w:shd w:val="clear" w:color="auto" w:fill="F4F3F3"/>
          </w:tcPr>
          <w:p>
            <w:pPr>
              <w:ind w:left="220"/>
              <w:spacing w:after="0"/>
              <w:rPr>
                <w:sz w:val="20"/>
                <w:szCs w:val="20"/>
                <w:color w:val="auto"/>
              </w:rPr>
            </w:pPr>
            <w:r>
              <w:rPr>
                <w:rFonts w:ascii="Arial" w:cs="Arial" w:eastAsia="Arial" w:hAnsi="Arial"/>
                <w:sz w:val="14"/>
                <w:szCs w:val="14"/>
                <w:color w:val="auto"/>
              </w:rPr>
              <w:t>189%</w:t>
            </w:r>
          </w:p>
        </w:tc>
      </w:tr>
      <w:tr>
        <w:trPr>
          <w:trHeight w:val="189"/>
        </w:trPr>
        <w:tc>
          <w:tcPr>
            <w:tcW w:w="2460" w:type="dxa"/>
            <w:vAlign w:val="bottom"/>
            <w:shd w:val="clear" w:color="auto" w:fill="F4F3F3"/>
          </w:tcPr>
          <w:p>
            <w:pPr>
              <w:ind w:left="80"/>
              <w:spacing w:after="0"/>
              <w:rPr>
                <w:sz w:val="20"/>
                <w:szCs w:val="20"/>
                <w:color w:val="auto"/>
              </w:rPr>
            </w:pPr>
            <w:r>
              <w:rPr>
                <w:rFonts w:ascii="Arial" w:cs="Arial" w:eastAsia="Arial" w:hAnsi="Arial"/>
                <w:sz w:val="14"/>
                <w:szCs w:val="14"/>
                <w:color w:val="998C87"/>
              </w:rPr>
              <w:t>Stephanie C. Linnartz</w:t>
            </w:r>
          </w:p>
        </w:tc>
        <w:tc>
          <w:tcPr>
            <w:tcW w:w="855" w:type="dxa"/>
            <w:vAlign w:val="bottom"/>
            <w:shd w:val="clear" w:color="auto" w:fill="F4F3F3"/>
          </w:tcPr>
          <w:p>
            <w:pPr>
              <w:jc w:val="right"/>
              <w:ind w:right="303"/>
              <w:spacing w:after="0"/>
              <w:rPr>
                <w:sz w:val="20"/>
                <w:szCs w:val="20"/>
                <w:color w:val="auto"/>
              </w:rPr>
            </w:pPr>
            <w:r>
              <w:rPr>
                <w:rFonts w:ascii="Arial" w:cs="Arial" w:eastAsia="Arial" w:hAnsi="Arial"/>
                <w:sz w:val="14"/>
                <w:szCs w:val="14"/>
                <w:color w:val="auto"/>
              </w:rPr>
              <w:t>40</w:t>
            </w:r>
          </w:p>
        </w:tc>
        <w:tc>
          <w:tcPr>
            <w:tcW w:w="925" w:type="dxa"/>
            <w:vAlign w:val="bottom"/>
            <w:shd w:val="clear" w:color="auto" w:fill="F4F3F3"/>
          </w:tcPr>
          <w:p>
            <w:pPr>
              <w:jc w:val="right"/>
              <w:ind w:right="268"/>
              <w:spacing w:after="0"/>
              <w:rPr>
                <w:sz w:val="20"/>
                <w:szCs w:val="20"/>
                <w:color w:val="auto"/>
              </w:rPr>
            </w:pPr>
            <w:r>
              <w:rPr>
                <w:rFonts w:ascii="Arial" w:cs="Arial" w:eastAsia="Arial" w:hAnsi="Arial"/>
                <w:sz w:val="14"/>
                <w:szCs w:val="14"/>
                <w:color w:val="auto"/>
              </w:rPr>
              <w:t>n/a</w:t>
            </w:r>
          </w:p>
        </w:tc>
        <w:tc>
          <w:tcPr>
            <w:tcW w:w="960" w:type="dxa"/>
            <w:vAlign w:val="bottom"/>
            <w:shd w:val="clear" w:color="auto" w:fill="F4F3F3"/>
          </w:tcPr>
          <w:p>
            <w:pPr>
              <w:jc w:val="right"/>
              <w:ind w:right="268"/>
              <w:spacing w:after="0"/>
              <w:rPr>
                <w:sz w:val="20"/>
                <w:szCs w:val="20"/>
                <w:color w:val="auto"/>
              </w:rPr>
            </w:pPr>
            <w:r>
              <w:rPr>
                <w:rFonts w:ascii="Arial" w:cs="Arial" w:eastAsia="Arial" w:hAnsi="Arial"/>
                <w:sz w:val="14"/>
                <w:szCs w:val="14"/>
                <w:color w:val="auto"/>
              </w:rPr>
              <w:t>n/a</w:t>
            </w:r>
          </w:p>
        </w:tc>
        <w:tc>
          <w:tcPr>
            <w:tcW w:w="820" w:type="dxa"/>
            <w:vAlign w:val="bottom"/>
            <w:shd w:val="clear" w:color="auto" w:fill="F4F3F3"/>
          </w:tcPr>
          <w:p>
            <w:pPr>
              <w:jc w:val="right"/>
              <w:ind w:right="228"/>
              <w:spacing w:after="0"/>
              <w:rPr>
                <w:sz w:val="20"/>
                <w:szCs w:val="20"/>
                <w:color w:val="auto"/>
              </w:rPr>
            </w:pPr>
            <w:r>
              <w:rPr>
                <w:rFonts w:ascii="Arial" w:cs="Arial" w:eastAsia="Arial" w:hAnsi="Arial"/>
                <w:sz w:val="14"/>
                <w:szCs w:val="14"/>
                <w:color w:val="auto"/>
              </w:rPr>
              <w:t>20</w:t>
            </w:r>
          </w:p>
        </w:tc>
        <w:tc>
          <w:tcPr>
            <w:tcW w:w="1320" w:type="dxa"/>
            <w:vAlign w:val="bottom"/>
            <w:shd w:val="clear" w:color="auto" w:fill="F4F3F3"/>
          </w:tcPr>
          <w:p>
            <w:pPr>
              <w:jc w:val="right"/>
              <w:ind w:right="388"/>
              <w:spacing w:after="0"/>
              <w:rPr>
                <w:sz w:val="20"/>
                <w:szCs w:val="20"/>
                <w:color w:val="auto"/>
              </w:rPr>
            </w:pPr>
            <w:r>
              <w:rPr>
                <w:rFonts w:ascii="Arial" w:cs="Arial" w:eastAsia="Arial" w:hAnsi="Arial"/>
                <w:sz w:val="14"/>
                <w:szCs w:val="14"/>
                <w:color w:val="auto"/>
              </w:rPr>
              <w:t>5</w:t>
            </w:r>
          </w:p>
        </w:tc>
        <w:tc>
          <w:tcPr>
            <w:tcW w:w="820" w:type="dxa"/>
            <w:vAlign w:val="bottom"/>
            <w:shd w:val="clear" w:color="auto" w:fill="F4F3F3"/>
          </w:tcPr>
          <w:p>
            <w:pPr>
              <w:jc w:val="right"/>
              <w:ind w:right="208"/>
              <w:spacing w:after="0"/>
              <w:rPr>
                <w:sz w:val="20"/>
                <w:szCs w:val="20"/>
                <w:color w:val="auto"/>
              </w:rPr>
            </w:pPr>
            <w:r>
              <w:rPr>
                <w:rFonts w:ascii="Arial" w:cs="Arial" w:eastAsia="Arial" w:hAnsi="Arial"/>
                <w:sz w:val="14"/>
                <w:szCs w:val="14"/>
                <w:color w:val="auto"/>
              </w:rPr>
              <w:t>15</w:t>
            </w:r>
          </w:p>
        </w:tc>
        <w:tc>
          <w:tcPr>
            <w:tcW w:w="1360" w:type="dxa"/>
            <w:vAlign w:val="bottom"/>
            <w:shd w:val="clear" w:color="auto" w:fill="F4F3F3"/>
          </w:tcPr>
          <w:p>
            <w:pPr>
              <w:jc w:val="right"/>
              <w:ind w:right="388"/>
              <w:spacing w:after="0"/>
              <w:rPr>
                <w:sz w:val="20"/>
                <w:szCs w:val="20"/>
                <w:color w:val="auto"/>
              </w:rPr>
            </w:pPr>
            <w:r>
              <w:rPr>
                <w:rFonts w:ascii="Arial" w:cs="Arial" w:eastAsia="Arial" w:hAnsi="Arial"/>
                <w:sz w:val="14"/>
                <w:szCs w:val="14"/>
                <w:color w:val="auto"/>
              </w:rPr>
              <w:t>20</w:t>
            </w:r>
          </w:p>
        </w:tc>
        <w:tc>
          <w:tcPr>
            <w:tcW w:w="600" w:type="dxa"/>
            <w:vAlign w:val="bottom"/>
            <w:shd w:val="clear" w:color="auto" w:fill="F4F3F3"/>
          </w:tcPr>
          <w:p>
            <w:pPr>
              <w:jc w:val="right"/>
              <w:ind w:right="68"/>
              <w:spacing w:after="0"/>
              <w:rPr>
                <w:sz w:val="20"/>
                <w:szCs w:val="20"/>
                <w:color w:val="auto"/>
              </w:rPr>
            </w:pPr>
            <w:r>
              <w:rPr>
                <w:rFonts w:ascii="Arial" w:cs="Arial" w:eastAsia="Arial" w:hAnsi="Arial"/>
                <w:sz w:val="14"/>
                <w:szCs w:val="14"/>
                <w:color w:val="auto"/>
              </w:rPr>
              <w:t>100</w:t>
            </w:r>
          </w:p>
        </w:tc>
        <w:tc>
          <w:tcPr>
            <w:tcW w:w="880" w:type="dxa"/>
            <w:vAlign w:val="bottom"/>
            <w:shd w:val="clear" w:color="auto" w:fill="F4F3F3"/>
          </w:tcPr>
          <w:p>
            <w:pPr>
              <w:ind w:left="220"/>
              <w:spacing w:after="0"/>
              <w:rPr>
                <w:sz w:val="20"/>
                <w:szCs w:val="20"/>
                <w:color w:val="auto"/>
              </w:rPr>
            </w:pPr>
            <w:r>
              <w:rPr>
                <w:rFonts w:ascii="Arial" w:cs="Arial" w:eastAsia="Arial" w:hAnsi="Arial"/>
                <w:sz w:val="14"/>
                <w:szCs w:val="14"/>
                <w:color w:val="auto"/>
              </w:rPr>
              <w:t>179%</w:t>
            </w:r>
          </w:p>
        </w:tc>
      </w:tr>
      <w:tr>
        <w:trPr>
          <w:trHeight w:val="189"/>
        </w:trPr>
        <w:tc>
          <w:tcPr>
            <w:tcW w:w="2460" w:type="dxa"/>
            <w:vAlign w:val="bottom"/>
            <w:shd w:val="clear" w:color="auto" w:fill="F4F3F3"/>
          </w:tcPr>
          <w:p>
            <w:pPr>
              <w:ind w:left="80"/>
              <w:spacing w:after="0"/>
              <w:rPr>
                <w:sz w:val="20"/>
                <w:szCs w:val="20"/>
                <w:color w:val="auto"/>
              </w:rPr>
            </w:pPr>
            <w:r>
              <w:rPr>
                <w:rFonts w:ascii="Arial" w:cs="Arial" w:eastAsia="Arial" w:hAnsi="Arial"/>
                <w:sz w:val="14"/>
                <w:szCs w:val="14"/>
                <w:color w:val="998C87"/>
              </w:rPr>
              <w:t>David J. Grissen</w:t>
            </w:r>
          </w:p>
        </w:tc>
        <w:tc>
          <w:tcPr>
            <w:tcW w:w="855" w:type="dxa"/>
            <w:vAlign w:val="bottom"/>
            <w:shd w:val="clear" w:color="auto" w:fill="F4F3F3"/>
          </w:tcPr>
          <w:p>
            <w:pPr>
              <w:jc w:val="right"/>
              <w:ind w:right="303"/>
              <w:spacing w:after="0"/>
              <w:rPr>
                <w:sz w:val="20"/>
                <w:szCs w:val="20"/>
                <w:color w:val="auto"/>
              </w:rPr>
            </w:pPr>
            <w:r>
              <w:rPr>
                <w:rFonts w:ascii="Arial" w:cs="Arial" w:eastAsia="Arial" w:hAnsi="Arial"/>
                <w:sz w:val="14"/>
                <w:szCs w:val="14"/>
                <w:color w:val="auto"/>
              </w:rPr>
              <w:t>25</w:t>
            </w:r>
          </w:p>
        </w:tc>
        <w:tc>
          <w:tcPr>
            <w:tcW w:w="925" w:type="dxa"/>
            <w:vAlign w:val="bottom"/>
            <w:shd w:val="clear" w:color="auto" w:fill="F4F3F3"/>
          </w:tcPr>
          <w:p>
            <w:pPr>
              <w:jc w:val="right"/>
              <w:ind w:right="268"/>
              <w:spacing w:after="0"/>
              <w:rPr>
                <w:sz w:val="20"/>
                <w:szCs w:val="20"/>
                <w:color w:val="auto"/>
              </w:rPr>
            </w:pPr>
            <w:r>
              <w:rPr>
                <w:rFonts w:ascii="Arial" w:cs="Arial" w:eastAsia="Arial" w:hAnsi="Arial"/>
                <w:sz w:val="14"/>
                <w:szCs w:val="14"/>
                <w:color w:val="auto"/>
              </w:rPr>
              <w:t>25</w:t>
            </w:r>
          </w:p>
        </w:tc>
        <w:tc>
          <w:tcPr>
            <w:tcW w:w="960" w:type="dxa"/>
            <w:vAlign w:val="bottom"/>
            <w:shd w:val="clear" w:color="auto" w:fill="F4F3F3"/>
          </w:tcPr>
          <w:p>
            <w:pPr>
              <w:jc w:val="right"/>
              <w:ind w:right="268"/>
              <w:spacing w:after="0"/>
              <w:rPr>
                <w:sz w:val="20"/>
                <w:szCs w:val="20"/>
                <w:color w:val="auto"/>
              </w:rPr>
            </w:pPr>
            <w:r>
              <w:rPr>
                <w:rFonts w:ascii="Arial" w:cs="Arial" w:eastAsia="Arial" w:hAnsi="Arial"/>
                <w:sz w:val="14"/>
                <w:szCs w:val="14"/>
                <w:color w:val="auto"/>
              </w:rPr>
              <w:t>15</w:t>
            </w:r>
          </w:p>
        </w:tc>
        <w:tc>
          <w:tcPr>
            <w:tcW w:w="82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n/a</w:t>
            </w:r>
          </w:p>
        </w:tc>
        <w:tc>
          <w:tcPr>
            <w:tcW w:w="1320" w:type="dxa"/>
            <w:vAlign w:val="bottom"/>
            <w:shd w:val="clear" w:color="auto" w:fill="F4F3F3"/>
          </w:tcPr>
          <w:p>
            <w:pPr>
              <w:jc w:val="right"/>
              <w:ind w:right="388"/>
              <w:spacing w:after="0"/>
              <w:rPr>
                <w:sz w:val="20"/>
                <w:szCs w:val="20"/>
                <w:color w:val="auto"/>
              </w:rPr>
            </w:pPr>
            <w:r>
              <w:rPr>
                <w:rFonts w:ascii="Arial" w:cs="Arial" w:eastAsia="Arial" w:hAnsi="Arial"/>
                <w:sz w:val="14"/>
                <w:szCs w:val="14"/>
                <w:color w:val="auto"/>
              </w:rPr>
              <w:t>5</w:t>
            </w:r>
          </w:p>
        </w:tc>
        <w:tc>
          <w:tcPr>
            <w:tcW w:w="820" w:type="dxa"/>
            <w:vAlign w:val="bottom"/>
            <w:shd w:val="clear" w:color="auto" w:fill="F4F3F3"/>
          </w:tcPr>
          <w:p>
            <w:pPr>
              <w:jc w:val="right"/>
              <w:ind w:right="208"/>
              <w:spacing w:after="0"/>
              <w:rPr>
                <w:sz w:val="20"/>
                <w:szCs w:val="20"/>
                <w:color w:val="auto"/>
              </w:rPr>
            </w:pPr>
            <w:r>
              <w:rPr>
                <w:rFonts w:ascii="Arial" w:cs="Arial" w:eastAsia="Arial" w:hAnsi="Arial"/>
                <w:sz w:val="14"/>
                <w:szCs w:val="14"/>
                <w:color w:val="auto"/>
              </w:rPr>
              <w:t>15</w:t>
            </w:r>
          </w:p>
        </w:tc>
        <w:tc>
          <w:tcPr>
            <w:tcW w:w="1360" w:type="dxa"/>
            <w:vAlign w:val="bottom"/>
            <w:shd w:val="clear" w:color="auto" w:fill="F4F3F3"/>
          </w:tcPr>
          <w:p>
            <w:pPr>
              <w:jc w:val="right"/>
              <w:ind w:right="388"/>
              <w:spacing w:after="0"/>
              <w:rPr>
                <w:sz w:val="20"/>
                <w:szCs w:val="20"/>
                <w:color w:val="auto"/>
              </w:rPr>
            </w:pPr>
            <w:r>
              <w:rPr>
                <w:rFonts w:ascii="Arial" w:cs="Arial" w:eastAsia="Arial" w:hAnsi="Arial"/>
                <w:sz w:val="14"/>
                <w:szCs w:val="14"/>
                <w:color w:val="auto"/>
              </w:rPr>
              <w:t>15</w:t>
            </w:r>
          </w:p>
        </w:tc>
        <w:tc>
          <w:tcPr>
            <w:tcW w:w="600" w:type="dxa"/>
            <w:vAlign w:val="bottom"/>
            <w:shd w:val="clear" w:color="auto" w:fill="F4F3F3"/>
          </w:tcPr>
          <w:p>
            <w:pPr>
              <w:jc w:val="right"/>
              <w:ind w:right="68"/>
              <w:spacing w:after="0"/>
              <w:rPr>
                <w:sz w:val="20"/>
                <w:szCs w:val="20"/>
                <w:color w:val="auto"/>
              </w:rPr>
            </w:pPr>
            <w:r>
              <w:rPr>
                <w:rFonts w:ascii="Arial" w:cs="Arial" w:eastAsia="Arial" w:hAnsi="Arial"/>
                <w:sz w:val="14"/>
                <w:szCs w:val="14"/>
                <w:color w:val="auto"/>
              </w:rPr>
              <w:t>100</w:t>
            </w:r>
          </w:p>
        </w:tc>
        <w:tc>
          <w:tcPr>
            <w:tcW w:w="880" w:type="dxa"/>
            <w:vAlign w:val="bottom"/>
            <w:shd w:val="clear" w:color="auto" w:fill="F4F3F3"/>
          </w:tcPr>
          <w:p>
            <w:pPr>
              <w:ind w:left="220"/>
              <w:spacing w:after="0"/>
              <w:rPr>
                <w:sz w:val="20"/>
                <w:szCs w:val="20"/>
                <w:color w:val="auto"/>
              </w:rPr>
            </w:pPr>
            <w:r>
              <w:rPr>
                <w:rFonts w:ascii="Arial" w:cs="Arial" w:eastAsia="Arial" w:hAnsi="Arial"/>
                <w:sz w:val="14"/>
                <w:szCs w:val="14"/>
                <w:color w:val="auto"/>
              </w:rPr>
              <w:t>172%</w:t>
            </w:r>
          </w:p>
        </w:tc>
      </w:tr>
      <w:tr>
        <w:trPr>
          <w:trHeight w:val="175"/>
        </w:trPr>
        <w:tc>
          <w:tcPr>
            <w:tcW w:w="2460" w:type="dxa"/>
            <w:vAlign w:val="bottom"/>
            <w:shd w:val="clear" w:color="auto" w:fill="F4F3F3"/>
          </w:tcPr>
          <w:p>
            <w:pPr>
              <w:ind w:left="80"/>
              <w:spacing w:after="0"/>
              <w:rPr>
                <w:sz w:val="20"/>
                <w:szCs w:val="20"/>
                <w:color w:val="auto"/>
              </w:rPr>
            </w:pPr>
            <w:r>
              <w:rPr>
                <w:rFonts w:ascii="Arial" w:cs="Arial" w:eastAsia="Arial" w:hAnsi="Arial"/>
                <w:sz w:val="14"/>
                <w:szCs w:val="14"/>
                <w:color w:val="998C87"/>
              </w:rPr>
              <w:t>Kathleen K. Oberg</w:t>
            </w:r>
          </w:p>
        </w:tc>
        <w:tc>
          <w:tcPr>
            <w:tcW w:w="855" w:type="dxa"/>
            <w:vAlign w:val="bottom"/>
            <w:shd w:val="clear" w:color="auto" w:fill="F4F3F3"/>
          </w:tcPr>
          <w:p>
            <w:pPr>
              <w:jc w:val="right"/>
              <w:ind w:right="303"/>
              <w:spacing w:after="0"/>
              <w:rPr>
                <w:sz w:val="20"/>
                <w:szCs w:val="20"/>
                <w:color w:val="auto"/>
              </w:rPr>
            </w:pPr>
            <w:r>
              <w:rPr>
                <w:rFonts w:ascii="Arial" w:cs="Arial" w:eastAsia="Arial" w:hAnsi="Arial"/>
                <w:sz w:val="14"/>
                <w:szCs w:val="14"/>
                <w:color w:val="auto"/>
              </w:rPr>
              <w:t>60</w:t>
            </w:r>
          </w:p>
        </w:tc>
        <w:tc>
          <w:tcPr>
            <w:tcW w:w="925" w:type="dxa"/>
            <w:vAlign w:val="bottom"/>
            <w:shd w:val="clear" w:color="auto" w:fill="F4F3F3"/>
          </w:tcPr>
          <w:p>
            <w:pPr>
              <w:jc w:val="right"/>
              <w:ind w:right="268"/>
              <w:spacing w:after="0"/>
              <w:rPr>
                <w:sz w:val="20"/>
                <w:szCs w:val="20"/>
                <w:color w:val="auto"/>
              </w:rPr>
            </w:pPr>
            <w:r>
              <w:rPr>
                <w:rFonts w:ascii="Arial" w:cs="Arial" w:eastAsia="Arial" w:hAnsi="Arial"/>
                <w:sz w:val="14"/>
                <w:szCs w:val="14"/>
                <w:color w:val="auto"/>
              </w:rPr>
              <w:t>n/a</w:t>
            </w:r>
          </w:p>
        </w:tc>
        <w:tc>
          <w:tcPr>
            <w:tcW w:w="960" w:type="dxa"/>
            <w:vAlign w:val="bottom"/>
            <w:shd w:val="clear" w:color="auto" w:fill="F4F3F3"/>
          </w:tcPr>
          <w:p>
            <w:pPr>
              <w:jc w:val="right"/>
              <w:ind w:right="268"/>
              <w:spacing w:after="0"/>
              <w:rPr>
                <w:sz w:val="20"/>
                <w:szCs w:val="20"/>
                <w:color w:val="auto"/>
              </w:rPr>
            </w:pPr>
            <w:r>
              <w:rPr>
                <w:rFonts w:ascii="Arial" w:cs="Arial" w:eastAsia="Arial" w:hAnsi="Arial"/>
                <w:sz w:val="14"/>
                <w:szCs w:val="14"/>
                <w:color w:val="auto"/>
              </w:rPr>
              <w:t>10</w:t>
            </w:r>
          </w:p>
        </w:tc>
        <w:tc>
          <w:tcPr>
            <w:tcW w:w="82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n/a</w:t>
            </w:r>
          </w:p>
        </w:tc>
        <w:tc>
          <w:tcPr>
            <w:tcW w:w="1320" w:type="dxa"/>
            <w:vAlign w:val="bottom"/>
            <w:shd w:val="clear" w:color="auto" w:fill="F4F3F3"/>
          </w:tcPr>
          <w:p>
            <w:pPr>
              <w:jc w:val="right"/>
              <w:ind w:right="388"/>
              <w:spacing w:after="0"/>
              <w:rPr>
                <w:sz w:val="20"/>
                <w:szCs w:val="20"/>
                <w:color w:val="auto"/>
              </w:rPr>
            </w:pPr>
            <w:r>
              <w:rPr>
                <w:rFonts w:ascii="Arial" w:cs="Arial" w:eastAsia="Arial" w:hAnsi="Arial"/>
                <w:sz w:val="14"/>
                <w:szCs w:val="14"/>
                <w:color w:val="auto"/>
              </w:rPr>
              <w:t>5</w:t>
            </w:r>
          </w:p>
        </w:tc>
        <w:tc>
          <w:tcPr>
            <w:tcW w:w="820" w:type="dxa"/>
            <w:vAlign w:val="bottom"/>
            <w:shd w:val="clear" w:color="auto" w:fill="F4F3F3"/>
          </w:tcPr>
          <w:p>
            <w:pPr>
              <w:jc w:val="right"/>
              <w:ind w:right="208"/>
              <w:spacing w:after="0"/>
              <w:rPr>
                <w:sz w:val="20"/>
                <w:szCs w:val="20"/>
                <w:color w:val="auto"/>
              </w:rPr>
            </w:pPr>
            <w:r>
              <w:rPr>
                <w:rFonts w:ascii="Arial" w:cs="Arial" w:eastAsia="Arial" w:hAnsi="Arial"/>
                <w:sz w:val="14"/>
                <w:szCs w:val="14"/>
                <w:color w:val="auto"/>
              </w:rPr>
              <w:t>10</w:t>
            </w:r>
          </w:p>
        </w:tc>
        <w:tc>
          <w:tcPr>
            <w:tcW w:w="1360" w:type="dxa"/>
            <w:vAlign w:val="bottom"/>
            <w:shd w:val="clear" w:color="auto" w:fill="F4F3F3"/>
          </w:tcPr>
          <w:p>
            <w:pPr>
              <w:jc w:val="right"/>
              <w:ind w:right="388"/>
              <w:spacing w:after="0"/>
              <w:rPr>
                <w:sz w:val="20"/>
                <w:szCs w:val="20"/>
                <w:color w:val="auto"/>
              </w:rPr>
            </w:pPr>
            <w:r>
              <w:rPr>
                <w:rFonts w:ascii="Arial" w:cs="Arial" w:eastAsia="Arial" w:hAnsi="Arial"/>
                <w:sz w:val="14"/>
                <w:szCs w:val="14"/>
                <w:color w:val="auto"/>
              </w:rPr>
              <w:t>15</w:t>
            </w:r>
          </w:p>
        </w:tc>
        <w:tc>
          <w:tcPr>
            <w:tcW w:w="600" w:type="dxa"/>
            <w:vAlign w:val="bottom"/>
            <w:shd w:val="clear" w:color="auto" w:fill="F4F3F3"/>
          </w:tcPr>
          <w:p>
            <w:pPr>
              <w:jc w:val="right"/>
              <w:ind w:right="68"/>
              <w:spacing w:after="0"/>
              <w:rPr>
                <w:sz w:val="20"/>
                <w:szCs w:val="20"/>
                <w:color w:val="auto"/>
              </w:rPr>
            </w:pPr>
            <w:r>
              <w:rPr>
                <w:rFonts w:ascii="Arial" w:cs="Arial" w:eastAsia="Arial" w:hAnsi="Arial"/>
                <w:sz w:val="14"/>
                <w:szCs w:val="14"/>
                <w:color w:val="auto"/>
              </w:rPr>
              <w:t>100</w:t>
            </w:r>
          </w:p>
        </w:tc>
        <w:tc>
          <w:tcPr>
            <w:tcW w:w="880" w:type="dxa"/>
            <w:vAlign w:val="bottom"/>
            <w:shd w:val="clear" w:color="auto" w:fill="F4F3F3"/>
          </w:tcPr>
          <w:p>
            <w:pPr>
              <w:ind w:left="220"/>
              <w:spacing w:after="0"/>
              <w:rPr>
                <w:sz w:val="20"/>
                <w:szCs w:val="20"/>
                <w:color w:val="auto"/>
              </w:rPr>
            </w:pPr>
            <w:r>
              <w:rPr>
                <w:rFonts w:ascii="Arial" w:cs="Arial" w:eastAsia="Arial" w:hAnsi="Arial"/>
                <w:sz w:val="14"/>
                <w:szCs w:val="14"/>
                <w:color w:val="auto"/>
              </w:rPr>
              <w:t>186%</w:t>
            </w:r>
          </w:p>
        </w:tc>
      </w:tr>
    </w:tbl>
    <w:p>
      <w:pPr>
        <w:spacing w:after="0" w:line="230" w:lineRule="exact"/>
        <w:rPr>
          <w:sz w:val="20"/>
          <w:szCs w:val="20"/>
          <w:color w:val="auto"/>
        </w:rPr>
      </w:pPr>
    </w:p>
    <w:p>
      <w:pPr>
        <w:ind w:left="420" w:right="120" w:hanging="210"/>
        <w:spacing w:after="0" w:line="187" w:lineRule="auto"/>
        <w:tabs>
          <w:tab w:leader="none" w:pos="420" w:val="left"/>
        </w:tabs>
        <w:numPr>
          <w:ilvl w:val="0"/>
          <w:numId w:val="90"/>
        </w:numPr>
        <w:rPr>
          <w:rFonts w:ascii="Arial" w:cs="Arial" w:eastAsia="Arial" w:hAnsi="Arial"/>
          <w:sz w:val="24"/>
          <w:szCs w:val="24"/>
          <w:color w:val="333333"/>
          <w:vertAlign w:val="superscript"/>
        </w:rPr>
      </w:pPr>
      <w:r>
        <w:rPr>
          <w:rFonts w:ascii="Arial" w:cs="Arial" w:eastAsia="Arial" w:hAnsi="Arial"/>
          <w:sz w:val="14"/>
          <w:szCs w:val="14"/>
          <w:color w:val="333333"/>
        </w:rPr>
        <w:t>Each of these factors is measured against Company-wide results except that Mr. Grissen’s components are measured against the Americas division, his primary area of responsibility. Ms. Linnartz’s cash incentive plan includes a Global Sales component, a major area of responsibility for her.</w:t>
      </w:r>
    </w:p>
    <w:p>
      <w:pPr>
        <w:spacing w:after="0" w:line="1" w:lineRule="exact"/>
        <w:rPr>
          <w:rFonts w:ascii="Arial" w:cs="Arial" w:eastAsia="Arial" w:hAnsi="Arial"/>
          <w:sz w:val="24"/>
          <w:szCs w:val="24"/>
          <w:color w:val="333333"/>
          <w:vertAlign w:val="superscript"/>
        </w:rPr>
      </w:pPr>
    </w:p>
    <w:p>
      <w:pPr>
        <w:ind w:left="420" w:right="240" w:hanging="210"/>
        <w:spacing w:after="0" w:line="194" w:lineRule="auto"/>
        <w:tabs>
          <w:tab w:leader="none" w:pos="420" w:val="left"/>
        </w:tabs>
        <w:numPr>
          <w:ilvl w:val="0"/>
          <w:numId w:val="90"/>
        </w:numPr>
        <w:rPr>
          <w:rFonts w:ascii="Arial" w:cs="Arial" w:eastAsia="Arial" w:hAnsi="Arial"/>
          <w:sz w:val="24"/>
          <w:szCs w:val="24"/>
          <w:color w:val="333333"/>
          <w:vertAlign w:val="superscript"/>
        </w:rPr>
      </w:pPr>
      <w:r>
        <w:rPr>
          <w:rFonts w:ascii="Arial" w:cs="Arial" w:eastAsia="Arial" w:hAnsi="Arial"/>
          <w:sz w:val="14"/>
          <w:szCs w:val="14"/>
          <w:color w:val="333333"/>
        </w:rPr>
        <w:t>The Individual Achievement component’s weighting increased by 5% for 2017 for each of the NEOs, except Mr. Capuano, as a result of the temporary removal of the Guest Satisfaction component which will be reintroduced in 2018 after the Company incorporates a combined reporting system that reflects/incorporates the Starwood combination. For 2018, the Individual Achievement component will only have a 5% weighting for each NEO.</w:t>
      </w:r>
    </w:p>
    <w:p>
      <w:pPr>
        <w:spacing w:after="0" w:line="2" w:lineRule="exact"/>
        <w:rPr>
          <w:rFonts w:ascii="Arial" w:cs="Arial" w:eastAsia="Arial" w:hAnsi="Arial"/>
          <w:sz w:val="24"/>
          <w:szCs w:val="24"/>
          <w:color w:val="333333"/>
          <w:vertAlign w:val="superscript"/>
        </w:rPr>
      </w:pPr>
    </w:p>
    <w:p>
      <w:pPr>
        <w:ind w:left="420" w:right="340" w:hanging="210"/>
        <w:spacing w:after="0" w:line="185" w:lineRule="auto"/>
        <w:tabs>
          <w:tab w:leader="none" w:pos="420" w:val="left"/>
        </w:tabs>
        <w:numPr>
          <w:ilvl w:val="0"/>
          <w:numId w:val="90"/>
        </w:numPr>
        <w:rPr>
          <w:rFonts w:ascii="Arial" w:cs="Arial" w:eastAsia="Arial" w:hAnsi="Arial"/>
          <w:sz w:val="24"/>
          <w:szCs w:val="24"/>
          <w:color w:val="333333"/>
          <w:vertAlign w:val="superscript"/>
        </w:rPr>
      </w:pPr>
      <w:r>
        <w:rPr>
          <w:rFonts w:ascii="Arial" w:cs="Arial" w:eastAsia="Arial" w:hAnsi="Arial"/>
          <w:sz w:val="14"/>
          <w:szCs w:val="14"/>
          <w:color w:val="333333"/>
        </w:rPr>
        <w:t>We report the potential payouts under the annual cash incentive program for 2017 in dollars in the Grants of Plan-Based Awards for Fiscal 2017 table, and the actual amounts earned under the annual cash incentive program for 2017 in dollars in the Summary Compensation Table following the CD&amp;A.</w:t>
      </w:r>
    </w:p>
    <w:p>
      <w:pPr>
        <w:spacing w:after="0" w:line="62" w:lineRule="exact"/>
        <w:rPr>
          <w:sz w:val="20"/>
          <w:szCs w:val="20"/>
          <w:color w:val="auto"/>
        </w:rPr>
      </w:pPr>
    </w:p>
    <w:p>
      <w:pPr>
        <w:ind w:left="220" w:right="500"/>
        <w:spacing w:after="0" w:line="274" w:lineRule="auto"/>
        <w:rPr>
          <w:sz w:val="20"/>
          <w:szCs w:val="20"/>
          <w:color w:val="auto"/>
        </w:rPr>
      </w:pPr>
      <w:r>
        <w:rPr>
          <w:rFonts w:ascii="Arial" w:cs="Arial" w:eastAsia="Arial" w:hAnsi="Arial"/>
          <w:sz w:val="17"/>
          <w:szCs w:val="17"/>
          <w:color w:val="auto"/>
        </w:rPr>
        <w:t>The performance factors for each NEO under the annual cash incentive program for 2017 are described following the Grants of Plan-Based Awards for Fiscal 2017 table on page 47.</w:t>
      </w:r>
    </w:p>
    <w:p>
      <w:pPr>
        <w:spacing w:after="0" w:line="85" w:lineRule="exact"/>
        <w:rPr>
          <w:sz w:val="20"/>
          <w:szCs w:val="20"/>
          <w:color w:val="auto"/>
        </w:rPr>
      </w:pPr>
    </w:p>
    <w:p>
      <w:pPr>
        <w:ind w:left="540" w:hanging="330"/>
        <w:spacing w:after="0"/>
        <w:tabs>
          <w:tab w:leader="none" w:pos="540" w:val="left"/>
        </w:tabs>
        <w:numPr>
          <w:ilvl w:val="0"/>
          <w:numId w:val="91"/>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20"/>
          </w:cols>
          <w:pgMar w:left="240" w:top="455" w:right="4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1" w:lineRule="exact"/>
        <w:rPr>
          <w:sz w:val="20"/>
          <w:szCs w:val="20"/>
          <w:color w:val="auto"/>
        </w:rPr>
      </w:pPr>
    </w:p>
    <w:p>
      <w:pPr>
        <w:ind w:left="220" w:right="240"/>
        <w:spacing w:after="0" w:line="274" w:lineRule="auto"/>
        <w:rPr>
          <w:sz w:val="20"/>
          <w:szCs w:val="20"/>
          <w:color w:val="auto"/>
        </w:rPr>
      </w:pPr>
      <w:r>
        <w:rPr>
          <w:rFonts w:ascii="Arial" w:cs="Arial" w:eastAsia="Arial" w:hAnsi="Arial"/>
          <w:sz w:val="17"/>
          <w:szCs w:val="17"/>
          <w:color w:val="auto"/>
        </w:rPr>
        <w:t>The graph below sets forth the Company’s performance, compared to target, for the Company-wide performance goals applicable to our NEOs under the annual cash incentive program for 2017 compared to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128270</wp:posOffset>
            </wp:positionV>
            <wp:extent cx="7023735" cy="27324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023735" cy="2732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20" w:right="360" w:hanging="210"/>
        <w:spacing w:after="0" w:line="290" w:lineRule="auto"/>
        <w:tabs>
          <w:tab w:leader="none" w:pos="420" w:val="left"/>
        </w:tabs>
        <w:numPr>
          <w:ilvl w:val="0"/>
          <w:numId w:val="92"/>
        </w:numPr>
        <w:rPr>
          <w:rFonts w:ascii="Arial" w:cs="Arial" w:eastAsia="Arial" w:hAnsi="Arial"/>
          <w:sz w:val="14"/>
          <w:szCs w:val="14"/>
          <w:color w:val="333333"/>
        </w:rPr>
      </w:pPr>
      <w:r>
        <w:rPr>
          <w:rFonts w:ascii="Arial" w:cs="Arial" w:eastAsia="Arial" w:hAnsi="Arial"/>
          <w:sz w:val="14"/>
          <w:szCs w:val="14"/>
          <w:color w:val="333333"/>
        </w:rPr>
        <w:t>For the Americas Division, 2017 Adjusted Operating Profit achievement versus target was 107% and 2016 Adjusted Operating Profit Achievement versus target was 99.5%.</w:t>
      </w:r>
    </w:p>
    <w:p>
      <w:pPr>
        <w:spacing w:after="0" w:line="138"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7F7F7F"/>
        </w:rPr>
        <w:t>Special Supplemental Bonus</w:t>
      </w:r>
    </w:p>
    <w:p>
      <w:pPr>
        <w:spacing w:after="0" w:line="99" w:lineRule="exact"/>
        <w:rPr>
          <w:sz w:val="20"/>
          <w:szCs w:val="20"/>
          <w:color w:val="auto"/>
        </w:rPr>
      </w:pPr>
    </w:p>
    <w:p>
      <w:pPr>
        <w:ind w:left="220" w:right="20"/>
        <w:spacing w:after="0" w:line="235" w:lineRule="auto"/>
        <w:rPr>
          <w:sz w:val="20"/>
          <w:szCs w:val="20"/>
          <w:color w:val="auto"/>
        </w:rPr>
      </w:pPr>
      <w:r>
        <w:rPr>
          <w:rFonts w:ascii="Arial" w:cs="Arial" w:eastAsia="Arial" w:hAnsi="Arial"/>
          <w:sz w:val="17"/>
          <w:szCs w:val="17"/>
          <w:color w:val="auto"/>
        </w:rPr>
        <w:t>Taking into consideration the unique nature of the Starwood combination and the Company’s success in maintaining strong quality and brand control over our legacy Marriott operations while maintaining the brand reputation and managing the successful integration of the Starwood operations, and the management team’s success in building stockholder value through this transformative merger, the Committee approved a one-time supplemental cash bonus for 2017 in the amount of $500,000 to each of the NEOs and the Board approved a one-time supplemental cash bonus for 2017 in the amount of $1,000,000 for Mr. Sorenson. The purpose of the bonus is to reward senior management for its outstanding performance in 2017 regarding the ongoing seamless integration of Starwood while promoting strong performance in the Company’s legacy operations. In particular, the Board cited strong performance across a broad array of criteria, including high levels of associate engagement, human capital development, completion of co-branded credit card deals, successful asset sales, work toward linking and combining loyalty programs, and progress toward improved leverage in the competitive marketplace. Based on its review of the potential upside in Marriott’s ongoing compensation program and market data/practices, the Committee determined not to increase overall target or maximum compensation levels but instead to maintain the compensation program design and reward this unique value creation event through a supplemental cash bonus. The supplemental cash bonus amounts were determined by the Committee with the objective that the award would result in compensation for each of the NEOs that is well-aligned with the Company’s pay-for-performance philosophy and exceptionally strong 2017 performance.</w:t>
      </w:r>
    </w:p>
    <w:p>
      <w:pPr>
        <w:spacing w:after="0" w:line="120" w:lineRule="exact"/>
        <w:rPr>
          <w:sz w:val="20"/>
          <w:szCs w:val="20"/>
          <w:color w:val="auto"/>
        </w:rPr>
      </w:pPr>
    </w:p>
    <w:tbl>
      <w:tblPr>
        <w:tblLayout w:type="fixed"/>
        <w:tblInd w:w="9180" w:type="dxa"/>
        <w:tblCellMar>
          <w:top w:w="0" w:type="dxa"/>
          <w:left w:w="0" w:type="dxa"/>
          <w:bottom w:w="0" w:type="dxa"/>
          <w:right w:w="0" w:type="dxa"/>
        </w:tblCellMar>
      </w:tblPr>
      <w:tr>
        <w:trPr>
          <w:trHeight w:val="214"/>
        </w:trPr>
        <w:tc>
          <w:tcPr>
            <w:tcW w:w="1660" w:type="dxa"/>
            <w:vAlign w:val="bottom"/>
          </w:tcPr>
          <w:p>
            <w:pPr>
              <w:spacing w:after="0"/>
              <w:rPr>
                <w:sz w:val="20"/>
                <w:szCs w:val="20"/>
                <w:color w:val="auto"/>
              </w:rPr>
            </w:pPr>
            <w:r>
              <w:rPr>
                <w:rFonts w:ascii="Arial" w:cs="Arial" w:eastAsia="Arial" w:hAnsi="Arial"/>
                <w:sz w:val="15"/>
                <w:szCs w:val="15"/>
                <w:color w:val="998C87"/>
              </w:rPr>
              <w:t>2018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37</w:t>
            </w:r>
          </w:p>
        </w:tc>
      </w:tr>
    </w:tbl>
    <w:p>
      <w:pPr>
        <w:sectPr>
          <w:pgSz w:w="11900" w:h="16838" w:orient="portrait"/>
          <w:cols w:equalWidth="0" w:num="1">
            <w:col w:w="11220"/>
          </w:cols>
          <w:pgMar w:left="240" w:top="455" w:right="4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7F7F7F"/>
        </w:rPr>
        <w:t>Long-Term Incentive Awards</w:t>
      </w:r>
    </w:p>
    <w:p>
      <w:pPr>
        <w:spacing w:after="0" w:line="101"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7F7F7F"/>
        </w:rPr>
        <w:t>Annual Stock Awards</w:t>
      </w:r>
    </w:p>
    <w:p>
      <w:pPr>
        <w:spacing w:after="0" w:line="99" w:lineRule="exact"/>
        <w:rPr>
          <w:sz w:val="20"/>
          <w:szCs w:val="20"/>
          <w:color w:val="auto"/>
        </w:rPr>
      </w:pPr>
    </w:p>
    <w:p>
      <w:pPr>
        <w:ind w:left="220" w:right="60"/>
        <w:spacing w:after="0" w:line="246" w:lineRule="auto"/>
        <w:rPr>
          <w:sz w:val="20"/>
          <w:szCs w:val="20"/>
          <w:color w:val="auto"/>
        </w:rPr>
      </w:pPr>
      <w:r>
        <w:rPr>
          <w:rFonts w:ascii="Arial" w:cs="Arial" w:eastAsia="Arial" w:hAnsi="Arial"/>
          <w:sz w:val="17"/>
          <w:szCs w:val="17"/>
          <w:color w:val="auto"/>
        </w:rPr>
        <w:t>The Company grants equity compensation awards to the NEOs under the Marriott International, Inc. Stock and Cash Incentive Plan (the “Stock Plan”) on an annual basis to help link NEO pay to long-term Company performance and to align the interests of NEOs with those of stockholders. The Committee approved 2017 annual equity awards based on the Committee’s review of external market data, individual performance, and internal pay equity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142875</wp:posOffset>
            </wp:positionV>
            <wp:extent cx="6989445" cy="12077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89445" cy="1207770"/>
                    </a:xfrm>
                    <a:prstGeom prst="rect">
                      <a:avLst/>
                    </a:prstGeom>
                    <a:noFill/>
                  </pic:spPr>
                </pic:pic>
              </a:graphicData>
            </a:graphic>
          </wp:anchor>
        </w:drawing>
      </w:r>
    </w:p>
    <w:p>
      <w:pPr>
        <w:spacing w:after="0" w:line="190"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4150" w:type="dxa"/>
            <w:vAlign w:val="bottom"/>
            <w:shd w:val="clear" w:color="auto" w:fill="998C87"/>
          </w:tcPr>
          <w:p>
            <w:pPr>
              <w:spacing w:after="0"/>
              <w:rPr>
                <w:sz w:val="16"/>
                <w:szCs w:val="16"/>
                <w:color w:val="auto"/>
              </w:rPr>
            </w:pPr>
          </w:p>
        </w:tc>
        <w:tc>
          <w:tcPr>
            <w:tcW w:w="2390" w:type="dxa"/>
            <w:vAlign w:val="bottom"/>
            <w:shd w:val="clear" w:color="auto" w:fill="998C87"/>
          </w:tcPr>
          <w:p>
            <w:pPr>
              <w:jc w:val="center"/>
              <w:ind w:right="6"/>
              <w:spacing w:after="0"/>
              <w:rPr>
                <w:sz w:val="20"/>
                <w:szCs w:val="20"/>
                <w:color w:val="auto"/>
              </w:rPr>
            </w:pPr>
            <w:r>
              <w:rPr>
                <w:rFonts w:ascii="Arial" w:cs="Arial" w:eastAsia="Arial" w:hAnsi="Arial"/>
                <w:sz w:val="16"/>
                <w:szCs w:val="16"/>
                <w:b w:val="1"/>
                <w:bCs w:val="1"/>
                <w:color w:val="FFFFFF"/>
              </w:rPr>
              <w:t>2017 Target Grant Date</w:t>
            </w:r>
          </w:p>
        </w:tc>
        <w:tc>
          <w:tcPr>
            <w:tcW w:w="250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2016 Target Grant Date</w:t>
            </w:r>
          </w:p>
        </w:tc>
        <w:tc>
          <w:tcPr>
            <w:tcW w:w="1960" w:type="dxa"/>
            <w:vAlign w:val="bottom"/>
            <w:shd w:val="clear" w:color="auto" w:fill="998C87"/>
          </w:tcPr>
          <w:p>
            <w:pPr>
              <w:spacing w:after="0"/>
              <w:rPr>
                <w:sz w:val="16"/>
                <w:szCs w:val="16"/>
                <w:color w:val="auto"/>
              </w:rPr>
            </w:pPr>
          </w:p>
        </w:tc>
      </w:tr>
      <w:tr>
        <w:trPr>
          <w:trHeight w:val="189"/>
        </w:trPr>
        <w:tc>
          <w:tcPr>
            <w:tcW w:w="4150" w:type="dxa"/>
            <w:vAlign w:val="bottom"/>
            <w:shd w:val="clear" w:color="auto" w:fill="998C87"/>
          </w:tcPr>
          <w:p>
            <w:pPr>
              <w:spacing w:after="0"/>
              <w:rPr>
                <w:sz w:val="16"/>
                <w:szCs w:val="16"/>
                <w:color w:val="auto"/>
              </w:rPr>
            </w:pPr>
          </w:p>
        </w:tc>
        <w:tc>
          <w:tcPr>
            <w:tcW w:w="2390" w:type="dxa"/>
            <w:vAlign w:val="bottom"/>
            <w:shd w:val="clear" w:color="auto" w:fill="998C87"/>
          </w:tcPr>
          <w:p>
            <w:pPr>
              <w:jc w:val="center"/>
              <w:ind w:right="6"/>
              <w:spacing w:after="0"/>
              <w:rPr>
                <w:sz w:val="20"/>
                <w:szCs w:val="20"/>
                <w:color w:val="auto"/>
              </w:rPr>
            </w:pPr>
            <w:r>
              <w:rPr>
                <w:rFonts w:ascii="Arial" w:cs="Arial" w:eastAsia="Arial" w:hAnsi="Arial"/>
                <w:sz w:val="16"/>
                <w:szCs w:val="16"/>
                <w:b w:val="1"/>
                <w:bCs w:val="1"/>
                <w:color w:val="FFFFFF"/>
              </w:rPr>
              <w:t>Fair Value of Annual</w:t>
            </w:r>
          </w:p>
        </w:tc>
        <w:tc>
          <w:tcPr>
            <w:tcW w:w="250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Fair Value of Annual</w:t>
            </w:r>
          </w:p>
        </w:tc>
        <w:tc>
          <w:tcPr>
            <w:tcW w:w="1960" w:type="dxa"/>
            <w:vAlign w:val="bottom"/>
            <w:shd w:val="clear" w:color="auto" w:fill="998C87"/>
          </w:tcPr>
          <w:p>
            <w:pPr>
              <w:spacing w:after="0"/>
              <w:rPr>
                <w:sz w:val="16"/>
                <w:szCs w:val="16"/>
                <w:color w:val="auto"/>
              </w:rPr>
            </w:pPr>
          </w:p>
        </w:tc>
      </w:tr>
      <w:tr>
        <w:trPr>
          <w:trHeight w:val="209"/>
        </w:trPr>
        <w:tc>
          <w:tcPr>
            <w:tcW w:w="4150" w:type="dxa"/>
            <w:vAlign w:val="bottom"/>
            <w:shd w:val="clear" w:color="auto" w:fill="998C87"/>
          </w:tcPr>
          <w:p>
            <w:pPr>
              <w:spacing w:after="0"/>
              <w:rPr>
                <w:sz w:val="18"/>
                <w:szCs w:val="18"/>
                <w:color w:val="auto"/>
              </w:rPr>
            </w:pPr>
          </w:p>
        </w:tc>
        <w:tc>
          <w:tcPr>
            <w:tcW w:w="2390" w:type="dxa"/>
            <w:vAlign w:val="bottom"/>
            <w:shd w:val="clear" w:color="auto" w:fill="998C87"/>
          </w:tcPr>
          <w:p>
            <w:pPr>
              <w:jc w:val="center"/>
              <w:ind w:right="6"/>
              <w:spacing w:after="0"/>
              <w:rPr>
                <w:sz w:val="20"/>
                <w:szCs w:val="20"/>
                <w:color w:val="auto"/>
              </w:rPr>
            </w:pPr>
            <w:r>
              <w:rPr>
                <w:rFonts w:ascii="Arial" w:cs="Arial" w:eastAsia="Arial" w:hAnsi="Arial"/>
                <w:sz w:val="16"/>
                <w:szCs w:val="16"/>
                <w:b w:val="1"/>
                <w:bCs w:val="1"/>
                <w:color w:val="FFFFFF"/>
              </w:rPr>
              <w:t>Stock Awards ($)</w:t>
            </w:r>
          </w:p>
        </w:tc>
        <w:tc>
          <w:tcPr>
            <w:tcW w:w="250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Stock Awards ($)</w:t>
            </w:r>
          </w:p>
        </w:tc>
        <w:tc>
          <w:tcPr>
            <w:tcW w:w="1960" w:type="dxa"/>
            <w:vAlign w:val="bottom"/>
            <w:shd w:val="clear" w:color="auto" w:fill="998C87"/>
          </w:tcPr>
          <w:p>
            <w:pPr>
              <w:jc w:val="right"/>
              <w:spacing w:after="0"/>
              <w:rPr>
                <w:sz w:val="20"/>
                <w:szCs w:val="20"/>
                <w:color w:val="auto"/>
              </w:rPr>
            </w:pPr>
            <w:r>
              <w:rPr>
                <w:rFonts w:ascii="Arial" w:cs="Arial" w:eastAsia="Arial" w:hAnsi="Arial"/>
                <w:sz w:val="16"/>
                <w:szCs w:val="16"/>
                <w:b w:val="1"/>
                <w:bCs w:val="1"/>
                <w:color w:val="FFFFFF"/>
              </w:rPr>
              <w:t>2016 to 2017 Change (%)</w:t>
            </w:r>
          </w:p>
        </w:tc>
      </w:tr>
      <w:tr>
        <w:trPr>
          <w:trHeight w:val="270"/>
        </w:trPr>
        <w:tc>
          <w:tcPr>
            <w:tcW w:w="4150" w:type="dxa"/>
            <w:vAlign w:val="bottom"/>
            <w:shd w:val="clear" w:color="auto" w:fill="F4F3F3"/>
          </w:tcPr>
          <w:p>
            <w:pPr>
              <w:ind w:left="80"/>
              <w:spacing w:after="0"/>
              <w:rPr>
                <w:sz w:val="20"/>
                <w:szCs w:val="20"/>
                <w:color w:val="auto"/>
              </w:rPr>
            </w:pPr>
            <w:r>
              <w:rPr>
                <w:rFonts w:ascii="Arial" w:cs="Arial" w:eastAsia="Arial" w:hAnsi="Arial"/>
                <w:sz w:val="17"/>
                <w:szCs w:val="17"/>
                <w:color w:val="998C87"/>
              </w:rPr>
              <w:t>J.W. Marriott, Jr.</w:t>
            </w:r>
          </w:p>
        </w:tc>
        <w:tc>
          <w:tcPr>
            <w:tcW w:w="2390" w:type="dxa"/>
            <w:vAlign w:val="bottom"/>
            <w:shd w:val="clear" w:color="auto" w:fill="F4F3F3"/>
          </w:tcPr>
          <w:p>
            <w:pPr>
              <w:jc w:val="right"/>
              <w:ind w:right="76"/>
              <w:spacing w:after="0"/>
              <w:rPr>
                <w:sz w:val="20"/>
                <w:szCs w:val="20"/>
                <w:color w:val="auto"/>
              </w:rPr>
            </w:pPr>
            <w:r>
              <w:rPr>
                <w:rFonts w:ascii="Arial" w:cs="Arial" w:eastAsia="Arial" w:hAnsi="Arial"/>
                <w:sz w:val="17"/>
                <w:szCs w:val="17"/>
                <w:color w:val="auto"/>
              </w:rPr>
              <w:t>n/a</w:t>
            </w:r>
          </w:p>
        </w:tc>
        <w:tc>
          <w:tcPr>
            <w:tcW w:w="2500" w:type="dxa"/>
            <w:vAlign w:val="bottom"/>
            <w:shd w:val="clear" w:color="auto" w:fill="F4F3F3"/>
          </w:tcPr>
          <w:p>
            <w:pPr>
              <w:ind w:left="2120"/>
              <w:spacing w:after="0"/>
              <w:rPr>
                <w:sz w:val="20"/>
                <w:szCs w:val="20"/>
                <w:color w:val="auto"/>
              </w:rPr>
            </w:pPr>
            <w:r>
              <w:rPr>
                <w:rFonts w:ascii="Arial" w:cs="Arial" w:eastAsia="Arial" w:hAnsi="Arial"/>
                <w:sz w:val="17"/>
                <w:szCs w:val="17"/>
                <w:color w:val="auto"/>
              </w:rPr>
              <w:t>n/a</w:t>
            </w:r>
          </w:p>
        </w:tc>
        <w:tc>
          <w:tcPr>
            <w:tcW w:w="196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n/a</w:t>
            </w:r>
          </w:p>
        </w:tc>
      </w:tr>
      <w:tr>
        <w:trPr>
          <w:trHeight w:val="216"/>
        </w:trPr>
        <w:tc>
          <w:tcPr>
            <w:tcW w:w="4150" w:type="dxa"/>
            <w:vAlign w:val="bottom"/>
            <w:shd w:val="clear" w:color="auto" w:fill="F4F3F3"/>
          </w:tcPr>
          <w:p>
            <w:pPr>
              <w:ind w:left="80"/>
              <w:spacing w:after="0"/>
              <w:rPr>
                <w:sz w:val="20"/>
                <w:szCs w:val="20"/>
                <w:color w:val="auto"/>
              </w:rPr>
            </w:pPr>
            <w:r>
              <w:rPr>
                <w:rFonts w:ascii="Arial" w:cs="Arial" w:eastAsia="Arial" w:hAnsi="Arial"/>
                <w:sz w:val="17"/>
                <w:szCs w:val="17"/>
                <w:color w:val="998C87"/>
              </w:rPr>
              <w:t>Arne M. Sorenson</w:t>
            </w:r>
          </w:p>
        </w:tc>
        <w:tc>
          <w:tcPr>
            <w:tcW w:w="2390" w:type="dxa"/>
            <w:vAlign w:val="bottom"/>
            <w:shd w:val="clear" w:color="auto" w:fill="F4F3F3"/>
          </w:tcPr>
          <w:p>
            <w:pPr>
              <w:jc w:val="right"/>
              <w:ind w:right="76"/>
              <w:spacing w:after="0"/>
              <w:rPr>
                <w:sz w:val="20"/>
                <w:szCs w:val="20"/>
                <w:color w:val="auto"/>
              </w:rPr>
            </w:pPr>
            <w:r>
              <w:rPr>
                <w:rFonts w:ascii="Arial" w:cs="Arial" w:eastAsia="Arial" w:hAnsi="Arial"/>
                <w:sz w:val="17"/>
                <w:szCs w:val="17"/>
                <w:color w:val="auto"/>
              </w:rPr>
              <w:t>7,149,542</w:t>
            </w:r>
          </w:p>
        </w:tc>
        <w:tc>
          <w:tcPr>
            <w:tcW w:w="2500" w:type="dxa"/>
            <w:vAlign w:val="bottom"/>
            <w:shd w:val="clear" w:color="auto" w:fill="F4F3F3"/>
          </w:tcPr>
          <w:p>
            <w:pPr>
              <w:ind w:left="1600"/>
              <w:spacing w:after="0"/>
              <w:rPr>
                <w:sz w:val="20"/>
                <w:szCs w:val="20"/>
                <w:color w:val="auto"/>
              </w:rPr>
            </w:pPr>
            <w:r>
              <w:rPr>
                <w:rFonts w:ascii="Arial" w:cs="Arial" w:eastAsia="Arial" w:hAnsi="Arial"/>
                <w:sz w:val="17"/>
                <w:szCs w:val="17"/>
                <w:color w:val="auto"/>
              </w:rPr>
              <w:t>5,664,173</w:t>
            </w:r>
          </w:p>
        </w:tc>
        <w:tc>
          <w:tcPr>
            <w:tcW w:w="196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26</w:t>
            </w:r>
          </w:p>
        </w:tc>
      </w:tr>
      <w:tr>
        <w:trPr>
          <w:trHeight w:val="216"/>
        </w:trPr>
        <w:tc>
          <w:tcPr>
            <w:tcW w:w="4150" w:type="dxa"/>
            <w:vAlign w:val="bottom"/>
            <w:shd w:val="clear" w:color="auto" w:fill="F4F3F3"/>
          </w:tcPr>
          <w:p>
            <w:pPr>
              <w:ind w:left="80"/>
              <w:spacing w:after="0"/>
              <w:rPr>
                <w:sz w:val="20"/>
                <w:szCs w:val="20"/>
                <w:color w:val="auto"/>
              </w:rPr>
            </w:pPr>
            <w:r>
              <w:rPr>
                <w:rFonts w:ascii="Arial" w:cs="Arial" w:eastAsia="Arial" w:hAnsi="Arial"/>
                <w:sz w:val="17"/>
                <w:szCs w:val="17"/>
                <w:color w:val="998C87"/>
              </w:rPr>
              <w:t>Anthony G. Capuano</w:t>
            </w:r>
          </w:p>
        </w:tc>
        <w:tc>
          <w:tcPr>
            <w:tcW w:w="2390" w:type="dxa"/>
            <w:vAlign w:val="bottom"/>
            <w:shd w:val="clear" w:color="auto" w:fill="F4F3F3"/>
          </w:tcPr>
          <w:p>
            <w:pPr>
              <w:jc w:val="right"/>
              <w:ind w:right="76"/>
              <w:spacing w:after="0"/>
              <w:rPr>
                <w:sz w:val="20"/>
                <w:szCs w:val="20"/>
                <w:color w:val="auto"/>
              </w:rPr>
            </w:pPr>
            <w:r>
              <w:rPr>
                <w:rFonts w:ascii="Arial" w:cs="Arial" w:eastAsia="Arial" w:hAnsi="Arial"/>
                <w:sz w:val="17"/>
                <w:szCs w:val="17"/>
                <w:color w:val="auto"/>
              </w:rPr>
              <w:t>3,263,554</w:t>
            </w:r>
          </w:p>
        </w:tc>
        <w:tc>
          <w:tcPr>
            <w:tcW w:w="2500" w:type="dxa"/>
            <w:vAlign w:val="bottom"/>
            <w:shd w:val="clear" w:color="auto" w:fill="F4F3F3"/>
          </w:tcPr>
          <w:p>
            <w:pPr>
              <w:ind w:left="1600"/>
              <w:spacing w:after="0"/>
              <w:rPr>
                <w:sz w:val="20"/>
                <w:szCs w:val="20"/>
                <w:color w:val="auto"/>
              </w:rPr>
            </w:pPr>
            <w:r>
              <w:rPr>
                <w:rFonts w:ascii="Arial" w:cs="Arial" w:eastAsia="Arial" w:hAnsi="Arial"/>
                <w:sz w:val="17"/>
                <w:szCs w:val="17"/>
                <w:color w:val="auto"/>
              </w:rPr>
              <w:t>2,947,093</w:t>
            </w:r>
          </w:p>
        </w:tc>
        <w:tc>
          <w:tcPr>
            <w:tcW w:w="196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11</w:t>
            </w:r>
          </w:p>
        </w:tc>
      </w:tr>
      <w:tr>
        <w:trPr>
          <w:trHeight w:val="216"/>
        </w:trPr>
        <w:tc>
          <w:tcPr>
            <w:tcW w:w="4150" w:type="dxa"/>
            <w:vAlign w:val="bottom"/>
            <w:shd w:val="clear" w:color="auto" w:fill="F4F3F3"/>
          </w:tcPr>
          <w:p>
            <w:pPr>
              <w:ind w:left="80"/>
              <w:spacing w:after="0"/>
              <w:rPr>
                <w:sz w:val="20"/>
                <w:szCs w:val="20"/>
                <w:color w:val="auto"/>
              </w:rPr>
            </w:pPr>
            <w:r>
              <w:rPr>
                <w:rFonts w:ascii="Arial" w:cs="Arial" w:eastAsia="Arial" w:hAnsi="Arial"/>
                <w:sz w:val="17"/>
                <w:szCs w:val="17"/>
                <w:color w:val="998C87"/>
              </w:rPr>
              <w:t>Stephanie C. Linnartz</w:t>
            </w:r>
          </w:p>
        </w:tc>
        <w:tc>
          <w:tcPr>
            <w:tcW w:w="2390" w:type="dxa"/>
            <w:vAlign w:val="bottom"/>
            <w:shd w:val="clear" w:color="auto" w:fill="F4F3F3"/>
          </w:tcPr>
          <w:p>
            <w:pPr>
              <w:jc w:val="right"/>
              <w:ind w:right="76"/>
              <w:spacing w:after="0"/>
              <w:rPr>
                <w:sz w:val="20"/>
                <w:szCs w:val="20"/>
                <w:color w:val="auto"/>
              </w:rPr>
            </w:pPr>
            <w:r>
              <w:rPr>
                <w:rFonts w:ascii="Arial" w:cs="Arial" w:eastAsia="Arial" w:hAnsi="Arial"/>
                <w:sz w:val="17"/>
                <w:szCs w:val="17"/>
                <w:color w:val="auto"/>
              </w:rPr>
              <w:t>2,807,846</w:t>
            </w:r>
          </w:p>
        </w:tc>
        <w:tc>
          <w:tcPr>
            <w:tcW w:w="2500" w:type="dxa"/>
            <w:vAlign w:val="bottom"/>
            <w:shd w:val="clear" w:color="auto" w:fill="F4F3F3"/>
          </w:tcPr>
          <w:p>
            <w:pPr>
              <w:ind w:left="1600"/>
              <w:spacing w:after="0"/>
              <w:rPr>
                <w:sz w:val="20"/>
                <w:szCs w:val="20"/>
                <w:color w:val="auto"/>
              </w:rPr>
            </w:pPr>
            <w:r>
              <w:rPr>
                <w:rFonts w:ascii="Arial" w:cs="Arial" w:eastAsia="Arial" w:hAnsi="Arial"/>
                <w:sz w:val="17"/>
                <w:szCs w:val="17"/>
                <w:color w:val="auto"/>
              </w:rPr>
              <w:t>1,933,851*</w:t>
            </w:r>
          </w:p>
        </w:tc>
        <w:tc>
          <w:tcPr>
            <w:tcW w:w="196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45</w:t>
            </w:r>
          </w:p>
        </w:tc>
      </w:tr>
      <w:tr>
        <w:trPr>
          <w:trHeight w:val="216"/>
        </w:trPr>
        <w:tc>
          <w:tcPr>
            <w:tcW w:w="4150" w:type="dxa"/>
            <w:vAlign w:val="bottom"/>
            <w:shd w:val="clear" w:color="auto" w:fill="F4F3F3"/>
          </w:tcPr>
          <w:p>
            <w:pPr>
              <w:ind w:left="80"/>
              <w:spacing w:after="0"/>
              <w:rPr>
                <w:sz w:val="20"/>
                <w:szCs w:val="20"/>
                <w:color w:val="auto"/>
              </w:rPr>
            </w:pPr>
            <w:r>
              <w:rPr>
                <w:rFonts w:ascii="Arial" w:cs="Arial" w:eastAsia="Arial" w:hAnsi="Arial"/>
                <w:sz w:val="17"/>
                <w:szCs w:val="17"/>
                <w:color w:val="998C87"/>
              </w:rPr>
              <w:t>David J. Grissen</w:t>
            </w:r>
          </w:p>
        </w:tc>
        <w:tc>
          <w:tcPr>
            <w:tcW w:w="2390" w:type="dxa"/>
            <w:vAlign w:val="bottom"/>
            <w:shd w:val="clear" w:color="auto" w:fill="F4F3F3"/>
          </w:tcPr>
          <w:p>
            <w:pPr>
              <w:jc w:val="right"/>
              <w:ind w:right="76"/>
              <w:spacing w:after="0"/>
              <w:rPr>
                <w:sz w:val="20"/>
                <w:szCs w:val="20"/>
                <w:color w:val="auto"/>
              </w:rPr>
            </w:pPr>
            <w:r>
              <w:rPr>
                <w:rFonts w:ascii="Arial" w:cs="Arial" w:eastAsia="Arial" w:hAnsi="Arial"/>
                <w:sz w:val="17"/>
                <w:szCs w:val="17"/>
                <w:color w:val="auto"/>
              </w:rPr>
              <w:t>2,717,274</w:t>
            </w:r>
          </w:p>
        </w:tc>
        <w:tc>
          <w:tcPr>
            <w:tcW w:w="2500" w:type="dxa"/>
            <w:vAlign w:val="bottom"/>
            <w:shd w:val="clear" w:color="auto" w:fill="F4F3F3"/>
          </w:tcPr>
          <w:p>
            <w:pPr>
              <w:ind w:left="1600"/>
              <w:spacing w:after="0"/>
              <w:rPr>
                <w:sz w:val="20"/>
                <w:szCs w:val="20"/>
                <w:color w:val="auto"/>
              </w:rPr>
            </w:pPr>
            <w:r>
              <w:rPr>
                <w:rFonts w:ascii="Arial" w:cs="Arial" w:eastAsia="Arial" w:hAnsi="Arial"/>
                <w:sz w:val="17"/>
                <w:szCs w:val="17"/>
                <w:color w:val="auto"/>
              </w:rPr>
              <w:t>2,360,050</w:t>
            </w:r>
          </w:p>
        </w:tc>
        <w:tc>
          <w:tcPr>
            <w:tcW w:w="196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15</w:t>
            </w:r>
          </w:p>
        </w:tc>
      </w:tr>
      <w:tr>
        <w:trPr>
          <w:trHeight w:val="202"/>
        </w:trPr>
        <w:tc>
          <w:tcPr>
            <w:tcW w:w="4150" w:type="dxa"/>
            <w:vAlign w:val="bottom"/>
            <w:shd w:val="clear" w:color="auto" w:fill="F4F3F3"/>
          </w:tcPr>
          <w:p>
            <w:pPr>
              <w:ind w:left="80"/>
              <w:spacing w:after="0"/>
              <w:rPr>
                <w:sz w:val="20"/>
                <w:szCs w:val="20"/>
                <w:color w:val="auto"/>
              </w:rPr>
            </w:pPr>
            <w:r>
              <w:rPr>
                <w:rFonts w:ascii="Arial" w:cs="Arial" w:eastAsia="Arial" w:hAnsi="Arial"/>
                <w:sz w:val="17"/>
                <w:szCs w:val="17"/>
                <w:color w:val="998C87"/>
              </w:rPr>
              <w:t>Kathleen K. Oberg</w:t>
            </w:r>
          </w:p>
        </w:tc>
        <w:tc>
          <w:tcPr>
            <w:tcW w:w="2390" w:type="dxa"/>
            <w:vAlign w:val="bottom"/>
            <w:shd w:val="clear" w:color="auto" w:fill="F4F3F3"/>
          </w:tcPr>
          <w:p>
            <w:pPr>
              <w:jc w:val="right"/>
              <w:ind w:right="76"/>
              <w:spacing w:after="0"/>
              <w:rPr>
                <w:sz w:val="20"/>
                <w:szCs w:val="20"/>
                <w:color w:val="auto"/>
              </w:rPr>
            </w:pPr>
            <w:r>
              <w:rPr>
                <w:rFonts w:ascii="Arial" w:cs="Arial" w:eastAsia="Arial" w:hAnsi="Arial"/>
                <w:sz w:val="17"/>
                <w:szCs w:val="17"/>
                <w:color w:val="auto"/>
              </w:rPr>
              <w:t>2,478,812</w:t>
            </w:r>
          </w:p>
        </w:tc>
        <w:tc>
          <w:tcPr>
            <w:tcW w:w="2500" w:type="dxa"/>
            <w:vAlign w:val="bottom"/>
            <w:shd w:val="clear" w:color="auto" w:fill="F4F3F3"/>
          </w:tcPr>
          <w:p>
            <w:pPr>
              <w:ind w:left="1600"/>
              <w:spacing w:after="0"/>
              <w:rPr>
                <w:sz w:val="20"/>
                <w:szCs w:val="20"/>
                <w:color w:val="auto"/>
              </w:rPr>
            </w:pPr>
            <w:r>
              <w:rPr>
                <w:rFonts w:ascii="Arial" w:cs="Arial" w:eastAsia="Arial" w:hAnsi="Arial"/>
                <w:sz w:val="17"/>
                <w:szCs w:val="17"/>
                <w:color w:val="auto"/>
              </w:rPr>
              <w:t>1,699,425*</w:t>
            </w:r>
          </w:p>
        </w:tc>
        <w:tc>
          <w:tcPr>
            <w:tcW w:w="196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46</w:t>
            </w:r>
          </w:p>
        </w:tc>
      </w:tr>
    </w:tbl>
    <w:p>
      <w:pPr>
        <w:spacing w:after="0" w:line="230" w:lineRule="exact"/>
        <w:rPr>
          <w:sz w:val="20"/>
          <w:szCs w:val="20"/>
          <w:color w:val="auto"/>
        </w:rPr>
      </w:pPr>
    </w:p>
    <w:p>
      <w:pPr>
        <w:ind w:left="420" w:hanging="210"/>
        <w:spacing w:after="0"/>
        <w:tabs>
          <w:tab w:leader="none" w:pos="420" w:val="left"/>
        </w:tabs>
        <w:numPr>
          <w:ilvl w:val="0"/>
          <w:numId w:val="93"/>
        </w:numPr>
        <w:rPr>
          <w:rFonts w:ascii="Arial" w:cs="Arial" w:eastAsia="Arial" w:hAnsi="Arial"/>
          <w:sz w:val="14"/>
          <w:szCs w:val="14"/>
          <w:color w:val="333333"/>
        </w:rPr>
      </w:pPr>
      <w:r>
        <w:rPr>
          <w:rFonts w:ascii="Arial" w:cs="Arial" w:eastAsia="Arial" w:hAnsi="Arial"/>
          <w:sz w:val="14"/>
          <w:szCs w:val="14"/>
          <w:color w:val="333333"/>
        </w:rPr>
        <w:t>2016 was the first year Mses. Linnartz and Oberg received stock awards as NEOs.</w:t>
      </w:r>
    </w:p>
    <w:p>
      <w:pPr>
        <w:spacing w:after="0" w:line="94" w:lineRule="exact"/>
        <w:rPr>
          <w:sz w:val="20"/>
          <w:szCs w:val="20"/>
          <w:color w:val="auto"/>
        </w:rPr>
      </w:pPr>
    </w:p>
    <w:p>
      <w:pPr>
        <w:ind w:left="220" w:right="20"/>
        <w:spacing w:after="0" w:line="238" w:lineRule="auto"/>
        <w:rPr>
          <w:sz w:val="20"/>
          <w:szCs w:val="20"/>
          <w:color w:val="auto"/>
        </w:rPr>
      </w:pPr>
      <w:r>
        <w:rPr>
          <w:rFonts w:ascii="Arial" w:cs="Arial" w:eastAsia="Arial" w:hAnsi="Arial"/>
          <w:sz w:val="17"/>
          <w:szCs w:val="17"/>
          <w:color w:val="auto"/>
        </w:rPr>
        <w:t>The NEOs’ stock awards for 2017 were granted on February 21, 2017, in a mix (based on the grant date fair value) of 50% PSUs, 25% SARs and 25% RSUs for Mr. Sorenson and 40% PSUs, 30% SARs and 30% RSUs for other NEOs vesting ratably over three years for SARs and RSUs and vesting after three years for PSUs. In addition, Mr. Capuano received a separate grant of RSUs which remain unvested until the third anniversary of the grant date, at which time they vest in full assuming Mr. Capuano remains continuously employed during that period. This separate RSU award had a grant value approximately the same as the annual cash incentive that Mr. Capuano earned for fiscal year 2016. The Committee established the separate RSU award based on Mr. Capuano’s most recent annual cash incentive in order to further the objective of compensating Mr. Capuano primarily in recognition of his development activities and performance. By also imposing three-year cliff vesting, this grant offers additional retention value and further links Mr. Capuano’s pay with the long-term interests of stockholders.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7F7F7F"/>
        </w:rPr>
        <w:t>PSUs</w:t>
      </w:r>
    </w:p>
    <w:p>
      <w:pPr>
        <w:spacing w:after="0" w:line="99" w:lineRule="exact"/>
        <w:rPr>
          <w:sz w:val="20"/>
          <w:szCs w:val="20"/>
          <w:color w:val="auto"/>
        </w:rPr>
      </w:pPr>
    </w:p>
    <w:p>
      <w:pPr>
        <w:ind w:left="220" w:right="80"/>
        <w:spacing w:after="0"/>
        <w:rPr>
          <w:sz w:val="20"/>
          <w:szCs w:val="20"/>
          <w:color w:val="auto"/>
        </w:rPr>
      </w:pPr>
      <w:r>
        <w:rPr>
          <w:rFonts w:ascii="Arial" w:cs="Arial" w:eastAsia="Arial" w:hAnsi="Arial"/>
          <w:sz w:val="17"/>
          <w:szCs w:val="17"/>
          <w:color w:val="auto"/>
        </w:rPr>
        <w:t>PSUs are restricted stock units that may be earned after three years based on achievement of pre-established targets for RevPAR Index, gross room openings, and net administrative expenses over a three-year period, with one-third of the target number of shares subject to each performance measure. These three financial and operating metrics (the same measures that were selected for the 2016-2018 PSU performance period) were selected by the Committee because they reflect management efforts that are directly tied to the long-term strength of our brands, as opposed to other performance measures that are more prone to be impacted by economic or other factors beyond our executives’ control. We believe these are key drivers of long-term value creation. For the 2017-2019 PSU performance period, the performance measures are:</w:t>
      </w:r>
    </w:p>
    <w:p>
      <w:pPr>
        <w:spacing w:after="0" w:line="82" w:lineRule="exact"/>
        <w:rPr>
          <w:sz w:val="20"/>
          <w:szCs w:val="20"/>
          <w:color w:val="auto"/>
        </w:rPr>
      </w:pPr>
    </w:p>
    <w:p>
      <w:pPr>
        <w:ind w:left="420" w:right="80" w:hanging="210"/>
        <w:spacing w:after="0" w:line="253" w:lineRule="auto"/>
        <w:tabs>
          <w:tab w:leader="none" w:pos="420" w:val="left"/>
        </w:tabs>
        <w:numPr>
          <w:ilvl w:val="0"/>
          <w:numId w:val="94"/>
        </w:numPr>
        <w:rPr>
          <w:rFonts w:ascii="Arial" w:cs="Arial" w:eastAsia="Arial" w:hAnsi="Arial"/>
          <w:sz w:val="17"/>
          <w:szCs w:val="17"/>
          <w:color w:val="auto"/>
        </w:rPr>
      </w:pPr>
      <w:r>
        <w:rPr>
          <w:rFonts w:ascii="Arial" w:cs="Arial" w:eastAsia="Arial" w:hAnsi="Arial"/>
          <w:sz w:val="17"/>
          <w:szCs w:val="17"/>
          <w:u w:val="single" w:color="auto"/>
          <w:color w:val="998C87"/>
        </w:rPr>
        <w:t>Global RevPAR Index</w:t>
      </w:r>
      <w:r>
        <w:rPr>
          <w:rFonts w:ascii="Arial" w:cs="Arial" w:eastAsia="Arial" w:hAnsi="Arial"/>
          <w:sz w:val="17"/>
          <w:szCs w:val="17"/>
          <w:color w:val="000000"/>
        </w:rPr>
        <w:t>: Because RevPAR Index is only a relatively small component of the annual cash incentive program as described above,</w:t>
      </w:r>
      <w:r>
        <w:rPr>
          <w:rFonts w:ascii="Arial" w:cs="Arial" w:eastAsia="Arial" w:hAnsi="Arial"/>
          <w:sz w:val="17"/>
          <w:szCs w:val="17"/>
          <w:color w:val="998C87"/>
        </w:rPr>
        <w:t xml:space="preserve"> </w:t>
      </w:r>
      <w:r>
        <w:rPr>
          <w:rFonts w:ascii="Arial" w:cs="Arial" w:eastAsia="Arial" w:hAnsi="Arial"/>
          <w:sz w:val="17"/>
          <w:szCs w:val="17"/>
          <w:color w:val="000000"/>
        </w:rPr>
        <w:t>the Committee determined that longer-term goals for RevPAR Index, which measures performance relative to the Company’s competitors, should be given greater emphasis to reflect our executives’ longer-term goals in both driving traffic to and maintaining quality at our hotels.</w:t>
      </w:r>
    </w:p>
    <w:p>
      <w:pPr>
        <w:spacing w:after="0" w:line="69" w:lineRule="exact"/>
        <w:rPr>
          <w:rFonts w:ascii="Arial" w:cs="Arial" w:eastAsia="Arial" w:hAnsi="Arial"/>
          <w:sz w:val="17"/>
          <w:szCs w:val="17"/>
          <w:color w:val="auto"/>
        </w:rPr>
      </w:pPr>
    </w:p>
    <w:p>
      <w:pPr>
        <w:ind w:left="420" w:hanging="210"/>
        <w:spacing w:after="0" w:line="253" w:lineRule="auto"/>
        <w:tabs>
          <w:tab w:leader="none" w:pos="420" w:val="left"/>
        </w:tabs>
        <w:numPr>
          <w:ilvl w:val="0"/>
          <w:numId w:val="94"/>
        </w:numPr>
        <w:rPr>
          <w:rFonts w:ascii="Arial" w:cs="Arial" w:eastAsia="Arial" w:hAnsi="Arial"/>
          <w:sz w:val="17"/>
          <w:szCs w:val="17"/>
          <w:color w:val="auto"/>
        </w:rPr>
      </w:pPr>
      <w:r>
        <w:rPr>
          <w:rFonts w:ascii="Arial" w:cs="Arial" w:eastAsia="Arial" w:hAnsi="Arial"/>
          <w:sz w:val="17"/>
          <w:szCs w:val="17"/>
          <w:u w:val="single" w:color="auto"/>
          <w:color w:val="998C87"/>
        </w:rPr>
        <w:t>Global Gross Room Openings</w:t>
      </w:r>
      <w:r>
        <w:rPr>
          <w:rFonts w:ascii="Arial" w:cs="Arial" w:eastAsia="Arial" w:hAnsi="Arial"/>
          <w:sz w:val="17"/>
          <w:szCs w:val="17"/>
          <w:color w:val="000000"/>
        </w:rPr>
        <w:t>: Gross room openings includes the total number of system-wide, managed, franchised and owned/leased rooms</w:t>
      </w:r>
      <w:r>
        <w:rPr>
          <w:rFonts w:ascii="Arial" w:cs="Arial" w:eastAsia="Arial" w:hAnsi="Arial"/>
          <w:sz w:val="17"/>
          <w:szCs w:val="17"/>
          <w:color w:val="998C87"/>
        </w:rPr>
        <w:t xml:space="preserve"> </w:t>
      </w:r>
      <w:r>
        <w:rPr>
          <w:rFonts w:ascii="Arial" w:cs="Arial" w:eastAsia="Arial" w:hAnsi="Arial"/>
          <w:sz w:val="17"/>
          <w:szCs w:val="17"/>
          <w:color w:val="000000"/>
        </w:rPr>
        <w:t>added to our system, excluding rooms added through merger and acquisition activity, and reflects our executives’ achievements in attracting financing and owner/franchisee interest in our brands over those of our competitors.</w:t>
      </w:r>
    </w:p>
    <w:p>
      <w:pPr>
        <w:spacing w:after="0" w:line="69" w:lineRule="exact"/>
        <w:rPr>
          <w:rFonts w:ascii="Arial" w:cs="Arial" w:eastAsia="Arial" w:hAnsi="Arial"/>
          <w:sz w:val="17"/>
          <w:szCs w:val="17"/>
          <w:color w:val="auto"/>
        </w:rPr>
      </w:pPr>
    </w:p>
    <w:p>
      <w:pPr>
        <w:ind w:left="420" w:hanging="210"/>
        <w:spacing w:after="0" w:line="253" w:lineRule="auto"/>
        <w:tabs>
          <w:tab w:leader="none" w:pos="420" w:val="left"/>
        </w:tabs>
        <w:numPr>
          <w:ilvl w:val="0"/>
          <w:numId w:val="94"/>
        </w:numPr>
        <w:rPr>
          <w:rFonts w:ascii="Arial" w:cs="Arial" w:eastAsia="Arial" w:hAnsi="Arial"/>
          <w:sz w:val="17"/>
          <w:szCs w:val="17"/>
          <w:color w:val="auto"/>
        </w:rPr>
      </w:pPr>
      <w:r>
        <w:rPr>
          <w:rFonts w:ascii="Arial" w:cs="Arial" w:eastAsia="Arial" w:hAnsi="Arial"/>
          <w:sz w:val="17"/>
          <w:szCs w:val="17"/>
          <w:u w:val="single" w:color="auto"/>
          <w:color w:val="998C87"/>
        </w:rPr>
        <w:t>Global Net Administrative Expense Growth</w:t>
      </w:r>
      <w:r>
        <w:rPr>
          <w:rFonts w:ascii="Arial" w:cs="Arial" w:eastAsia="Arial" w:hAnsi="Arial"/>
          <w:sz w:val="17"/>
          <w:szCs w:val="17"/>
          <w:color w:val="000000"/>
        </w:rPr>
        <w:t>: Net administrative expense measures our operating efficiency through our ability to control certain</w:t>
      </w:r>
      <w:r>
        <w:rPr>
          <w:rFonts w:ascii="Arial" w:cs="Arial" w:eastAsia="Arial" w:hAnsi="Arial"/>
          <w:sz w:val="17"/>
          <w:szCs w:val="17"/>
          <w:color w:val="998C87"/>
        </w:rPr>
        <w:t xml:space="preserve"> </w:t>
      </w:r>
      <w:r>
        <w:rPr>
          <w:rFonts w:ascii="Arial" w:cs="Arial" w:eastAsia="Arial" w:hAnsi="Arial"/>
          <w:sz w:val="17"/>
          <w:szCs w:val="17"/>
          <w:color w:val="000000"/>
        </w:rPr>
        <w:t>expenses, including direct and indirect expenses, unrecovered expenses, development expenses, and architecture and construction expenses, but excluding costs for mergers and acquisitions.</w:t>
      </w:r>
    </w:p>
    <w:p>
      <w:pPr>
        <w:spacing w:after="0" w:line="102" w:lineRule="exact"/>
        <w:rPr>
          <w:sz w:val="20"/>
          <w:szCs w:val="20"/>
          <w:color w:val="auto"/>
        </w:rPr>
      </w:pPr>
    </w:p>
    <w:p>
      <w:pPr>
        <w:ind w:left="540" w:hanging="330"/>
        <w:spacing w:after="0"/>
        <w:tabs>
          <w:tab w:leader="none" w:pos="540" w:val="left"/>
        </w:tabs>
        <w:numPr>
          <w:ilvl w:val="0"/>
          <w:numId w:val="95"/>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20"/>
          </w:cols>
          <w:pgMar w:left="240" w:top="455" w:right="4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1" w:lineRule="exact"/>
        <w:rPr>
          <w:sz w:val="20"/>
          <w:szCs w:val="20"/>
          <w:color w:val="auto"/>
        </w:rPr>
      </w:pPr>
    </w:p>
    <w:p>
      <w:pPr>
        <w:ind w:left="220" w:right="120"/>
        <w:spacing w:after="0"/>
        <w:rPr>
          <w:sz w:val="20"/>
          <w:szCs w:val="20"/>
          <w:color w:val="auto"/>
        </w:rPr>
      </w:pPr>
      <w:r>
        <w:rPr>
          <w:rFonts w:ascii="Arial" w:cs="Arial" w:eastAsia="Arial" w:hAnsi="Arial"/>
          <w:sz w:val="17"/>
          <w:szCs w:val="17"/>
          <w:color w:val="auto"/>
        </w:rPr>
        <w:t>For each of the three metrics, NEOs can receive 50% of the target PSU award level if performance is at least threshold and up to 150% of the target PSU award level if performance is above target. PSUs do not accrue dividend equivalents or pay dividends; NEOs only enjoy dividends and other rights of stockholders after the awards vest and shares are issued. The Committee approved the performance goals, which are competitively sensitive, at levels that are consistent with our strong historical performance and with internal forecasts at the time of grant so that target performance would be difficult, but attainable. It is also reasonably possible that awards could fall to zero or rise to maximum achievement levels.</w:t>
      </w:r>
    </w:p>
    <w:p>
      <w:pPr>
        <w:spacing w:after="0" w:line="68" w:lineRule="exact"/>
        <w:rPr>
          <w:sz w:val="20"/>
          <w:szCs w:val="20"/>
          <w:color w:val="auto"/>
        </w:rPr>
      </w:pPr>
    </w:p>
    <w:p>
      <w:pPr>
        <w:ind w:left="220" w:right="180"/>
        <w:spacing w:after="0" w:line="246" w:lineRule="auto"/>
        <w:rPr>
          <w:sz w:val="20"/>
          <w:szCs w:val="20"/>
          <w:color w:val="auto"/>
        </w:rPr>
      </w:pPr>
      <w:r>
        <w:rPr>
          <w:rFonts w:ascii="Arial" w:cs="Arial" w:eastAsia="Arial" w:hAnsi="Arial"/>
          <w:sz w:val="17"/>
          <w:szCs w:val="17"/>
          <w:color w:val="auto"/>
        </w:rPr>
        <w:t>In February 2018, the PSUs granted for the 2015-17 performance period were settled at an overall payout of 125% of target, based on performance over the three-year performance period against pre-established goals for Global Gross Room Openings (96% of target payout), Global RevPAR Index (150% of target payout) and Global Net Administrative Expenses (128% of target payout). The target and results for each component relative to target are shown in the graph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20" w:right="40"/>
        <w:spacing w:after="0" w:line="253" w:lineRule="auto"/>
        <w:rPr>
          <w:sz w:val="20"/>
          <w:szCs w:val="20"/>
          <w:color w:val="auto"/>
        </w:rPr>
      </w:pPr>
      <w:r>
        <w:rPr>
          <w:rFonts w:ascii="Arial" w:cs="Arial" w:eastAsia="Arial" w:hAnsi="Arial"/>
          <w:sz w:val="17"/>
          <w:szCs w:val="17"/>
          <w:color w:val="auto"/>
        </w:rPr>
        <w:t>In February 2018, the supplemental PSUs granted to Mr. Sorenson for the 2015-17 performance period were settled at an overall target payout of 100%, based on performance over the three-year performance period against different pre-established goals for Global Gross Room Openings. Mr. Sorenson is required to hold the shares (net of tax withholdings) for two years following vesting of the shares.</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7F7F7F"/>
        </w:rPr>
        <w:t>Supplemental Stock Awards</w:t>
      </w:r>
    </w:p>
    <w:p>
      <w:pPr>
        <w:spacing w:after="0" w:line="99" w:lineRule="exact"/>
        <w:rPr>
          <w:sz w:val="20"/>
          <w:szCs w:val="20"/>
          <w:color w:val="auto"/>
        </w:rPr>
      </w:pPr>
    </w:p>
    <w:p>
      <w:pPr>
        <w:jc w:val="both"/>
        <w:ind w:left="220" w:right="280"/>
        <w:spacing w:after="0" w:line="253" w:lineRule="auto"/>
        <w:rPr>
          <w:sz w:val="20"/>
          <w:szCs w:val="20"/>
          <w:color w:val="auto"/>
        </w:rPr>
      </w:pPr>
      <w:r>
        <w:rPr>
          <w:rFonts w:ascii="Arial" w:cs="Arial" w:eastAsia="Arial" w:hAnsi="Arial"/>
          <w:sz w:val="17"/>
          <w:szCs w:val="17"/>
          <w:color w:val="auto"/>
        </w:rPr>
        <w:t>Supplemental stock awards tend to be infrequent and may be presented for consideration at quarterly Board meetings in recognition of special performance, promotions or assumption of additional responsibilities, to retain key talent or as a sign-on employment inducement. None of the NEOs received a supplemental stock award in 2017.</w:t>
      </w:r>
    </w:p>
    <w:p>
      <w:pPr>
        <w:spacing w:after="0" w:line="56" w:lineRule="exact"/>
        <w:rPr>
          <w:sz w:val="20"/>
          <w:szCs w:val="20"/>
          <w:color w:val="auto"/>
        </w:rPr>
      </w:pPr>
    </w:p>
    <w:p>
      <w:pPr>
        <w:ind w:left="220" w:right="60"/>
        <w:spacing w:after="0" w:line="253" w:lineRule="auto"/>
        <w:rPr>
          <w:sz w:val="20"/>
          <w:szCs w:val="20"/>
          <w:color w:val="auto"/>
        </w:rPr>
      </w:pPr>
      <w:r>
        <w:rPr>
          <w:rFonts w:ascii="Arial" w:cs="Arial" w:eastAsia="Arial" w:hAnsi="Arial"/>
          <w:sz w:val="17"/>
          <w:szCs w:val="17"/>
          <w:color w:val="auto"/>
        </w:rPr>
        <w:t>In 2016, the NEOs were granted supplemental Business Integration PSUs (“BI-PSUs”) with vesting criteria tied to specific goals that we view as key drivers to realizing the benefits of the Starwood combination and creating long-term value: overall management synergies and cost savings, hotel RevPAR Index improvements, and hotel margin improvements. Performance under these BI-PSUs will be determined after the end of 2018.</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7F7F7F"/>
        </w:rPr>
        <w:t>Grant Timing and Pricing</w:t>
      </w:r>
    </w:p>
    <w:p>
      <w:pPr>
        <w:spacing w:after="0" w:line="99" w:lineRule="exact"/>
        <w:rPr>
          <w:sz w:val="20"/>
          <w:szCs w:val="20"/>
          <w:color w:val="auto"/>
        </w:rPr>
      </w:pPr>
    </w:p>
    <w:p>
      <w:pPr>
        <w:ind w:left="220" w:right="100"/>
        <w:spacing w:after="0" w:line="246" w:lineRule="auto"/>
        <w:rPr>
          <w:sz w:val="20"/>
          <w:szCs w:val="20"/>
          <w:color w:val="auto"/>
        </w:rPr>
      </w:pPr>
      <w:r>
        <w:rPr>
          <w:rFonts w:ascii="Arial" w:cs="Arial" w:eastAsia="Arial" w:hAnsi="Arial"/>
          <w:sz w:val="17"/>
          <w:szCs w:val="17"/>
          <w:color w:val="auto"/>
        </w:rPr>
        <w:t>The Company typically grants annual stock awards in February each year on the second trading day following the Company’s annual earnings conference call for the prior fiscal year. This timing is designed to avoid the possibility that the Company could grant stock awards prior to the release of material, non-public information that may result in an increase or decrease in its stock price. Similarly, supplemental stock awards may be granted throughout the year, but not during Company-imposed trading black-out periods in Company stock.</w:t>
      </w:r>
    </w:p>
    <w:p>
      <w:pPr>
        <w:spacing w:after="0" w:line="62" w:lineRule="exact"/>
        <w:rPr>
          <w:sz w:val="20"/>
          <w:szCs w:val="20"/>
          <w:color w:val="auto"/>
        </w:rPr>
      </w:pPr>
    </w:p>
    <w:p>
      <w:pPr>
        <w:ind w:left="220" w:right="20"/>
        <w:spacing w:after="0" w:line="246" w:lineRule="auto"/>
        <w:rPr>
          <w:sz w:val="20"/>
          <w:szCs w:val="20"/>
          <w:color w:val="auto"/>
        </w:rPr>
      </w:pPr>
      <w:r>
        <w:rPr>
          <w:rFonts w:ascii="Arial" w:cs="Arial" w:eastAsia="Arial" w:hAnsi="Arial"/>
          <w:sz w:val="17"/>
          <w:szCs w:val="17"/>
          <w:color w:val="auto"/>
        </w:rPr>
        <w:t>Executives derive value from their SARs based on the appreciation in the value of the underlying shares of Company stock. For purposes of measuring this appreciation, the Company sets the exercise or base price as the average of the high and low quoted prices of the Company stock on the date the awards are granted. This average price valuation is common practice and offers no inherent pricing advantage to the executive or the Company.</w:t>
      </w:r>
    </w:p>
    <w:p>
      <w:pPr>
        <w:spacing w:after="0" w:line="107" w:lineRule="exact"/>
        <w:rPr>
          <w:sz w:val="20"/>
          <w:szCs w:val="20"/>
          <w:color w:val="auto"/>
        </w:rPr>
      </w:pPr>
    </w:p>
    <w:tbl>
      <w:tblPr>
        <w:tblLayout w:type="fixed"/>
        <w:tblInd w:w="9180" w:type="dxa"/>
        <w:tblCellMar>
          <w:top w:w="0" w:type="dxa"/>
          <w:left w:w="0" w:type="dxa"/>
          <w:bottom w:w="0" w:type="dxa"/>
          <w:right w:w="0" w:type="dxa"/>
        </w:tblCellMar>
      </w:tblPr>
      <w:tr>
        <w:trPr>
          <w:trHeight w:val="214"/>
        </w:trPr>
        <w:tc>
          <w:tcPr>
            <w:tcW w:w="1660" w:type="dxa"/>
            <w:vAlign w:val="bottom"/>
          </w:tcPr>
          <w:p>
            <w:pPr>
              <w:spacing w:after="0"/>
              <w:rPr>
                <w:sz w:val="20"/>
                <w:szCs w:val="20"/>
                <w:color w:val="auto"/>
              </w:rPr>
            </w:pPr>
            <w:r>
              <w:rPr>
                <w:rFonts w:ascii="Arial" w:cs="Arial" w:eastAsia="Arial" w:hAnsi="Arial"/>
                <w:sz w:val="15"/>
                <w:szCs w:val="15"/>
                <w:color w:val="998C87"/>
              </w:rPr>
              <w:t>2018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39</w:t>
            </w:r>
          </w:p>
        </w:tc>
      </w:tr>
    </w:tbl>
    <w:p>
      <w:pPr>
        <w:sectPr>
          <w:pgSz w:w="11900" w:h="16838" w:orient="portrait"/>
          <w:cols w:equalWidth="0" w:num="1">
            <w:col w:w="11220"/>
          </w:cols>
          <w:pgMar w:left="240" w:top="455" w:right="4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7F7F7F"/>
        </w:rPr>
        <w:t>Other Compensation</w:t>
      </w:r>
    </w:p>
    <w:p>
      <w:pPr>
        <w:spacing w:after="0" w:line="101"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7F7F7F"/>
        </w:rPr>
        <w:t>Perquisites</w:t>
      </w:r>
    </w:p>
    <w:p>
      <w:pPr>
        <w:spacing w:after="0" w:line="99" w:lineRule="exact"/>
        <w:rPr>
          <w:sz w:val="20"/>
          <w:szCs w:val="20"/>
          <w:color w:val="auto"/>
        </w:rPr>
      </w:pPr>
    </w:p>
    <w:p>
      <w:pPr>
        <w:ind w:left="220" w:right="100"/>
        <w:spacing w:after="0" w:line="239" w:lineRule="auto"/>
        <w:rPr>
          <w:sz w:val="20"/>
          <w:szCs w:val="20"/>
          <w:color w:val="auto"/>
        </w:rPr>
      </w:pPr>
      <w:r>
        <w:rPr>
          <w:rFonts w:ascii="Arial" w:cs="Arial" w:eastAsia="Arial" w:hAnsi="Arial"/>
          <w:sz w:val="17"/>
          <w:szCs w:val="17"/>
          <w:color w:val="auto"/>
        </w:rPr>
        <w:t>The Company offers limited perquisites to its executives that make up a very small portion of total compensation for NEOs. One benefit that is consistent with practices within the hospitality industry is complimentary rooms, food and beverages at Company-owned, operated or franchised hotels and the use of hotel-related services such as Marriott-managed golf and spa facilities while on personal travel. These benefits are offered to encourage executive officers to visit and personally evaluate our properties. In addition, to enhance their efficiency and maximize the time that they can devote to Company business, NEOs are permitted to use the Company jet for personal travel in limited circumstances. The value of these benefits is included in the executives’ wages for tax purposes, and the Company does not provide tax gross-ups to the executives with respect to these benefits.</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7F7F7F"/>
        </w:rPr>
        <w:t>Other Benefits</w:t>
      </w:r>
    </w:p>
    <w:p>
      <w:pPr>
        <w:spacing w:after="0" w:line="99" w:lineRule="exact"/>
        <w:rPr>
          <w:sz w:val="20"/>
          <w:szCs w:val="20"/>
          <w:color w:val="auto"/>
        </w:rPr>
      </w:pPr>
    </w:p>
    <w:p>
      <w:pPr>
        <w:ind w:left="220"/>
        <w:spacing w:after="0" w:line="242" w:lineRule="auto"/>
        <w:rPr>
          <w:sz w:val="20"/>
          <w:szCs w:val="20"/>
          <w:color w:val="auto"/>
        </w:rPr>
      </w:pPr>
      <w:r>
        <w:rPr>
          <w:rFonts w:ascii="Arial" w:cs="Arial" w:eastAsia="Arial" w:hAnsi="Arial"/>
          <w:sz w:val="17"/>
          <w:szCs w:val="17"/>
          <w:color w:val="auto"/>
        </w:rPr>
        <w:t>Executives also may participate in the same Company-wide benefit programs offered to all eligible U.S. associates. Some programs are paid for solely by the enrollees (including executives) such as 401(k) plan elective deferrals, vision coverage, long- and short-term disability, group life and accidental death and dismemberment insurance, and health care and dependent care spending accounts. Other benefit programs are paid for or subsidized by the Company for all enrollees such as the 401(k) Company match, group medical and dental coverage, $50,000 Company-paid life insurance, business travel accident insurance and tuition reimbursement.</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7F7F7F"/>
        </w:rPr>
        <w:t>Nonqualified Deferred Compensation Plan</w:t>
      </w:r>
    </w:p>
    <w:p>
      <w:pPr>
        <w:spacing w:after="0" w:line="99" w:lineRule="exact"/>
        <w:rPr>
          <w:sz w:val="20"/>
          <w:szCs w:val="20"/>
          <w:color w:val="auto"/>
        </w:rPr>
      </w:pPr>
    </w:p>
    <w:p>
      <w:pPr>
        <w:ind w:left="220" w:right="260"/>
        <w:spacing w:after="0" w:line="246" w:lineRule="auto"/>
        <w:rPr>
          <w:sz w:val="20"/>
          <w:szCs w:val="20"/>
          <w:color w:val="auto"/>
        </w:rPr>
      </w:pPr>
      <w:r>
        <w:rPr>
          <w:rFonts w:ascii="Arial" w:cs="Arial" w:eastAsia="Arial" w:hAnsi="Arial"/>
          <w:sz w:val="17"/>
          <w:szCs w:val="17"/>
          <w:color w:val="auto"/>
        </w:rPr>
        <w:t>In addition to a tax-qualified 401(k) plan, the Company offers the NEOs and other senior management the opportunity to supplement their retirement and other tax-deferred savings under the Marriott International, Inc. Executive Deferred Compensation Plan (“EDC”). The Company believes that offering this plan to executives is critical to achieve the objectives of attracting and retaining talent, particularly because the Company does not offer a defined benefit pension plan.</w:t>
      </w:r>
    </w:p>
    <w:p>
      <w:pPr>
        <w:spacing w:after="0" w:line="62" w:lineRule="exact"/>
        <w:rPr>
          <w:sz w:val="20"/>
          <w:szCs w:val="20"/>
          <w:color w:val="auto"/>
        </w:rPr>
      </w:pPr>
    </w:p>
    <w:p>
      <w:pPr>
        <w:ind w:left="220" w:right="100"/>
        <w:spacing w:after="0" w:line="253" w:lineRule="auto"/>
        <w:rPr>
          <w:sz w:val="20"/>
          <w:szCs w:val="20"/>
          <w:color w:val="auto"/>
        </w:rPr>
      </w:pPr>
      <w:r>
        <w:rPr>
          <w:rFonts w:ascii="Arial" w:cs="Arial" w:eastAsia="Arial" w:hAnsi="Arial"/>
          <w:sz w:val="17"/>
          <w:szCs w:val="17"/>
          <w:color w:val="auto"/>
        </w:rPr>
        <w:t>Under the EDC, NEOs may defer payment and income taxation of a portion of their salary and annual cash incentive. The plan also provides participants the opportunity for long-term capital appreciation by crediting their accounts with notional earnings (at a fixed annual rate of return of 4.0% for 2017), which is explained in the discussion of Nonqualified Deferred Compensation for Fiscal Year 2017 below.</w:t>
      </w:r>
    </w:p>
    <w:p>
      <w:pPr>
        <w:spacing w:after="0" w:line="5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 may make a discretionary matching contribution to participants’ (including the NEOs’) EDC accounts. The match is intended to provide the NEOs (and other highly-paid associates) with matching contributions that are similar to matching contributions that would have been made under the Company’s tax-qualified section 401(k) plan but for the application of certain nondiscrimination testing and annual compensation limitations under the Internal Revenue Code. For 2017, for NEOs and other senior executives, the Board approved a 75% match on up to the first 3% of eligible compensation deferred under the EDC, and a 50% match on up to the next 3% of eligible compensation deferred under the EDC, in each case, subject to certain compensation thresholds.</w:t>
      </w:r>
    </w:p>
    <w:p>
      <w:pPr>
        <w:spacing w:after="0" w:line="68" w:lineRule="exact"/>
        <w:rPr>
          <w:sz w:val="20"/>
          <w:szCs w:val="20"/>
          <w:color w:val="auto"/>
        </w:rPr>
      </w:pPr>
    </w:p>
    <w:p>
      <w:pPr>
        <w:ind w:left="220" w:right="100"/>
        <w:spacing w:after="0" w:line="274" w:lineRule="auto"/>
        <w:rPr>
          <w:sz w:val="20"/>
          <w:szCs w:val="20"/>
          <w:color w:val="auto"/>
        </w:rPr>
      </w:pPr>
      <w:r>
        <w:rPr>
          <w:rFonts w:ascii="Arial" w:cs="Arial" w:eastAsia="Arial" w:hAnsi="Arial"/>
          <w:sz w:val="17"/>
          <w:szCs w:val="17"/>
          <w:color w:val="auto"/>
        </w:rPr>
        <w:t>The Company also may make an additional discretionary contribution to the NEOs’ EDC accounts based on subjective factors such as individual performance, key contributions and retention needs. There were no additional discretionary contributions for the NEOs for 2017.</w:t>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7F7F7F"/>
        </w:rPr>
        <w:t>Change in Control</w:t>
      </w:r>
    </w:p>
    <w:p>
      <w:pPr>
        <w:spacing w:after="0" w:line="99" w:lineRule="exact"/>
        <w:rPr>
          <w:sz w:val="20"/>
          <w:szCs w:val="20"/>
          <w:color w:val="auto"/>
        </w:rPr>
      </w:pPr>
    </w:p>
    <w:p>
      <w:pPr>
        <w:ind w:left="220" w:right="20"/>
        <w:spacing w:after="0"/>
        <w:rPr>
          <w:sz w:val="20"/>
          <w:szCs w:val="20"/>
          <w:color w:val="auto"/>
        </w:rPr>
      </w:pPr>
      <w:r>
        <w:rPr>
          <w:rFonts w:ascii="Arial" w:cs="Arial" w:eastAsia="Arial" w:hAnsi="Arial"/>
          <w:sz w:val="17"/>
          <w:szCs w:val="17"/>
          <w:color w:val="auto"/>
        </w:rPr>
        <w:t>The Company provides limited, “double trigger” change in control benefits under the Stock Plan and the EDC upon a NEO’s qualifying termination of employment in connection with a change in control of the Company, as described under “Potential Payments Upon Termination or Change in Control” on page 55. The Committee believes that, with these carefully structured benefits, the NEOs are better able to perform their duties with respect to any potential proposed corporate transaction without the influence of or distraction by concerns about their employment or financial status. In addition, the Committee believes that stockholder interests are protected and enhanced by providing greater certainty regarding executive pay obligations in the context of planning and negotiating any potential corporate transactions.</w:t>
      </w:r>
    </w:p>
    <w:p>
      <w:pPr>
        <w:spacing w:after="0" w:line="68" w:lineRule="exact"/>
        <w:rPr>
          <w:sz w:val="20"/>
          <w:szCs w:val="20"/>
          <w:color w:val="auto"/>
        </w:rPr>
      </w:pPr>
    </w:p>
    <w:p>
      <w:pPr>
        <w:ind w:left="220" w:right="180"/>
        <w:spacing w:after="0" w:line="246" w:lineRule="auto"/>
        <w:rPr>
          <w:sz w:val="20"/>
          <w:szCs w:val="20"/>
          <w:color w:val="auto"/>
        </w:rPr>
      </w:pPr>
      <w:r>
        <w:rPr>
          <w:rFonts w:ascii="Arial" w:cs="Arial" w:eastAsia="Arial" w:hAnsi="Arial"/>
          <w:sz w:val="17"/>
          <w:szCs w:val="17"/>
          <w:color w:val="auto"/>
        </w:rPr>
        <w:t>The Company does not provide for tax gross-ups on these benefits, but instead limits the benefits to avoid adverse tax consequences to the Company. Specifically, each of these benefits is subject to a cut-back, so that the benefit will not be provided to the extent it would result in the loss of a tax deduction by the Company or imposition of excise taxes under the “golden parachute” excess parachute payment provisions of the Internal Revenue Code. The discussion of</w:t>
      </w:r>
    </w:p>
    <w:p>
      <w:pPr>
        <w:spacing w:after="0" w:line="107" w:lineRule="exact"/>
        <w:rPr>
          <w:sz w:val="20"/>
          <w:szCs w:val="20"/>
          <w:color w:val="auto"/>
        </w:rPr>
      </w:pPr>
    </w:p>
    <w:p>
      <w:pPr>
        <w:ind w:left="540" w:hanging="330"/>
        <w:spacing w:after="0"/>
        <w:tabs>
          <w:tab w:leader="none" w:pos="540" w:val="left"/>
        </w:tabs>
        <w:numPr>
          <w:ilvl w:val="0"/>
          <w:numId w:val="96"/>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00"/>
          </w:cols>
          <w:pgMar w:left="240" w:top="455" w:right="4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1" w:lineRule="exact"/>
        <w:rPr>
          <w:sz w:val="20"/>
          <w:szCs w:val="20"/>
          <w:color w:val="auto"/>
        </w:rPr>
      </w:pPr>
    </w:p>
    <w:p>
      <w:pPr>
        <w:jc w:val="both"/>
        <w:ind w:left="220" w:right="320"/>
        <w:spacing w:after="0" w:line="253" w:lineRule="auto"/>
        <w:rPr>
          <w:sz w:val="20"/>
          <w:szCs w:val="20"/>
          <w:color w:val="auto"/>
        </w:rPr>
      </w:pPr>
      <w:r>
        <w:rPr>
          <w:rFonts w:ascii="Arial" w:cs="Arial" w:eastAsia="Arial" w:hAnsi="Arial"/>
          <w:sz w:val="17"/>
          <w:szCs w:val="17"/>
          <w:color w:val="auto"/>
        </w:rPr>
        <w:t>Potential Payments Upon Termination or Change in Control below includes a table that reflects the year-end intrinsic value of unvested stock awards and cash incentive payments that each NEO would receive if subject to an involuntary termination of employment in connection with a change in control.</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Compensation Process and Policies</w:t>
      </w:r>
    </w:p>
    <w:p>
      <w:pPr>
        <w:spacing w:after="0" w:line="105"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7F7F7F"/>
        </w:rPr>
        <w:t>2017 “Say-on-Pay” Advisory Vote on Executive Compensation and Stockholder Engagement</w:t>
      </w:r>
    </w:p>
    <w:p>
      <w:pPr>
        <w:spacing w:after="0" w:line="99" w:lineRule="exact"/>
        <w:rPr>
          <w:sz w:val="20"/>
          <w:szCs w:val="20"/>
          <w:color w:val="auto"/>
        </w:rPr>
      </w:pPr>
    </w:p>
    <w:p>
      <w:pPr>
        <w:ind w:left="220" w:right="60"/>
        <w:spacing w:after="0" w:line="239" w:lineRule="auto"/>
        <w:rPr>
          <w:sz w:val="20"/>
          <w:szCs w:val="20"/>
          <w:color w:val="auto"/>
        </w:rPr>
      </w:pPr>
      <w:r>
        <w:rPr>
          <w:rFonts w:ascii="Arial" w:cs="Arial" w:eastAsia="Arial" w:hAnsi="Arial"/>
          <w:sz w:val="17"/>
          <w:szCs w:val="17"/>
          <w:color w:val="auto"/>
        </w:rPr>
        <w:t>At the Company’s 2017 annual meeting, stockholders once again expressed substantial support for the compensation of our NEOs with approximately 98% of the votes cast for approval of the “say-on-pay” advisory vote on our 2016 NEO compensation. During 2017, the Committee also sought comments from some of the Company’s significant institutional stockholders. The Committee also reviewed with its Compensation Consultant the elements and mix of annual and long-term executive officer compensation, the peer group, and the long-term effectiveness of the Company’s compensation programs. Based on the foregoing, the Committee determined that the structure and operation of the executive compensation program have been effective in aligning executive compensation with long-term stockholder value, and therefore determined to maintain the basic structure of the program.</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Stock Ownership Policies</w:t>
      </w:r>
    </w:p>
    <w:p>
      <w:pPr>
        <w:spacing w:after="0" w:line="103" w:lineRule="exact"/>
        <w:rPr>
          <w:sz w:val="20"/>
          <w:szCs w:val="20"/>
          <w:color w:val="auto"/>
        </w:rPr>
      </w:pPr>
    </w:p>
    <w:p>
      <w:pPr>
        <w:ind w:left="220" w:right="40"/>
        <w:spacing w:after="0" w:line="242" w:lineRule="auto"/>
        <w:rPr>
          <w:sz w:val="20"/>
          <w:szCs w:val="20"/>
          <w:color w:val="auto"/>
        </w:rPr>
      </w:pPr>
      <w:r>
        <w:rPr>
          <w:rFonts w:ascii="Arial" w:cs="Arial" w:eastAsia="Arial" w:hAnsi="Arial"/>
          <w:sz w:val="17"/>
          <w:szCs w:val="17"/>
          <w:color w:val="auto"/>
        </w:rPr>
        <w:t>The Company reinforces its performance-based and long-term philosophy through its stock ownership policy which requires that, within five years of becoming subject to the policy, each NEO own Company stock with a total value equal to a multiple of three to six times his or her individual salary grade midpoint. Each NEO is in compliance with this policy taking into consideration the timeframe allowed for achieving the threshold ownership levels. Mr. Marriott is not included in the table below because he beneficially owns over 10% of the Company’s outstanding shares and thus significantly exceeds his ownership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146050</wp:posOffset>
            </wp:positionV>
            <wp:extent cx="5739130" cy="155892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739130" cy="155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We have adopted a number of related policies that further reflect alignment with long-term stockholder value.</w:t>
      </w:r>
    </w:p>
    <w:p>
      <w:pPr>
        <w:spacing w:after="0" w:line="115" w:lineRule="exact"/>
        <w:rPr>
          <w:sz w:val="20"/>
          <w:szCs w:val="20"/>
          <w:color w:val="auto"/>
        </w:rPr>
      </w:pPr>
    </w:p>
    <w:p>
      <w:pPr>
        <w:ind w:left="420" w:right="260" w:hanging="210"/>
        <w:spacing w:after="0" w:line="274" w:lineRule="auto"/>
        <w:tabs>
          <w:tab w:leader="none" w:pos="420" w:val="left"/>
        </w:tabs>
        <w:numPr>
          <w:ilvl w:val="0"/>
          <w:numId w:val="97"/>
        </w:numPr>
        <w:rPr>
          <w:rFonts w:ascii="Arial" w:cs="Arial" w:eastAsia="Arial" w:hAnsi="Arial"/>
          <w:sz w:val="17"/>
          <w:szCs w:val="17"/>
          <w:color w:val="auto"/>
        </w:rPr>
      </w:pPr>
      <w:r>
        <w:rPr>
          <w:rFonts w:ascii="Arial" w:cs="Arial" w:eastAsia="Arial" w:hAnsi="Arial"/>
          <w:sz w:val="17"/>
          <w:szCs w:val="17"/>
          <w:color w:val="auto"/>
        </w:rPr>
        <w:t>Executive officers and directors are required to retain 50% of the net after-tax shares received under any equity awards until they satisfy the required stock ownership levels.</w:t>
      </w:r>
    </w:p>
    <w:p>
      <w:pPr>
        <w:spacing w:after="0" w:line="52" w:lineRule="exact"/>
        <w:rPr>
          <w:rFonts w:ascii="Arial" w:cs="Arial" w:eastAsia="Arial" w:hAnsi="Arial"/>
          <w:sz w:val="17"/>
          <w:szCs w:val="17"/>
          <w:color w:val="auto"/>
        </w:rPr>
      </w:pPr>
    </w:p>
    <w:p>
      <w:pPr>
        <w:ind w:left="420" w:right="260" w:hanging="210"/>
        <w:spacing w:after="0" w:line="274" w:lineRule="auto"/>
        <w:tabs>
          <w:tab w:leader="none" w:pos="42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Company prohibits all associates and directors from engaging in short sale transactions or entering into any other hedging or derivative transaction related to Marriott stock or securities.</w:t>
      </w:r>
    </w:p>
    <w:p>
      <w:pPr>
        <w:spacing w:after="0" w:line="52" w:lineRule="exact"/>
        <w:rPr>
          <w:rFonts w:ascii="Arial" w:cs="Arial" w:eastAsia="Arial" w:hAnsi="Arial"/>
          <w:sz w:val="17"/>
          <w:szCs w:val="17"/>
          <w:color w:val="auto"/>
        </w:rPr>
      </w:pPr>
    </w:p>
    <w:p>
      <w:pPr>
        <w:ind w:left="420" w:right="100" w:hanging="210"/>
        <w:spacing w:after="0" w:line="274" w:lineRule="auto"/>
        <w:tabs>
          <w:tab w:leader="none" w:pos="420" w:val="left"/>
        </w:tabs>
        <w:numPr>
          <w:ilvl w:val="0"/>
          <w:numId w:val="97"/>
        </w:numPr>
        <w:rPr>
          <w:rFonts w:ascii="Arial" w:cs="Arial" w:eastAsia="Arial" w:hAnsi="Arial"/>
          <w:sz w:val="17"/>
          <w:szCs w:val="17"/>
          <w:color w:val="auto"/>
        </w:rPr>
      </w:pPr>
      <w:r>
        <w:rPr>
          <w:rFonts w:ascii="Arial" w:cs="Arial" w:eastAsia="Arial" w:hAnsi="Arial"/>
          <w:sz w:val="17"/>
          <w:szCs w:val="17"/>
          <w:color w:val="auto"/>
        </w:rPr>
        <w:t>PSUs and RSUs do not provide for accelerated distribution of shares upon retirement to ensure that executives have a continuing stake in the Company’s performance beyond the end of their employment, thereby strengthening their interest in the Company’s long-term success.</w:t>
      </w:r>
    </w:p>
    <w:p>
      <w:pPr>
        <w:spacing w:after="0" w:line="145"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Clawbacks</w:t>
      </w:r>
    </w:p>
    <w:p>
      <w:pPr>
        <w:spacing w:after="0" w:line="103" w:lineRule="exact"/>
        <w:rPr>
          <w:sz w:val="20"/>
          <w:szCs w:val="20"/>
          <w:color w:val="auto"/>
        </w:rPr>
      </w:pPr>
    </w:p>
    <w:p>
      <w:pPr>
        <w:ind w:left="220" w:right="60"/>
        <w:spacing w:after="0" w:line="242" w:lineRule="auto"/>
        <w:rPr>
          <w:sz w:val="20"/>
          <w:szCs w:val="20"/>
          <w:color w:val="auto"/>
        </w:rPr>
      </w:pPr>
      <w:r>
        <w:rPr>
          <w:rFonts w:ascii="Arial" w:cs="Arial" w:eastAsia="Arial" w:hAnsi="Arial"/>
          <w:sz w:val="17"/>
          <w:szCs w:val="17"/>
          <w:color w:val="auto"/>
        </w:rPr>
        <w:t>In addition to the compensation clawback provisions of the Sarbanes-Oxley Act of 2002 that apply to the Chief Executive Officer and Chief Financial Officer, the Company’s Stock Plan includes a separate clawback provision that applies to all equity awards issued to all NEOs. Under the Stock Plan, the Company has the authority to limit or eliminate the ability of any executive to exercise options and SARs or to receive a distribution of Company stock under PSUs, RSUs or other stock awards if the executive terminates employment for serious misconduct, engages in criminal or tortious conduct that is injurious to the Company or engages in competition with the Company.</w:t>
      </w:r>
    </w:p>
    <w:p>
      <w:pPr>
        <w:spacing w:after="0" w:line="67" w:lineRule="exact"/>
        <w:rPr>
          <w:sz w:val="20"/>
          <w:szCs w:val="20"/>
          <w:color w:val="auto"/>
        </w:rPr>
      </w:pPr>
    </w:p>
    <w:p>
      <w:pPr>
        <w:ind w:left="220" w:right="80"/>
        <w:spacing w:after="0" w:line="274" w:lineRule="auto"/>
        <w:rPr>
          <w:sz w:val="20"/>
          <w:szCs w:val="20"/>
          <w:color w:val="auto"/>
        </w:rPr>
      </w:pPr>
      <w:r>
        <w:rPr>
          <w:rFonts w:ascii="Arial" w:cs="Arial" w:eastAsia="Arial" w:hAnsi="Arial"/>
          <w:sz w:val="17"/>
          <w:szCs w:val="17"/>
          <w:color w:val="auto"/>
        </w:rPr>
        <w:t>The Committee has discretion to require reimbursement of any annual cash incentive payment awarded to a NEO if the amount of such incentive payment is calculated based upon the achievement of certain financial results that are</w:t>
      </w:r>
    </w:p>
    <w:p>
      <w:pPr>
        <w:spacing w:after="0" w:line="85" w:lineRule="exact"/>
        <w:rPr>
          <w:sz w:val="20"/>
          <w:szCs w:val="20"/>
          <w:color w:val="auto"/>
        </w:rPr>
      </w:pPr>
    </w:p>
    <w:tbl>
      <w:tblPr>
        <w:tblLayout w:type="fixed"/>
        <w:tblInd w:w="9180" w:type="dxa"/>
        <w:tblCellMar>
          <w:top w:w="0" w:type="dxa"/>
          <w:left w:w="0" w:type="dxa"/>
          <w:bottom w:w="0" w:type="dxa"/>
          <w:right w:w="0" w:type="dxa"/>
        </w:tblCellMar>
      </w:tblPr>
      <w:tr>
        <w:trPr>
          <w:trHeight w:val="214"/>
        </w:trPr>
        <w:tc>
          <w:tcPr>
            <w:tcW w:w="1660" w:type="dxa"/>
            <w:vAlign w:val="bottom"/>
          </w:tcPr>
          <w:p>
            <w:pPr>
              <w:spacing w:after="0"/>
              <w:rPr>
                <w:sz w:val="20"/>
                <w:szCs w:val="20"/>
                <w:color w:val="auto"/>
              </w:rPr>
            </w:pPr>
            <w:r>
              <w:rPr>
                <w:rFonts w:ascii="Arial" w:cs="Arial" w:eastAsia="Arial" w:hAnsi="Arial"/>
                <w:sz w:val="15"/>
                <w:szCs w:val="15"/>
                <w:color w:val="998C87"/>
              </w:rPr>
              <w:t>2018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41</w:t>
            </w:r>
          </w:p>
        </w:tc>
      </w:tr>
    </w:tbl>
    <w:p>
      <w:pPr>
        <w:sectPr>
          <w:pgSz w:w="11900" w:h="16838" w:orient="portrait"/>
          <w:cols w:equalWidth="0" w:num="1">
            <w:col w:w="11220"/>
          </w:cols>
          <w:pgMar w:left="240" w:top="455" w:right="4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1" w:lineRule="exact"/>
        <w:rPr>
          <w:sz w:val="20"/>
          <w:szCs w:val="20"/>
          <w:color w:val="auto"/>
        </w:rPr>
      </w:pPr>
    </w:p>
    <w:p>
      <w:pPr>
        <w:jc w:val="both"/>
        <w:ind w:left="220" w:right="280"/>
        <w:spacing w:after="0" w:line="253" w:lineRule="auto"/>
        <w:rPr>
          <w:sz w:val="20"/>
          <w:szCs w:val="20"/>
          <w:color w:val="auto"/>
        </w:rPr>
      </w:pPr>
      <w:r>
        <w:rPr>
          <w:rFonts w:ascii="Arial" w:cs="Arial" w:eastAsia="Arial" w:hAnsi="Arial"/>
          <w:sz w:val="17"/>
          <w:szCs w:val="17"/>
          <w:color w:val="auto"/>
        </w:rPr>
        <w:t>required to be restated, provided that such discretion may only be exercised if the NEO has engaged in intentional misconduct that caused or partially caused the need for the restatement. The amount of the reimbursement would be the difference in the amount determined before and after the restatement.</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The Compensation Policy Committee</w:t>
      </w:r>
    </w:p>
    <w:p>
      <w:pPr>
        <w:spacing w:after="0" w:line="103" w:lineRule="exact"/>
        <w:rPr>
          <w:sz w:val="20"/>
          <w:szCs w:val="20"/>
          <w:color w:val="auto"/>
        </w:rPr>
      </w:pPr>
    </w:p>
    <w:p>
      <w:pPr>
        <w:ind w:left="220"/>
        <w:spacing w:after="0" w:line="246" w:lineRule="auto"/>
        <w:rPr>
          <w:sz w:val="20"/>
          <w:szCs w:val="20"/>
          <w:color w:val="auto"/>
        </w:rPr>
      </w:pPr>
      <w:r>
        <w:rPr>
          <w:rFonts w:ascii="Arial" w:cs="Arial" w:eastAsia="Arial" w:hAnsi="Arial"/>
          <w:sz w:val="17"/>
          <w:szCs w:val="17"/>
          <w:color w:val="auto"/>
        </w:rPr>
        <w:t>In designing and determining 2017 NEO pay, the Committee considered recommendations from the Company’s Executive Vice President and Global Chief Human Resources Officer and from Mr. Sorenson (with regard to the compensation of the NEOs other than himself) and Mr. Marriott, as well as the advice and recommendations of the Compensation Consultant. The Committee also obtained input and approval from the full Board, with the independent directors meeting in executive session, regarding the compensation packages for Messrs. Marriott and Sorenson.</w:t>
      </w:r>
    </w:p>
    <w:p>
      <w:pPr>
        <w:spacing w:after="0" w:line="62" w:lineRule="exact"/>
        <w:rPr>
          <w:sz w:val="20"/>
          <w:szCs w:val="20"/>
          <w:color w:val="auto"/>
        </w:rPr>
      </w:pPr>
    </w:p>
    <w:p>
      <w:pPr>
        <w:ind w:left="220" w:right="160"/>
        <w:spacing w:after="0" w:line="246" w:lineRule="auto"/>
        <w:rPr>
          <w:sz w:val="20"/>
          <w:szCs w:val="20"/>
          <w:color w:val="auto"/>
        </w:rPr>
      </w:pPr>
      <w:r>
        <w:rPr>
          <w:rFonts w:ascii="Arial" w:cs="Arial" w:eastAsia="Arial" w:hAnsi="Arial"/>
          <w:sz w:val="17"/>
          <w:szCs w:val="17"/>
          <w:color w:val="auto"/>
        </w:rPr>
        <w:t>In its determinations, the Committee does not set rigid, categorical guidelines or formulae to determine the mix or levels of compensation for the NEOs. Rather, it relies upon its collective judgment as applied to the challenges confronting the Company as well as subjective factors such as leadership ability, individual performance, retention needs, and future potential as part of the Company’s management development and succession planning process.</w:t>
      </w:r>
    </w:p>
    <w:p>
      <w:pPr>
        <w:spacing w:after="0" w:line="62" w:lineRule="exact"/>
        <w:rPr>
          <w:sz w:val="20"/>
          <w:szCs w:val="20"/>
          <w:color w:val="auto"/>
        </w:rPr>
      </w:pPr>
    </w:p>
    <w:p>
      <w:pPr>
        <w:ind w:left="220" w:right="80"/>
        <w:spacing w:after="0" w:line="246" w:lineRule="auto"/>
        <w:rPr>
          <w:sz w:val="20"/>
          <w:szCs w:val="20"/>
          <w:color w:val="auto"/>
        </w:rPr>
      </w:pPr>
      <w:r>
        <w:rPr>
          <w:rFonts w:ascii="Arial" w:cs="Arial" w:eastAsia="Arial" w:hAnsi="Arial"/>
          <w:sz w:val="17"/>
          <w:szCs w:val="17"/>
          <w:color w:val="auto"/>
        </w:rPr>
        <w:t>The Committee carefully reviews numerous factors when setting NEO total pay opportunity, allocating total pay opportunity among base salary, annual incentives and annual stock awards, and determining final pay outcomes based on performance. The Committee considers our executives’ job responsibilities, tenure and experience, and Company and individual performance against internal targets as well as performance of competitors, competitive recruiting and retention pressures, internal pay equity and succession and development plans.</w:t>
      </w:r>
    </w:p>
    <w:p>
      <w:pPr>
        <w:spacing w:after="0" w:line="62" w:lineRule="exact"/>
        <w:rPr>
          <w:sz w:val="20"/>
          <w:szCs w:val="20"/>
          <w:color w:val="auto"/>
        </w:rPr>
      </w:pPr>
    </w:p>
    <w:p>
      <w:pPr>
        <w:ind w:left="220" w:right="40"/>
        <w:spacing w:after="0"/>
        <w:rPr>
          <w:sz w:val="20"/>
          <w:szCs w:val="20"/>
          <w:color w:val="auto"/>
        </w:rPr>
      </w:pPr>
      <w:r>
        <w:rPr>
          <w:rFonts w:ascii="Arial" w:cs="Arial" w:eastAsia="Arial" w:hAnsi="Arial"/>
          <w:sz w:val="17"/>
          <w:szCs w:val="17"/>
          <w:color w:val="auto"/>
        </w:rPr>
        <w:t>The Committee also reviews total pay opportunity for executives at the 50</w:t>
      </w:r>
      <w:r>
        <w:rPr>
          <w:rFonts w:ascii="Arial" w:cs="Arial" w:eastAsia="Arial" w:hAnsi="Arial"/>
          <w:sz w:val="14"/>
          <w:szCs w:val="14"/>
          <w:color w:val="auto"/>
        </w:rPr>
        <w:t>th</w:t>
      </w:r>
      <w:r>
        <w:rPr>
          <w:rFonts w:ascii="Arial" w:cs="Arial" w:eastAsia="Arial" w:hAnsi="Arial"/>
          <w:sz w:val="17"/>
          <w:szCs w:val="17"/>
          <w:color w:val="auto"/>
        </w:rPr>
        <w:t xml:space="preserve"> percentile of a broad-based and select group of companies described in the discussion of Market Data below. In reviewing relevant market data, the Committee may utilize discretion in determining the relevance of each compensation survey. For 2017, because the surveys do not reflect a comparable position for Mr. Capuano, our Executive Vice President and Global Chief Development Officer, the Committee considered multiple factors, including a review of publicly-disclosed compensation data for development and real estate executives at other hotel companies, internal pay equity and Mr. Capuano’s historical contributions to the Company and his experience in the Marriott development organization.</w:t>
      </w:r>
    </w:p>
    <w:p>
      <w:pPr>
        <w:spacing w:after="0" w:line="68" w:lineRule="exact"/>
        <w:rPr>
          <w:sz w:val="20"/>
          <w:szCs w:val="20"/>
          <w:color w:val="auto"/>
        </w:rPr>
      </w:pPr>
    </w:p>
    <w:p>
      <w:pPr>
        <w:ind w:left="220"/>
        <w:spacing w:after="0" w:line="239" w:lineRule="auto"/>
        <w:rPr>
          <w:sz w:val="20"/>
          <w:szCs w:val="20"/>
          <w:color w:val="auto"/>
        </w:rPr>
      </w:pPr>
      <w:r>
        <w:rPr>
          <w:rFonts w:ascii="Arial" w:cs="Arial" w:eastAsia="Arial" w:hAnsi="Arial"/>
          <w:sz w:val="17"/>
          <w:szCs w:val="17"/>
          <w:color w:val="auto"/>
        </w:rPr>
        <w:t>This review of total pay opportunity is designed as a market check to align the potential range of total direct compensation outcomes with our long-term performance expectations and actual results. An understanding of external market data helps the Company attract and retain key executive talent without serving as a rigid standard for benchmarking compensation. For example, although performance comparisons are difficult given the differences in size, customer distribution, global geographic exposure and price tier distribution, the Committee considers historical and annual business results relative to other individual lodging companies to provide additional context for evaluating annual compensation actions. The Committee also regularly reviews historical financial, business and total stockholder return results for lodging companies as well as a selected group of comparator companies prior to determining final pay amounts.</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Independent Compensation Consultant</w:t>
      </w:r>
    </w:p>
    <w:p>
      <w:pPr>
        <w:spacing w:after="0" w:line="103" w:lineRule="exact"/>
        <w:rPr>
          <w:sz w:val="20"/>
          <w:szCs w:val="20"/>
          <w:color w:val="auto"/>
        </w:rPr>
      </w:pPr>
    </w:p>
    <w:p>
      <w:pPr>
        <w:ind w:left="220" w:right="100"/>
        <w:spacing w:after="0" w:line="239" w:lineRule="auto"/>
        <w:rPr>
          <w:sz w:val="20"/>
          <w:szCs w:val="20"/>
          <w:color w:val="auto"/>
        </w:rPr>
      </w:pPr>
      <w:r>
        <w:rPr>
          <w:rFonts w:ascii="Arial" w:cs="Arial" w:eastAsia="Arial" w:hAnsi="Arial"/>
          <w:sz w:val="17"/>
          <w:szCs w:val="17"/>
          <w:color w:val="auto"/>
        </w:rPr>
        <w:t>The Committee selected and retained the Compensation Consultant to assist the Committee in establishing and implementing executive and director compensation strategy. The Compensation Consultant reports to and is instructed in its duties by the Committee and carries out its responsibilities in coordination with the Human Resources Department. Other than providing the Company with executive compensation data from one survey, which was pre-approved by the Committee, the Compensation Consultant performs no other services for the Company. Based on materials presented by management and the Compensation Consultant and the factors set forth in the SEC’s Exchange Act Rule 10C-1, the Committee determined that the Compensation Consultant is independent and that the Compensation Consultant’s engagement did not raise any conflicts of interest.</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Market Data</w:t>
      </w:r>
    </w:p>
    <w:p>
      <w:pPr>
        <w:spacing w:after="0" w:line="103" w:lineRule="exact"/>
        <w:rPr>
          <w:sz w:val="20"/>
          <w:szCs w:val="20"/>
          <w:color w:val="auto"/>
        </w:rPr>
      </w:pPr>
    </w:p>
    <w:p>
      <w:pPr>
        <w:ind w:left="220" w:right="20"/>
        <w:spacing w:after="0" w:line="242" w:lineRule="auto"/>
        <w:rPr>
          <w:sz w:val="20"/>
          <w:szCs w:val="20"/>
          <w:color w:val="auto"/>
        </w:rPr>
      </w:pPr>
      <w:r>
        <w:rPr>
          <w:rFonts w:ascii="Arial" w:cs="Arial" w:eastAsia="Arial" w:hAnsi="Arial"/>
          <w:sz w:val="17"/>
          <w:szCs w:val="17"/>
          <w:color w:val="auto"/>
        </w:rPr>
        <w:t>The external market data utilized by the Company for 2017 includes several broad, revenue-based surveys as well as a custom survey of companies specifically selected by the Committee. The Committee believes, based on the advice of the Compensation Consultant, that the similarly-sized companies participating in the revenue-based surveys and the companies selected for the custom survey represent the broad pool of executive talent for which the Company competes. To avoid over-emphasizing the results of one or more surveys, the Company considers the results of the revenue-based surveys as well as those of the custom survey, in terms of total pay and each component of pay. The</w:t>
      </w:r>
    </w:p>
    <w:p>
      <w:pPr>
        <w:spacing w:after="0" w:line="112" w:lineRule="exact"/>
        <w:rPr>
          <w:sz w:val="20"/>
          <w:szCs w:val="20"/>
          <w:color w:val="auto"/>
        </w:rPr>
      </w:pPr>
    </w:p>
    <w:p>
      <w:pPr>
        <w:ind w:left="540" w:hanging="330"/>
        <w:spacing w:after="0"/>
        <w:tabs>
          <w:tab w:leader="none" w:pos="540" w:val="left"/>
        </w:tabs>
        <w:numPr>
          <w:ilvl w:val="0"/>
          <w:numId w:val="98"/>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00"/>
          </w:cols>
          <w:pgMar w:left="240" w:top="455" w:right="4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ind w:left="8660"/>
        <w:spacing w:after="0"/>
        <w:rPr>
          <w:sz w:val="20"/>
          <w:szCs w:val="20"/>
          <w:color w:val="auto"/>
        </w:rPr>
      </w:pPr>
      <w:r>
        <w:rPr>
          <w:rFonts w:ascii="Arial" w:cs="Arial" w:eastAsia="Arial" w:hAnsi="Arial"/>
          <w:sz w:val="15"/>
          <w:szCs w:val="15"/>
          <w:color w:val="7F7F7F"/>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1" w:lineRule="exact"/>
        <w:rPr>
          <w:sz w:val="20"/>
          <w:szCs w:val="20"/>
          <w:color w:val="auto"/>
        </w:rPr>
      </w:pPr>
    </w:p>
    <w:p>
      <w:pPr>
        <w:ind w:left="220" w:right="740"/>
        <w:spacing w:after="0" w:line="274" w:lineRule="auto"/>
        <w:rPr>
          <w:sz w:val="20"/>
          <w:szCs w:val="20"/>
          <w:color w:val="auto"/>
        </w:rPr>
      </w:pPr>
      <w:r>
        <w:rPr>
          <w:rFonts w:ascii="Arial" w:cs="Arial" w:eastAsia="Arial" w:hAnsi="Arial"/>
          <w:sz w:val="17"/>
          <w:szCs w:val="17"/>
          <w:color w:val="auto"/>
        </w:rPr>
        <w:t>Committee also considers compensation practices at select lodging companies. This process for identifying relevant market data is used consistently for all senior executives of the Company, including the NEOs.</w:t>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7F7F7F"/>
        </w:rPr>
        <w:t>Revenue-Based Survey</w:t>
      </w:r>
    </w:p>
    <w:p>
      <w:pPr>
        <w:spacing w:after="0" w:line="99" w:lineRule="exact"/>
        <w:rPr>
          <w:sz w:val="20"/>
          <w:szCs w:val="20"/>
          <w:color w:val="auto"/>
        </w:rPr>
      </w:pPr>
    </w:p>
    <w:p>
      <w:pPr>
        <w:ind w:left="220" w:right="220"/>
        <w:spacing w:after="0" w:line="242" w:lineRule="auto"/>
        <w:rPr>
          <w:sz w:val="20"/>
          <w:szCs w:val="20"/>
          <w:color w:val="auto"/>
        </w:rPr>
      </w:pPr>
      <w:r>
        <w:rPr>
          <w:rFonts w:ascii="Arial" w:cs="Arial" w:eastAsia="Arial" w:hAnsi="Arial"/>
          <w:sz w:val="17"/>
          <w:szCs w:val="17"/>
          <w:color w:val="auto"/>
        </w:rPr>
        <w:t xml:space="preserve">In general, the revenue-based surveys used as a market reference for NEO pay include companies with annual revenue similar to that of the Company. For 2017, the surveys were the </w:t>
      </w:r>
      <w:r>
        <w:rPr>
          <w:rFonts w:ascii="Arial" w:cs="Arial" w:eastAsia="Arial" w:hAnsi="Arial"/>
          <w:sz w:val="17"/>
          <w:szCs w:val="17"/>
          <w:i w:val="1"/>
          <w:iCs w:val="1"/>
          <w:color w:val="auto"/>
        </w:rPr>
        <w:t>CHiPS Executive &amp; Senior Management Total Compensation Survey (provided by Pearl Meyer), the</w:t>
      </w:r>
      <w:r>
        <w:rPr>
          <w:rFonts w:ascii="Arial" w:cs="Arial" w:eastAsia="Arial" w:hAnsi="Arial"/>
          <w:sz w:val="17"/>
          <w:szCs w:val="17"/>
          <w:color w:val="auto"/>
        </w:rPr>
        <w:t xml:space="preserve"> </w:t>
      </w:r>
      <w:r>
        <w:rPr>
          <w:rFonts w:ascii="Arial" w:cs="Arial" w:eastAsia="Arial" w:hAnsi="Arial"/>
          <w:sz w:val="17"/>
          <w:szCs w:val="17"/>
          <w:i w:val="1"/>
          <w:iCs w:val="1"/>
          <w:color w:val="auto"/>
        </w:rPr>
        <w:t>Hewitt TCM General Industry Executive Total Compensation Survey, the Towers Watson CDB Executive Compensation Database</w:t>
      </w:r>
      <w:r>
        <w:rPr>
          <w:rFonts w:ascii="Arial" w:cs="Arial" w:eastAsia="Arial" w:hAnsi="Arial"/>
          <w:sz w:val="17"/>
          <w:szCs w:val="17"/>
          <w:color w:val="auto"/>
        </w:rPr>
        <w:t>,</w:t>
      </w:r>
      <w:r>
        <w:rPr>
          <w:rFonts w:ascii="Arial" w:cs="Arial" w:eastAsia="Arial" w:hAnsi="Arial"/>
          <w:sz w:val="17"/>
          <w:szCs w:val="17"/>
          <w:i w:val="1"/>
          <w:iCs w:val="1"/>
          <w:color w:val="auto"/>
        </w:rPr>
        <w:t xml:space="preserve"> the Equilar Top 25 Survey, </w:t>
      </w:r>
      <w:r>
        <w:rPr>
          <w:rFonts w:ascii="Arial" w:cs="Arial" w:eastAsia="Arial" w:hAnsi="Arial"/>
          <w:sz w:val="17"/>
          <w:szCs w:val="17"/>
          <w:color w:val="auto"/>
        </w:rPr>
        <w:t>and the</w:t>
      </w:r>
      <w:r>
        <w:rPr>
          <w:rFonts w:ascii="Arial" w:cs="Arial" w:eastAsia="Arial" w:hAnsi="Arial"/>
          <w:sz w:val="17"/>
          <w:szCs w:val="17"/>
          <w:i w:val="1"/>
          <w:iCs w:val="1"/>
          <w:color w:val="auto"/>
        </w:rPr>
        <w:t xml:space="preserve"> Fred Cook Survey of Long-Term Incentives</w:t>
      </w:r>
      <w:r>
        <w:rPr>
          <w:rFonts w:ascii="Arial" w:cs="Arial" w:eastAsia="Arial" w:hAnsi="Arial"/>
          <w:sz w:val="17"/>
          <w:szCs w:val="17"/>
          <w:color w:val="auto"/>
        </w:rPr>
        <w:t>. The same set of surveys was also referenced last year. The Committee did</w:t>
      </w:r>
      <w:r>
        <w:rPr>
          <w:rFonts w:ascii="Arial" w:cs="Arial" w:eastAsia="Arial" w:hAnsi="Arial"/>
          <w:sz w:val="17"/>
          <w:szCs w:val="17"/>
          <w:i w:val="1"/>
          <w:iCs w:val="1"/>
          <w:color w:val="auto"/>
        </w:rPr>
        <w:t xml:space="preserve"> </w:t>
      </w:r>
      <w:r>
        <w:rPr>
          <w:rFonts w:ascii="Arial" w:cs="Arial" w:eastAsia="Arial" w:hAnsi="Arial"/>
          <w:sz w:val="17"/>
          <w:szCs w:val="17"/>
          <w:color w:val="auto"/>
        </w:rPr>
        <w:t>not consider the individual companies in the revenue-based surveys when making compensation decisions.</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7F7F7F"/>
        </w:rPr>
        <w:t>Custom Survey</w:t>
      </w:r>
    </w:p>
    <w:p>
      <w:pPr>
        <w:spacing w:after="0" w:line="99" w:lineRule="exact"/>
        <w:rPr>
          <w:sz w:val="20"/>
          <w:szCs w:val="20"/>
          <w:color w:val="auto"/>
        </w:rPr>
      </w:pPr>
    </w:p>
    <w:p>
      <w:pPr>
        <w:ind w:left="220" w:right="60"/>
        <w:spacing w:after="0" w:line="237" w:lineRule="auto"/>
        <w:rPr>
          <w:sz w:val="20"/>
          <w:szCs w:val="20"/>
          <w:color w:val="auto"/>
        </w:rPr>
      </w:pPr>
      <w:r>
        <w:rPr>
          <w:rFonts w:ascii="Arial" w:cs="Arial" w:eastAsia="Arial" w:hAnsi="Arial"/>
          <w:sz w:val="17"/>
          <w:szCs w:val="17"/>
          <w:color w:val="auto"/>
        </w:rPr>
        <w:t>Given the transformational nature of the Starwood combination and resulting change in the size, scope, and complexity of the business, the Committee completed a comprehensive review of the custom peer group for 2017. There are no other U.S. publicly-traded lodging companies similar to our size. Therefore, in consultation with the Compensation Consultant, the Committee selected appropriate comparator group companies from a broad universe of companies that compete with Marriott for executive talent, are of similar size in annual revenue or have a similar focus on marketing, e-commerce, consumers and brand image even if they do not compete directly in the lodging business. The Committee reviews the comparator group annually for potential changes (e.g. due to mergers and acquisition activity or changes in company size and business mix), but does not generally anticipate making significant changes every year, in order to allow for consistency and comparability of market data from year-to-year. The 17 comparator group companies are shown below along with select financial and non-financial metrics the Committee considered and Marriott’s percentile ranking on each of these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147955</wp:posOffset>
            </wp:positionV>
            <wp:extent cx="6989445" cy="28613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89445" cy="2861310"/>
                    </a:xfrm>
                    <a:prstGeom prst="rect">
                      <a:avLst/>
                    </a:prstGeom>
                    <a:noFill/>
                  </pic:spPr>
                </pic:pic>
              </a:graphicData>
            </a:graphic>
          </wp:anchor>
        </w:drawing>
      </w:r>
    </w:p>
    <w:p>
      <w:pPr>
        <w:spacing w:after="0" w:line="199"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3180" w:type="dxa"/>
            <w:vAlign w:val="bottom"/>
            <w:shd w:val="clear" w:color="auto" w:fill="998C87"/>
          </w:tcPr>
          <w:p>
            <w:pPr>
              <w:spacing w:after="0"/>
              <w:rPr>
                <w:sz w:val="14"/>
                <w:szCs w:val="14"/>
                <w:color w:val="auto"/>
              </w:rPr>
            </w:pPr>
          </w:p>
        </w:tc>
        <w:tc>
          <w:tcPr>
            <w:tcW w:w="2200" w:type="dxa"/>
            <w:vAlign w:val="bottom"/>
            <w:shd w:val="clear" w:color="auto" w:fill="998C87"/>
          </w:tcPr>
          <w:p>
            <w:pPr>
              <w:jc w:val="right"/>
              <w:ind w:right="428"/>
              <w:spacing w:after="0"/>
              <w:rPr>
                <w:sz w:val="20"/>
                <w:szCs w:val="20"/>
                <w:color w:val="auto"/>
              </w:rPr>
            </w:pPr>
            <w:r>
              <w:rPr>
                <w:rFonts w:ascii="Arial" w:cs="Arial" w:eastAsia="Arial" w:hAnsi="Arial"/>
                <w:sz w:val="14"/>
                <w:szCs w:val="14"/>
                <w:b w:val="1"/>
                <w:bCs w:val="1"/>
                <w:color w:val="FFFFFF"/>
              </w:rPr>
              <w:t>2017 Revenues(1)</w:t>
            </w:r>
          </w:p>
        </w:tc>
        <w:tc>
          <w:tcPr>
            <w:tcW w:w="2240" w:type="dxa"/>
            <w:vAlign w:val="bottom"/>
            <w:shd w:val="clear" w:color="auto" w:fill="998C87"/>
          </w:tcPr>
          <w:p>
            <w:pPr>
              <w:jc w:val="right"/>
              <w:ind w:right="248"/>
              <w:spacing w:after="0"/>
              <w:rPr>
                <w:sz w:val="20"/>
                <w:szCs w:val="20"/>
                <w:color w:val="auto"/>
              </w:rPr>
            </w:pPr>
            <w:r>
              <w:rPr>
                <w:rFonts w:ascii="Arial" w:cs="Arial" w:eastAsia="Arial" w:hAnsi="Arial"/>
                <w:sz w:val="14"/>
                <w:szCs w:val="14"/>
                <w:b w:val="1"/>
                <w:bCs w:val="1"/>
                <w:color w:val="FFFFFF"/>
              </w:rPr>
              <w:t>Market Capitalization(1)</w:t>
            </w:r>
          </w:p>
        </w:tc>
        <w:tc>
          <w:tcPr>
            <w:tcW w:w="2280" w:type="dxa"/>
            <w:vAlign w:val="bottom"/>
            <w:shd w:val="clear" w:color="auto" w:fill="998C87"/>
          </w:tcPr>
          <w:p>
            <w:pPr>
              <w:jc w:val="right"/>
              <w:ind w:right="428"/>
              <w:spacing w:after="0"/>
              <w:rPr>
                <w:sz w:val="20"/>
                <w:szCs w:val="20"/>
                <w:color w:val="auto"/>
              </w:rPr>
            </w:pPr>
            <w:r>
              <w:rPr>
                <w:rFonts w:ascii="Arial" w:cs="Arial" w:eastAsia="Arial" w:hAnsi="Arial"/>
                <w:sz w:val="14"/>
                <w:szCs w:val="14"/>
                <w:b w:val="1"/>
                <w:bCs w:val="1"/>
                <w:color w:val="FFFFFF"/>
              </w:rPr>
              <w:t>Enterprise Value(1)</w:t>
            </w:r>
          </w:p>
        </w:tc>
        <w:tc>
          <w:tcPr>
            <w:tcW w:w="1100" w:type="dxa"/>
            <w:vAlign w:val="bottom"/>
            <w:shd w:val="clear" w:color="auto" w:fill="998C87"/>
          </w:tcPr>
          <w:p>
            <w:pPr>
              <w:jc w:val="right"/>
              <w:ind w:right="108"/>
              <w:spacing w:after="0"/>
              <w:rPr>
                <w:sz w:val="20"/>
                <w:szCs w:val="20"/>
                <w:color w:val="auto"/>
              </w:rPr>
            </w:pPr>
            <w:r>
              <w:rPr>
                <w:rFonts w:ascii="Arial" w:cs="Arial" w:eastAsia="Arial" w:hAnsi="Arial"/>
                <w:sz w:val="14"/>
                <w:szCs w:val="14"/>
                <w:b w:val="1"/>
                <w:bCs w:val="1"/>
                <w:color w:val="FFFFFF"/>
              </w:rPr>
              <w:t>Number of</w:t>
            </w:r>
          </w:p>
        </w:tc>
      </w:tr>
      <w:tr>
        <w:trPr>
          <w:trHeight w:val="204"/>
        </w:trPr>
        <w:tc>
          <w:tcPr>
            <w:tcW w:w="3180" w:type="dxa"/>
            <w:vAlign w:val="bottom"/>
            <w:shd w:val="clear" w:color="auto" w:fill="998C87"/>
          </w:tcPr>
          <w:p>
            <w:pPr>
              <w:spacing w:after="0"/>
              <w:rPr>
                <w:sz w:val="17"/>
                <w:szCs w:val="17"/>
                <w:color w:val="auto"/>
              </w:rPr>
            </w:pPr>
          </w:p>
        </w:tc>
        <w:tc>
          <w:tcPr>
            <w:tcW w:w="2200" w:type="dxa"/>
            <w:vAlign w:val="bottom"/>
            <w:shd w:val="clear" w:color="auto" w:fill="998C87"/>
          </w:tcPr>
          <w:p>
            <w:pPr>
              <w:jc w:val="right"/>
              <w:ind w:right="208"/>
              <w:spacing w:after="0"/>
              <w:rPr>
                <w:sz w:val="20"/>
                <w:szCs w:val="20"/>
                <w:color w:val="auto"/>
              </w:rPr>
            </w:pPr>
            <w:r>
              <w:rPr>
                <w:rFonts w:ascii="Arial" w:cs="Arial" w:eastAsia="Arial" w:hAnsi="Arial"/>
                <w:sz w:val="14"/>
                <w:szCs w:val="14"/>
                <w:b w:val="1"/>
                <w:bCs w:val="1"/>
                <w:color w:val="FFFFFF"/>
              </w:rPr>
              <w:t>as of December 31, 2017</w:t>
            </w:r>
          </w:p>
        </w:tc>
        <w:tc>
          <w:tcPr>
            <w:tcW w:w="2240" w:type="dxa"/>
            <w:vAlign w:val="bottom"/>
            <w:shd w:val="clear" w:color="auto" w:fill="998C87"/>
          </w:tcPr>
          <w:p>
            <w:pPr>
              <w:jc w:val="right"/>
              <w:ind w:right="208"/>
              <w:spacing w:after="0"/>
              <w:rPr>
                <w:sz w:val="20"/>
                <w:szCs w:val="20"/>
                <w:color w:val="auto"/>
              </w:rPr>
            </w:pPr>
            <w:r>
              <w:rPr>
                <w:rFonts w:ascii="Arial" w:cs="Arial" w:eastAsia="Arial" w:hAnsi="Arial"/>
                <w:sz w:val="14"/>
                <w:szCs w:val="14"/>
                <w:b w:val="1"/>
                <w:bCs w:val="1"/>
                <w:color w:val="FFFFFF"/>
              </w:rPr>
              <w:t>as of December 31, 2017</w:t>
            </w:r>
          </w:p>
        </w:tc>
        <w:tc>
          <w:tcPr>
            <w:tcW w:w="2280" w:type="dxa"/>
            <w:vAlign w:val="bottom"/>
            <w:shd w:val="clear" w:color="auto" w:fill="998C87"/>
          </w:tcPr>
          <w:p>
            <w:pPr>
              <w:jc w:val="right"/>
              <w:ind w:right="228"/>
              <w:spacing w:after="0"/>
              <w:rPr>
                <w:sz w:val="20"/>
                <w:szCs w:val="20"/>
                <w:color w:val="auto"/>
              </w:rPr>
            </w:pPr>
            <w:r>
              <w:rPr>
                <w:rFonts w:ascii="Arial" w:cs="Arial" w:eastAsia="Arial" w:hAnsi="Arial"/>
                <w:sz w:val="14"/>
                <w:szCs w:val="14"/>
                <w:b w:val="1"/>
                <w:bCs w:val="1"/>
                <w:color w:val="FFFFFF"/>
              </w:rPr>
              <w:t>as of December 31, 2017</w:t>
            </w:r>
          </w:p>
        </w:tc>
        <w:tc>
          <w:tcPr>
            <w:tcW w:w="1100" w:type="dxa"/>
            <w:vAlign w:val="bottom"/>
            <w:shd w:val="clear" w:color="auto" w:fill="998C87"/>
          </w:tcPr>
          <w:p>
            <w:pPr>
              <w:jc w:val="right"/>
              <w:ind w:right="88"/>
              <w:spacing w:after="0"/>
              <w:rPr>
                <w:sz w:val="20"/>
                <w:szCs w:val="20"/>
                <w:color w:val="auto"/>
              </w:rPr>
            </w:pPr>
            <w:r>
              <w:rPr>
                <w:rFonts w:ascii="Arial" w:cs="Arial" w:eastAsia="Arial" w:hAnsi="Arial"/>
                <w:sz w:val="14"/>
                <w:szCs w:val="14"/>
                <w:b w:val="1"/>
                <w:bCs w:val="1"/>
                <w:color w:val="FFFFFF"/>
              </w:rPr>
              <w:t>Employees</w:t>
            </w:r>
          </w:p>
        </w:tc>
      </w:tr>
      <w:tr>
        <w:trPr>
          <w:trHeight w:val="162"/>
        </w:trPr>
        <w:tc>
          <w:tcPr>
            <w:tcW w:w="3180" w:type="dxa"/>
            <w:vAlign w:val="bottom"/>
            <w:shd w:val="clear" w:color="auto" w:fill="F4F3F3"/>
          </w:tcPr>
          <w:p>
            <w:pPr>
              <w:ind w:left="160"/>
              <w:spacing w:after="0"/>
              <w:rPr>
                <w:sz w:val="20"/>
                <w:szCs w:val="20"/>
                <w:color w:val="auto"/>
              </w:rPr>
            </w:pPr>
            <w:r>
              <w:rPr>
                <w:rFonts w:ascii="Arial" w:cs="Arial" w:eastAsia="Arial" w:hAnsi="Arial"/>
                <w:sz w:val="14"/>
                <w:szCs w:val="14"/>
                <w:b w:val="1"/>
                <w:bCs w:val="1"/>
                <w:i w:val="1"/>
                <w:iCs w:val="1"/>
                <w:color w:val="998C87"/>
              </w:rPr>
              <w:t>Lodging Companies</w:t>
            </w:r>
          </w:p>
        </w:tc>
        <w:tc>
          <w:tcPr>
            <w:tcW w:w="2200" w:type="dxa"/>
            <w:vAlign w:val="bottom"/>
            <w:shd w:val="clear" w:color="auto" w:fill="F4F3F3"/>
          </w:tcPr>
          <w:p>
            <w:pPr>
              <w:spacing w:after="0"/>
              <w:rPr>
                <w:sz w:val="14"/>
                <w:szCs w:val="14"/>
                <w:color w:val="auto"/>
              </w:rPr>
            </w:pPr>
          </w:p>
        </w:tc>
        <w:tc>
          <w:tcPr>
            <w:tcW w:w="2240" w:type="dxa"/>
            <w:vAlign w:val="bottom"/>
            <w:shd w:val="clear" w:color="auto" w:fill="F4F3F3"/>
          </w:tcPr>
          <w:p>
            <w:pPr>
              <w:spacing w:after="0"/>
              <w:rPr>
                <w:sz w:val="14"/>
                <w:szCs w:val="14"/>
                <w:color w:val="auto"/>
              </w:rPr>
            </w:pPr>
          </w:p>
        </w:tc>
        <w:tc>
          <w:tcPr>
            <w:tcW w:w="2280" w:type="dxa"/>
            <w:vAlign w:val="bottom"/>
            <w:shd w:val="clear" w:color="auto" w:fill="F4F3F3"/>
          </w:tcPr>
          <w:p>
            <w:pPr>
              <w:spacing w:after="0"/>
              <w:rPr>
                <w:sz w:val="14"/>
                <w:szCs w:val="14"/>
                <w:color w:val="auto"/>
              </w:rPr>
            </w:pPr>
          </w:p>
        </w:tc>
        <w:tc>
          <w:tcPr>
            <w:tcW w:w="1100" w:type="dxa"/>
            <w:vAlign w:val="bottom"/>
            <w:shd w:val="clear" w:color="auto" w:fill="F4F3F3"/>
          </w:tcPr>
          <w:p>
            <w:pPr>
              <w:spacing w:after="0"/>
              <w:rPr>
                <w:sz w:val="14"/>
                <w:szCs w:val="14"/>
                <w:color w:val="auto"/>
              </w:rPr>
            </w:pPr>
          </w:p>
        </w:tc>
      </w:tr>
      <w:tr>
        <w:trPr>
          <w:trHeight w:val="162"/>
        </w:trPr>
        <w:tc>
          <w:tcPr>
            <w:tcW w:w="3180" w:type="dxa"/>
            <w:vAlign w:val="bottom"/>
            <w:shd w:val="clear" w:color="auto" w:fill="F4F3F3"/>
          </w:tcPr>
          <w:p>
            <w:pPr>
              <w:ind w:left="160"/>
              <w:spacing w:after="0"/>
              <w:rPr>
                <w:sz w:val="20"/>
                <w:szCs w:val="20"/>
                <w:color w:val="auto"/>
              </w:rPr>
            </w:pPr>
            <w:r>
              <w:rPr>
                <w:rFonts w:ascii="Arial" w:cs="Arial" w:eastAsia="Arial" w:hAnsi="Arial"/>
                <w:sz w:val="14"/>
                <w:szCs w:val="14"/>
                <w:color w:val="auto"/>
              </w:rPr>
              <w:t>Hilton Worldwide Holdings, Inc.</w:t>
            </w:r>
          </w:p>
        </w:tc>
        <w:tc>
          <w:tcPr>
            <w:tcW w:w="22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$ 9,140</w:t>
            </w:r>
          </w:p>
        </w:tc>
        <w:tc>
          <w:tcPr>
            <w:tcW w:w="224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$ 25,349</w:t>
            </w:r>
          </w:p>
        </w:tc>
        <w:tc>
          <w:tcPr>
            <w:tcW w:w="228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$ 31,384</w:t>
            </w:r>
          </w:p>
        </w:tc>
        <w:tc>
          <w:tcPr>
            <w:tcW w:w="11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163,000</w:t>
            </w:r>
          </w:p>
        </w:tc>
      </w:tr>
      <w:tr>
        <w:trPr>
          <w:trHeight w:val="162"/>
        </w:trPr>
        <w:tc>
          <w:tcPr>
            <w:tcW w:w="3180" w:type="dxa"/>
            <w:vAlign w:val="bottom"/>
            <w:shd w:val="clear" w:color="auto" w:fill="F4F3F3"/>
          </w:tcPr>
          <w:p>
            <w:pPr>
              <w:ind w:left="160"/>
              <w:spacing w:after="0"/>
              <w:rPr>
                <w:sz w:val="20"/>
                <w:szCs w:val="20"/>
                <w:color w:val="auto"/>
              </w:rPr>
            </w:pPr>
            <w:r>
              <w:rPr>
                <w:rFonts w:ascii="Arial" w:cs="Arial" w:eastAsia="Arial" w:hAnsi="Arial"/>
                <w:sz w:val="14"/>
                <w:szCs w:val="14"/>
                <w:color w:val="auto"/>
              </w:rPr>
              <w:t>Hyatt Hotels Corp</w:t>
            </w:r>
          </w:p>
        </w:tc>
        <w:tc>
          <w:tcPr>
            <w:tcW w:w="22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4,685</w:t>
            </w:r>
          </w:p>
        </w:tc>
        <w:tc>
          <w:tcPr>
            <w:tcW w:w="224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8,750</w:t>
            </w:r>
          </w:p>
        </w:tc>
        <w:tc>
          <w:tcPr>
            <w:tcW w:w="228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9,665</w:t>
            </w:r>
          </w:p>
        </w:tc>
        <w:tc>
          <w:tcPr>
            <w:tcW w:w="11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45,000</w:t>
            </w:r>
          </w:p>
        </w:tc>
      </w:tr>
      <w:tr>
        <w:trPr>
          <w:trHeight w:val="175"/>
        </w:trPr>
        <w:tc>
          <w:tcPr>
            <w:tcW w:w="3180" w:type="dxa"/>
            <w:vAlign w:val="bottom"/>
            <w:shd w:val="clear" w:color="auto" w:fill="F4F3F3"/>
          </w:tcPr>
          <w:p>
            <w:pPr>
              <w:ind w:left="160"/>
              <w:spacing w:after="0"/>
              <w:rPr>
                <w:sz w:val="20"/>
                <w:szCs w:val="20"/>
                <w:color w:val="auto"/>
              </w:rPr>
            </w:pPr>
            <w:r>
              <w:rPr>
                <w:rFonts w:ascii="Arial" w:cs="Arial" w:eastAsia="Arial" w:hAnsi="Arial"/>
                <w:sz w:val="14"/>
                <w:szCs w:val="14"/>
                <w:color w:val="auto"/>
              </w:rPr>
              <w:t>Wyndham Worldwide Corp</w:t>
            </w:r>
          </w:p>
        </w:tc>
        <w:tc>
          <w:tcPr>
            <w:tcW w:w="22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5,076</w:t>
            </w:r>
          </w:p>
        </w:tc>
        <w:tc>
          <w:tcPr>
            <w:tcW w:w="224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11,576</w:t>
            </w:r>
          </w:p>
        </w:tc>
        <w:tc>
          <w:tcPr>
            <w:tcW w:w="228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15,365</w:t>
            </w:r>
          </w:p>
        </w:tc>
        <w:tc>
          <w:tcPr>
            <w:tcW w:w="11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39,200</w:t>
            </w:r>
          </w:p>
        </w:tc>
      </w:tr>
      <w:tr>
        <w:trPr>
          <w:trHeight w:val="162"/>
        </w:trPr>
        <w:tc>
          <w:tcPr>
            <w:tcW w:w="3180" w:type="dxa"/>
            <w:vAlign w:val="bottom"/>
            <w:shd w:val="clear" w:color="auto" w:fill="F4F3F3"/>
          </w:tcPr>
          <w:p>
            <w:pPr>
              <w:ind w:left="160"/>
              <w:spacing w:after="0"/>
              <w:rPr>
                <w:sz w:val="20"/>
                <w:szCs w:val="20"/>
                <w:color w:val="auto"/>
              </w:rPr>
            </w:pPr>
            <w:r>
              <w:rPr>
                <w:rFonts w:ascii="Arial" w:cs="Arial" w:eastAsia="Arial" w:hAnsi="Arial"/>
                <w:sz w:val="14"/>
                <w:szCs w:val="14"/>
                <w:b w:val="1"/>
                <w:bCs w:val="1"/>
                <w:i w:val="1"/>
                <w:iCs w:val="1"/>
                <w:color w:val="998C87"/>
              </w:rPr>
              <w:t>Other Hotel, Restaurant &amp; Leisure</w:t>
            </w:r>
          </w:p>
        </w:tc>
        <w:tc>
          <w:tcPr>
            <w:tcW w:w="2200" w:type="dxa"/>
            <w:vAlign w:val="bottom"/>
            <w:shd w:val="clear" w:color="auto" w:fill="F4F3F3"/>
          </w:tcPr>
          <w:p>
            <w:pPr>
              <w:spacing w:after="0"/>
              <w:rPr>
                <w:sz w:val="14"/>
                <w:szCs w:val="14"/>
                <w:color w:val="auto"/>
              </w:rPr>
            </w:pPr>
          </w:p>
        </w:tc>
        <w:tc>
          <w:tcPr>
            <w:tcW w:w="2240" w:type="dxa"/>
            <w:vAlign w:val="bottom"/>
            <w:shd w:val="clear" w:color="auto" w:fill="F4F3F3"/>
          </w:tcPr>
          <w:p>
            <w:pPr>
              <w:spacing w:after="0"/>
              <w:rPr>
                <w:sz w:val="14"/>
                <w:szCs w:val="14"/>
                <w:color w:val="auto"/>
              </w:rPr>
            </w:pPr>
          </w:p>
        </w:tc>
        <w:tc>
          <w:tcPr>
            <w:tcW w:w="2280" w:type="dxa"/>
            <w:vAlign w:val="bottom"/>
            <w:shd w:val="clear" w:color="auto" w:fill="F4F3F3"/>
          </w:tcPr>
          <w:p>
            <w:pPr>
              <w:spacing w:after="0"/>
              <w:rPr>
                <w:sz w:val="14"/>
                <w:szCs w:val="14"/>
                <w:color w:val="auto"/>
              </w:rPr>
            </w:pPr>
          </w:p>
        </w:tc>
        <w:tc>
          <w:tcPr>
            <w:tcW w:w="1100" w:type="dxa"/>
            <w:vAlign w:val="bottom"/>
            <w:shd w:val="clear" w:color="auto" w:fill="F4F3F3"/>
          </w:tcPr>
          <w:p>
            <w:pPr>
              <w:spacing w:after="0"/>
              <w:rPr>
                <w:sz w:val="14"/>
                <w:szCs w:val="14"/>
                <w:color w:val="auto"/>
              </w:rPr>
            </w:pPr>
          </w:p>
        </w:tc>
      </w:tr>
      <w:tr>
        <w:trPr>
          <w:trHeight w:val="175"/>
        </w:trPr>
        <w:tc>
          <w:tcPr>
            <w:tcW w:w="3180" w:type="dxa"/>
            <w:vAlign w:val="bottom"/>
            <w:shd w:val="clear" w:color="auto" w:fill="F4F3F3"/>
          </w:tcPr>
          <w:p>
            <w:pPr>
              <w:ind w:left="140"/>
              <w:spacing w:after="0"/>
              <w:rPr>
                <w:sz w:val="20"/>
                <w:szCs w:val="20"/>
                <w:color w:val="auto"/>
              </w:rPr>
            </w:pPr>
            <w:r>
              <w:rPr>
                <w:rFonts w:ascii="Arial" w:cs="Arial" w:eastAsia="Arial" w:hAnsi="Arial"/>
                <w:sz w:val="14"/>
                <w:szCs w:val="14"/>
                <w:b w:val="1"/>
                <w:bCs w:val="1"/>
                <w:i w:val="1"/>
                <w:iCs w:val="1"/>
                <w:color w:val="998C87"/>
              </w:rPr>
              <w:t>Companies</w:t>
            </w:r>
          </w:p>
        </w:tc>
        <w:tc>
          <w:tcPr>
            <w:tcW w:w="2200" w:type="dxa"/>
            <w:vAlign w:val="bottom"/>
            <w:shd w:val="clear" w:color="auto" w:fill="F4F3F3"/>
          </w:tcPr>
          <w:p>
            <w:pPr>
              <w:spacing w:after="0"/>
              <w:rPr>
                <w:sz w:val="15"/>
                <w:szCs w:val="15"/>
                <w:color w:val="auto"/>
              </w:rPr>
            </w:pPr>
          </w:p>
        </w:tc>
        <w:tc>
          <w:tcPr>
            <w:tcW w:w="2240" w:type="dxa"/>
            <w:vAlign w:val="bottom"/>
            <w:shd w:val="clear" w:color="auto" w:fill="F4F3F3"/>
          </w:tcPr>
          <w:p>
            <w:pPr>
              <w:spacing w:after="0"/>
              <w:rPr>
                <w:sz w:val="15"/>
                <w:szCs w:val="15"/>
                <w:color w:val="auto"/>
              </w:rPr>
            </w:pPr>
          </w:p>
        </w:tc>
        <w:tc>
          <w:tcPr>
            <w:tcW w:w="2280" w:type="dxa"/>
            <w:vAlign w:val="bottom"/>
            <w:shd w:val="clear" w:color="auto" w:fill="F4F3F3"/>
          </w:tcPr>
          <w:p>
            <w:pPr>
              <w:spacing w:after="0"/>
              <w:rPr>
                <w:sz w:val="15"/>
                <w:szCs w:val="15"/>
                <w:color w:val="auto"/>
              </w:rPr>
            </w:pPr>
          </w:p>
        </w:tc>
        <w:tc>
          <w:tcPr>
            <w:tcW w:w="1100" w:type="dxa"/>
            <w:vAlign w:val="bottom"/>
            <w:shd w:val="clear" w:color="auto" w:fill="F4F3F3"/>
          </w:tcPr>
          <w:p>
            <w:pPr>
              <w:spacing w:after="0"/>
              <w:rPr>
                <w:sz w:val="15"/>
                <w:szCs w:val="15"/>
                <w:color w:val="auto"/>
              </w:rPr>
            </w:pPr>
          </w:p>
        </w:tc>
      </w:tr>
      <w:tr>
        <w:trPr>
          <w:trHeight w:val="162"/>
        </w:trPr>
        <w:tc>
          <w:tcPr>
            <w:tcW w:w="3180" w:type="dxa"/>
            <w:vAlign w:val="bottom"/>
            <w:shd w:val="clear" w:color="auto" w:fill="F4F3F3"/>
          </w:tcPr>
          <w:p>
            <w:pPr>
              <w:ind w:left="160"/>
              <w:spacing w:after="0"/>
              <w:rPr>
                <w:sz w:val="20"/>
                <w:szCs w:val="20"/>
                <w:color w:val="auto"/>
              </w:rPr>
            </w:pPr>
            <w:r>
              <w:rPr>
                <w:rFonts w:ascii="Arial" w:cs="Arial" w:eastAsia="Arial" w:hAnsi="Arial"/>
                <w:sz w:val="14"/>
                <w:szCs w:val="14"/>
                <w:color w:val="auto"/>
              </w:rPr>
              <w:t>Carnival Corp</w:t>
            </w:r>
          </w:p>
        </w:tc>
        <w:tc>
          <w:tcPr>
            <w:tcW w:w="22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17,510</w:t>
            </w:r>
          </w:p>
        </w:tc>
        <w:tc>
          <w:tcPr>
            <w:tcW w:w="224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47,130</w:t>
            </w:r>
          </w:p>
        </w:tc>
        <w:tc>
          <w:tcPr>
            <w:tcW w:w="228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55,930</w:t>
            </w:r>
          </w:p>
        </w:tc>
        <w:tc>
          <w:tcPr>
            <w:tcW w:w="11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86,000</w:t>
            </w:r>
          </w:p>
        </w:tc>
      </w:tr>
      <w:tr>
        <w:trPr>
          <w:trHeight w:val="162"/>
        </w:trPr>
        <w:tc>
          <w:tcPr>
            <w:tcW w:w="3180" w:type="dxa"/>
            <w:vAlign w:val="bottom"/>
            <w:shd w:val="clear" w:color="auto" w:fill="F4F3F3"/>
          </w:tcPr>
          <w:p>
            <w:pPr>
              <w:ind w:left="160"/>
              <w:spacing w:after="0"/>
              <w:rPr>
                <w:sz w:val="20"/>
                <w:szCs w:val="20"/>
                <w:color w:val="auto"/>
              </w:rPr>
            </w:pPr>
            <w:r>
              <w:rPr>
                <w:rFonts w:ascii="Arial" w:cs="Arial" w:eastAsia="Arial" w:hAnsi="Arial"/>
                <w:sz w:val="14"/>
                <w:szCs w:val="14"/>
                <w:color w:val="auto"/>
              </w:rPr>
              <w:t>Las Vegas Sands Corp</w:t>
            </w:r>
          </w:p>
        </w:tc>
        <w:tc>
          <w:tcPr>
            <w:tcW w:w="22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12,882</w:t>
            </w:r>
          </w:p>
        </w:tc>
        <w:tc>
          <w:tcPr>
            <w:tcW w:w="224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54,828</w:t>
            </w:r>
          </w:p>
        </w:tc>
        <w:tc>
          <w:tcPr>
            <w:tcW w:w="228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63,191</w:t>
            </w:r>
          </w:p>
        </w:tc>
        <w:tc>
          <w:tcPr>
            <w:tcW w:w="11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50,500</w:t>
            </w:r>
          </w:p>
        </w:tc>
      </w:tr>
      <w:tr>
        <w:trPr>
          <w:trHeight w:val="162"/>
        </w:trPr>
        <w:tc>
          <w:tcPr>
            <w:tcW w:w="3180" w:type="dxa"/>
            <w:vAlign w:val="bottom"/>
            <w:shd w:val="clear" w:color="auto" w:fill="F4F3F3"/>
          </w:tcPr>
          <w:p>
            <w:pPr>
              <w:ind w:left="160"/>
              <w:spacing w:after="0"/>
              <w:rPr>
                <w:sz w:val="20"/>
                <w:szCs w:val="20"/>
                <w:color w:val="auto"/>
              </w:rPr>
            </w:pPr>
            <w:r>
              <w:rPr>
                <w:rFonts w:ascii="Arial" w:cs="Arial" w:eastAsia="Arial" w:hAnsi="Arial"/>
                <w:sz w:val="14"/>
                <w:szCs w:val="14"/>
                <w:color w:val="auto"/>
              </w:rPr>
              <w:t>McDonald’s Corp</w:t>
            </w:r>
          </w:p>
        </w:tc>
        <w:tc>
          <w:tcPr>
            <w:tcW w:w="22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22,820</w:t>
            </w:r>
          </w:p>
        </w:tc>
        <w:tc>
          <w:tcPr>
            <w:tcW w:w="224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136,680</w:t>
            </w:r>
          </w:p>
        </w:tc>
        <w:tc>
          <w:tcPr>
            <w:tcW w:w="228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163,753</w:t>
            </w:r>
          </w:p>
        </w:tc>
        <w:tc>
          <w:tcPr>
            <w:tcW w:w="11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235,000</w:t>
            </w:r>
          </w:p>
        </w:tc>
      </w:tr>
      <w:tr>
        <w:trPr>
          <w:trHeight w:val="162"/>
        </w:trPr>
        <w:tc>
          <w:tcPr>
            <w:tcW w:w="3180" w:type="dxa"/>
            <w:vAlign w:val="bottom"/>
            <w:shd w:val="clear" w:color="auto" w:fill="F4F3F3"/>
          </w:tcPr>
          <w:p>
            <w:pPr>
              <w:ind w:left="160"/>
              <w:spacing w:after="0"/>
              <w:rPr>
                <w:sz w:val="20"/>
                <w:szCs w:val="20"/>
                <w:color w:val="auto"/>
              </w:rPr>
            </w:pPr>
            <w:r>
              <w:rPr>
                <w:rFonts w:ascii="Arial" w:cs="Arial" w:eastAsia="Arial" w:hAnsi="Arial"/>
                <w:sz w:val="14"/>
                <w:szCs w:val="14"/>
                <w:color w:val="auto"/>
              </w:rPr>
              <w:t>MGM Resorts International</w:t>
            </w:r>
          </w:p>
        </w:tc>
        <w:tc>
          <w:tcPr>
            <w:tcW w:w="22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10,774</w:t>
            </w:r>
          </w:p>
        </w:tc>
        <w:tc>
          <w:tcPr>
            <w:tcW w:w="224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18,908</w:t>
            </w:r>
          </w:p>
        </w:tc>
        <w:tc>
          <w:tcPr>
            <w:tcW w:w="228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34,431</w:t>
            </w:r>
          </w:p>
        </w:tc>
        <w:tc>
          <w:tcPr>
            <w:tcW w:w="11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51,000</w:t>
            </w:r>
          </w:p>
        </w:tc>
      </w:tr>
      <w:tr>
        <w:trPr>
          <w:trHeight w:val="162"/>
        </w:trPr>
        <w:tc>
          <w:tcPr>
            <w:tcW w:w="3180" w:type="dxa"/>
            <w:vAlign w:val="bottom"/>
            <w:shd w:val="clear" w:color="auto" w:fill="F4F3F3"/>
          </w:tcPr>
          <w:p>
            <w:pPr>
              <w:ind w:left="160"/>
              <w:spacing w:after="0"/>
              <w:rPr>
                <w:sz w:val="20"/>
                <w:szCs w:val="20"/>
                <w:color w:val="auto"/>
              </w:rPr>
            </w:pPr>
            <w:r>
              <w:rPr>
                <w:rFonts w:ascii="Arial" w:cs="Arial" w:eastAsia="Arial" w:hAnsi="Arial"/>
                <w:sz w:val="14"/>
                <w:szCs w:val="14"/>
                <w:color w:val="auto"/>
              </w:rPr>
              <w:t>Royal Caribbean Cruises Ltd</w:t>
            </w:r>
          </w:p>
        </w:tc>
        <w:tc>
          <w:tcPr>
            <w:tcW w:w="22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8,778</w:t>
            </w:r>
          </w:p>
        </w:tc>
        <w:tc>
          <w:tcPr>
            <w:tcW w:w="224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25,447</w:t>
            </w:r>
          </w:p>
        </w:tc>
        <w:tc>
          <w:tcPr>
            <w:tcW w:w="228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32,866</w:t>
            </w:r>
          </w:p>
        </w:tc>
        <w:tc>
          <w:tcPr>
            <w:tcW w:w="11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66,000</w:t>
            </w:r>
          </w:p>
        </w:tc>
      </w:tr>
      <w:tr>
        <w:trPr>
          <w:trHeight w:val="175"/>
        </w:trPr>
        <w:tc>
          <w:tcPr>
            <w:tcW w:w="3180" w:type="dxa"/>
            <w:vAlign w:val="bottom"/>
            <w:shd w:val="clear" w:color="auto" w:fill="F4F3F3"/>
          </w:tcPr>
          <w:p>
            <w:pPr>
              <w:ind w:left="160"/>
              <w:spacing w:after="0"/>
              <w:rPr>
                <w:sz w:val="20"/>
                <w:szCs w:val="20"/>
                <w:color w:val="auto"/>
              </w:rPr>
            </w:pPr>
            <w:r>
              <w:rPr>
                <w:rFonts w:ascii="Arial" w:cs="Arial" w:eastAsia="Arial" w:hAnsi="Arial"/>
                <w:sz w:val="14"/>
                <w:szCs w:val="14"/>
                <w:color w:val="auto"/>
              </w:rPr>
              <w:t>Starbucks Corp</w:t>
            </w:r>
          </w:p>
        </w:tc>
        <w:tc>
          <w:tcPr>
            <w:tcW w:w="22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22,387</w:t>
            </w:r>
          </w:p>
        </w:tc>
        <w:tc>
          <w:tcPr>
            <w:tcW w:w="224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80,838</w:t>
            </w:r>
          </w:p>
        </w:tc>
        <w:tc>
          <w:tcPr>
            <w:tcW w:w="228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81,994</w:t>
            </w:r>
          </w:p>
        </w:tc>
        <w:tc>
          <w:tcPr>
            <w:tcW w:w="11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277,000</w:t>
            </w:r>
          </w:p>
        </w:tc>
      </w:tr>
      <w:tr>
        <w:trPr>
          <w:trHeight w:val="162"/>
        </w:trPr>
        <w:tc>
          <w:tcPr>
            <w:tcW w:w="3180" w:type="dxa"/>
            <w:vAlign w:val="bottom"/>
            <w:shd w:val="clear" w:color="auto" w:fill="F4F3F3"/>
          </w:tcPr>
          <w:p>
            <w:pPr>
              <w:ind w:left="160"/>
              <w:spacing w:after="0"/>
              <w:rPr>
                <w:sz w:val="20"/>
                <w:szCs w:val="20"/>
                <w:color w:val="auto"/>
              </w:rPr>
            </w:pPr>
            <w:r>
              <w:rPr>
                <w:rFonts w:ascii="Arial" w:cs="Arial" w:eastAsia="Arial" w:hAnsi="Arial"/>
                <w:sz w:val="14"/>
                <w:szCs w:val="14"/>
                <w:b w:val="1"/>
                <w:bCs w:val="1"/>
                <w:i w:val="1"/>
                <w:iCs w:val="1"/>
                <w:color w:val="998C87"/>
              </w:rPr>
              <w:t>Other Retail &amp; Consumer Branded</w:t>
            </w:r>
          </w:p>
        </w:tc>
        <w:tc>
          <w:tcPr>
            <w:tcW w:w="2200" w:type="dxa"/>
            <w:vAlign w:val="bottom"/>
            <w:shd w:val="clear" w:color="auto" w:fill="F4F3F3"/>
          </w:tcPr>
          <w:p>
            <w:pPr>
              <w:spacing w:after="0"/>
              <w:rPr>
                <w:sz w:val="14"/>
                <w:szCs w:val="14"/>
                <w:color w:val="auto"/>
              </w:rPr>
            </w:pPr>
          </w:p>
        </w:tc>
        <w:tc>
          <w:tcPr>
            <w:tcW w:w="2240" w:type="dxa"/>
            <w:vAlign w:val="bottom"/>
            <w:shd w:val="clear" w:color="auto" w:fill="F4F3F3"/>
          </w:tcPr>
          <w:p>
            <w:pPr>
              <w:spacing w:after="0"/>
              <w:rPr>
                <w:sz w:val="14"/>
                <w:szCs w:val="14"/>
                <w:color w:val="auto"/>
              </w:rPr>
            </w:pPr>
          </w:p>
        </w:tc>
        <w:tc>
          <w:tcPr>
            <w:tcW w:w="2280" w:type="dxa"/>
            <w:vAlign w:val="bottom"/>
            <w:shd w:val="clear" w:color="auto" w:fill="F4F3F3"/>
          </w:tcPr>
          <w:p>
            <w:pPr>
              <w:spacing w:after="0"/>
              <w:rPr>
                <w:sz w:val="14"/>
                <w:szCs w:val="14"/>
                <w:color w:val="auto"/>
              </w:rPr>
            </w:pPr>
          </w:p>
        </w:tc>
        <w:tc>
          <w:tcPr>
            <w:tcW w:w="1100" w:type="dxa"/>
            <w:vAlign w:val="bottom"/>
            <w:shd w:val="clear" w:color="auto" w:fill="F4F3F3"/>
          </w:tcPr>
          <w:p>
            <w:pPr>
              <w:spacing w:after="0"/>
              <w:rPr>
                <w:sz w:val="14"/>
                <w:szCs w:val="14"/>
                <w:color w:val="auto"/>
              </w:rPr>
            </w:pPr>
          </w:p>
        </w:tc>
      </w:tr>
      <w:tr>
        <w:trPr>
          <w:trHeight w:val="175"/>
        </w:trPr>
        <w:tc>
          <w:tcPr>
            <w:tcW w:w="3180" w:type="dxa"/>
            <w:vAlign w:val="bottom"/>
            <w:shd w:val="clear" w:color="auto" w:fill="F4F3F3"/>
          </w:tcPr>
          <w:p>
            <w:pPr>
              <w:ind w:left="140"/>
              <w:spacing w:after="0"/>
              <w:rPr>
                <w:sz w:val="20"/>
                <w:szCs w:val="20"/>
                <w:color w:val="auto"/>
              </w:rPr>
            </w:pPr>
            <w:r>
              <w:rPr>
                <w:rFonts w:ascii="Arial" w:cs="Arial" w:eastAsia="Arial" w:hAnsi="Arial"/>
                <w:sz w:val="14"/>
                <w:szCs w:val="14"/>
                <w:b w:val="1"/>
                <w:bCs w:val="1"/>
                <w:i w:val="1"/>
                <w:iCs w:val="1"/>
                <w:color w:val="998C87"/>
              </w:rPr>
              <w:t>Companies</w:t>
            </w:r>
          </w:p>
        </w:tc>
        <w:tc>
          <w:tcPr>
            <w:tcW w:w="2200" w:type="dxa"/>
            <w:vAlign w:val="bottom"/>
            <w:shd w:val="clear" w:color="auto" w:fill="F4F3F3"/>
          </w:tcPr>
          <w:p>
            <w:pPr>
              <w:spacing w:after="0"/>
              <w:rPr>
                <w:sz w:val="15"/>
                <w:szCs w:val="15"/>
                <w:color w:val="auto"/>
              </w:rPr>
            </w:pPr>
          </w:p>
        </w:tc>
        <w:tc>
          <w:tcPr>
            <w:tcW w:w="2240" w:type="dxa"/>
            <w:vAlign w:val="bottom"/>
            <w:shd w:val="clear" w:color="auto" w:fill="F4F3F3"/>
          </w:tcPr>
          <w:p>
            <w:pPr>
              <w:spacing w:after="0"/>
              <w:rPr>
                <w:sz w:val="15"/>
                <w:szCs w:val="15"/>
                <w:color w:val="auto"/>
              </w:rPr>
            </w:pPr>
          </w:p>
        </w:tc>
        <w:tc>
          <w:tcPr>
            <w:tcW w:w="2280" w:type="dxa"/>
            <w:vAlign w:val="bottom"/>
            <w:shd w:val="clear" w:color="auto" w:fill="F4F3F3"/>
          </w:tcPr>
          <w:p>
            <w:pPr>
              <w:spacing w:after="0"/>
              <w:rPr>
                <w:sz w:val="15"/>
                <w:szCs w:val="15"/>
                <w:color w:val="auto"/>
              </w:rPr>
            </w:pPr>
          </w:p>
        </w:tc>
        <w:tc>
          <w:tcPr>
            <w:tcW w:w="1100" w:type="dxa"/>
            <w:vAlign w:val="bottom"/>
            <w:shd w:val="clear" w:color="auto" w:fill="F4F3F3"/>
          </w:tcPr>
          <w:p>
            <w:pPr>
              <w:spacing w:after="0"/>
              <w:rPr>
                <w:sz w:val="15"/>
                <w:szCs w:val="15"/>
                <w:color w:val="auto"/>
              </w:rPr>
            </w:pPr>
          </w:p>
        </w:tc>
      </w:tr>
      <w:tr>
        <w:trPr>
          <w:trHeight w:val="162"/>
        </w:trPr>
        <w:tc>
          <w:tcPr>
            <w:tcW w:w="3180" w:type="dxa"/>
            <w:vAlign w:val="bottom"/>
            <w:shd w:val="clear" w:color="auto" w:fill="F4F3F3"/>
          </w:tcPr>
          <w:p>
            <w:pPr>
              <w:ind w:left="160"/>
              <w:spacing w:after="0"/>
              <w:rPr>
                <w:sz w:val="20"/>
                <w:szCs w:val="20"/>
                <w:color w:val="auto"/>
              </w:rPr>
            </w:pPr>
            <w:r>
              <w:rPr>
                <w:rFonts w:ascii="Arial" w:cs="Arial" w:eastAsia="Arial" w:hAnsi="Arial"/>
                <w:sz w:val="14"/>
                <w:szCs w:val="14"/>
                <w:color w:val="auto"/>
              </w:rPr>
              <w:t>Best Buy Company, Inc.</w:t>
            </w:r>
          </w:p>
        </w:tc>
        <w:tc>
          <w:tcPr>
            <w:tcW w:w="22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42,151</w:t>
            </w:r>
          </w:p>
        </w:tc>
        <w:tc>
          <w:tcPr>
            <w:tcW w:w="224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20,825</w:t>
            </w:r>
          </w:p>
        </w:tc>
        <w:tc>
          <w:tcPr>
            <w:tcW w:w="228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19,047</w:t>
            </w:r>
          </w:p>
        </w:tc>
        <w:tc>
          <w:tcPr>
            <w:tcW w:w="11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125,000</w:t>
            </w:r>
          </w:p>
        </w:tc>
      </w:tr>
      <w:tr>
        <w:trPr>
          <w:trHeight w:val="162"/>
        </w:trPr>
        <w:tc>
          <w:tcPr>
            <w:tcW w:w="3180" w:type="dxa"/>
            <w:vAlign w:val="bottom"/>
            <w:shd w:val="clear" w:color="auto" w:fill="F4F3F3"/>
          </w:tcPr>
          <w:p>
            <w:pPr>
              <w:ind w:left="160"/>
              <w:spacing w:after="0"/>
              <w:rPr>
                <w:sz w:val="20"/>
                <w:szCs w:val="20"/>
                <w:color w:val="auto"/>
              </w:rPr>
            </w:pPr>
            <w:r>
              <w:rPr>
                <w:rFonts w:ascii="Arial" w:cs="Arial" w:eastAsia="Arial" w:hAnsi="Arial"/>
                <w:sz w:val="14"/>
                <w:szCs w:val="14"/>
                <w:color w:val="auto"/>
              </w:rPr>
              <w:t>Macy’s Inc.</w:t>
            </w:r>
          </w:p>
        </w:tc>
        <w:tc>
          <w:tcPr>
            <w:tcW w:w="22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24,837</w:t>
            </w:r>
          </w:p>
        </w:tc>
        <w:tc>
          <w:tcPr>
            <w:tcW w:w="224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7,586</w:t>
            </w:r>
          </w:p>
        </w:tc>
        <w:tc>
          <w:tcPr>
            <w:tcW w:w="228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12,002</w:t>
            </w:r>
          </w:p>
        </w:tc>
        <w:tc>
          <w:tcPr>
            <w:tcW w:w="11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130,000</w:t>
            </w:r>
          </w:p>
        </w:tc>
      </w:tr>
      <w:tr>
        <w:trPr>
          <w:trHeight w:val="162"/>
        </w:trPr>
        <w:tc>
          <w:tcPr>
            <w:tcW w:w="3180" w:type="dxa"/>
            <w:vAlign w:val="bottom"/>
            <w:shd w:val="clear" w:color="auto" w:fill="F4F3F3"/>
          </w:tcPr>
          <w:p>
            <w:pPr>
              <w:ind w:left="160"/>
              <w:spacing w:after="0"/>
              <w:rPr>
                <w:sz w:val="20"/>
                <w:szCs w:val="20"/>
                <w:color w:val="auto"/>
              </w:rPr>
            </w:pPr>
            <w:r>
              <w:rPr>
                <w:rFonts w:ascii="Arial" w:cs="Arial" w:eastAsia="Arial" w:hAnsi="Arial"/>
                <w:sz w:val="14"/>
                <w:szCs w:val="14"/>
                <w:color w:val="auto"/>
              </w:rPr>
              <w:t>Nike, Inc.</w:t>
            </w:r>
          </w:p>
        </w:tc>
        <w:tc>
          <w:tcPr>
            <w:tcW w:w="22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34,350</w:t>
            </w:r>
          </w:p>
        </w:tc>
        <w:tc>
          <w:tcPr>
            <w:tcW w:w="224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78,683</w:t>
            </w:r>
          </w:p>
        </w:tc>
        <w:tc>
          <w:tcPr>
            <w:tcW w:w="228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77,005</w:t>
            </w:r>
          </w:p>
        </w:tc>
        <w:tc>
          <w:tcPr>
            <w:tcW w:w="11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74,400</w:t>
            </w:r>
          </w:p>
        </w:tc>
      </w:tr>
      <w:tr>
        <w:trPr>
          <w:trHeight w:val="162"/>
        </w:trPr>
        <w:tc>
          <w:tcPr>
            <w:tcW w:w="3180" w:type="dxa"/>
            <w:vAlign w:val="bottom"/>
            <w:shd w:val="clear" w:color="auto" w:fill="F4F3F3"/>
          </w:tcPr>
          <w:p>
            <w:pPr>
              <w:ind w:left="140"/>
              <w:spacing w:after="0"/>
              <w:rPr>
                <w:sz w:val="20"/>
                <w:szCs w:val="20"/>
                <w:color w:val="auto"/>
              </w:rPr>
            </w:pPr>
            <w:r>
              <w:rPr>
                <w:rFonts w:ascii="Arial" w:cs="Arial" w:eastAsia="Arial" w:hAnsi="Arial"/>
                <w:sz w:val="14"/>
                <w:szCs w:val="14"/>
                <w:color w:val="auto"/>
              </w:rPr>
              <w:t>The TJX Companies, Inc.</w:t>
            </w:r>
          </w:p>
        </w:tc>
        <w:tc>
          <w:tcPr>
            <w:tcW w:w="22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35,865</w:t>
            </w:r>
          </w:p>
        </w:tc>
        <w:tc>
          <w:tcPr>
            <w:tcW w:w="224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49,617</w:t>
            </w:r>
          </w:p>
        </w:tc>
        <w:tc>
          <w:tcPr>
            <w:tcW w:w="228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48,583</w:t>
            </w:r>
          </w:p>
        </w:tc>
        <w:tc>
          <w:tcPr>
            <w:tcW w:w="11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235,000</w:t>
            </w:r>
          </w:p>
        </w:tc>
      </w:tr>
      <w:tr>
        <w:trPr>
          <w:trHeight w:val="175"/>
        </w:trPr>
        <w:tc>
          <w:tcPr>
            <w:tcW w:w="3180" w:type="dxa"/>
            <w:vAlign w:val="bottom"/>
            <w:shd w:val="clear" w:color="auto" w:fill="F4F3F3"/>
          </w:tcPr>
          <w:p>
            <w:pPr>
              <w:ind w:left="140"/>
              <w:spacing w:after="0"/>
              <w:rPr>
                <w:sz w:val="20"/>
                <w:szCs w:val="20"/>
                <w:color w:val="auto"/>
              </w:rPr>
            </w:pPr>
            <w:r>
              <w:rPr>
                <w:rFonts w:ascii="Arial" w:cs="Arial" w:eastAsia="Arial" w:hAnsi="Arial"/>
                <w:sz w:val="14"/>
                <w:szCs w:val="14"/>
                <w:color w:val="auto"/>
              </w:rPr>
              <w:t>The Walt Disney Company</w:t>
            </w:r>
          </w:p>
        </w:tc>
        <w:tc>
          <w:tcPr>
            <w:tcW w:w="22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55,137</w:t>
            </w:r>
          </w:p>
        </w:tc>
        <w:tc>
          <w:tcPr>
            <w:tcW w:w="224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161,265</w:t>
            </w:r>
          </w:p>
        </w:tc>
        <w:tc>
          <w:tcPr>
            <w:tcW w:w="228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187,615</w:t>
            </w:r>
          </w:p>
        </w:tc>
        <w:tc>
          <w:tcPr>
            <w:tcW w:w="11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199,000</w:t>
            </w:r>
          </w:p>
        </w:tc>
      </w:tr>
      <w:tr>
        <w:trPr>
          <w:trHeight w:val="175"/>
        </w:trPr>
        <w:tc>
          <w:tcPr>
            <w:tcW w:w="3180" w:type="dxa"/>
            <w:vAlign w:val="bottom"/>
            <w:shd w:val="clear" w:color="auto" w:fill="F4F3F3"/>
          </w:tcPr>
          <w:p>
            <w:pPr>
              <w:ind w:left="160"/>
              <w:spacing w:after="0"/>
              <w:rPr>
                <w:sz w:val="20"/>
                <w:szCs w:val="20"/>
                <w:color w:val="auto"/>
              </w:rPr>
            </w:pPr>
            <w:r>
              <w:rPr>
                <w:rFonts w:ascii="Arial" w:cs="Arial" w:eastAsia="Arial" w:hAnsi="Arial"/>
                <w:sz w:val="14"/>
                <w:szCs w:val="14"/>
                <w:b w:val="1"/>
                <w:bCs w:val="1"/>
                <w:i w:val="1"/>
                <w:iCs w:val="1"/>
                <w:color w:val="998C87"/>
              </w:rPr>
              <w:t>E-Commerce Companies</w:t>
            </w:r>
          </w:p>
        </w:tc>
        <w:tc>
          <w:tcPr>
            <w:tcW w:w="2200" w:type="dxa"/>
            <w:vAlign w:val="bottom"/>
            <w:shd w:val="clear" w:color="auto" w:fill="F4F3F3"/>
          </w:tcPr>
          <w:p>
            <w:pPr>
              <w:spacing w:after="0"/>
              <w:rPr>
                <w:sz w:val="15"/>
                <w:szCs w:val="15"/>
                <w:color w:val="auto"/>
              </w:rPr>
            </w:pPr>
          </w:p>
        </w:tc>
        <w:tc>
          <w:tcPr>
            <w:tcW w:w="2240" w:type="dxa"/>
            <w:vAlign w:val="bottom"/>
            <w:shd w:val="clear" w:color="auto" w:fill="F4F3F3"/>
          </w:tcPr>
          <w:p>
            <w:pPr>
              <w:spacing w:after="0"/>
              <w:rPr>
                <w:sz w:val="15"/>
                <w:szCs w:val="15"/>
                <w:color w:val="auto"/>
              </w:rPr>
            </w:pPr>
          </w:p>
        </w:tc>
        <w:tc>
          <w:tcPr>
            <w:tcW w:w="2280" w:type="dxa"/>
            <w:vAlign w:val="bottom"/>
            <w:shd w:val="clear" w:color="auto" w:fill="F4F3F3"/>
          </w:tcPr>
          <w:p>
            <w:pPr>
              <w:spacing w:after="0"/>
              <w:rPr>
                <w:sz w:val="15"/>
                <w:szCs w:val="15"/>
                <w:color w:val="auto"/>
              </w:rPr>
            </w:pPr>
          </w:p>
        </w:tc>
        <w:tc>
          <w:tcPr>
            <w:tcW w:w="1100" w:type="dxa"/>
            <w:vAlign w:val="bottom"/>
            <w:shd w:val="clear" w:color="auto" w:fill="F4F3F3"/>
          </w:tcPr>
          <w:p>
            <w:pPr>
              <w:spacing w:after="0"/>
              <w:rPr>
                <w:sz w:val="15"/>
                <w:szCs w:val="15"/>
                <w:color w:val="auto"/>
              </w:rPr>
            </w:pPr>
          </w:p>
        </w:tc>
      </w:tr>
      <w:tr>
        <w:trPr>
          <w:trHeight w:val="162"/>
        </w:trPr>
        <w:tc>
          <w:tcPr>
            <w:tcW w:w="3180" w:type="dxa"/>
            <w:vAlign w:val="bottom"/>
            <w:shd w:val="clear" w:color="auto" w:fill="F4F3F3"/>
          </w:tcPr>
          <w:p>
            <w:pPr>
              <w:ind w:left="160"/>
              <w:spacing w:after="0"/>
              <w:rPr>
                <w:sz w:val="20"/>
                <w:szCs w:val="20"/>
                <w:color w:val="auto"/>
              </w:rPr>
            </w:pPr>
            <w:r>
              <w:rPr>
                <w:rFonts w:ascii="Arial" w:cs="Arial" w:eastAsia="Arial" w:hAnsi="Arial"/>
                <w:sz w:val="14"/>
                <w:szCs w:val="14"/>
                <w:color w:val="auto"/>
              </w:rPr>
              <w:t>eBay, Inc.</w:t>
            </w:r>
          </w:p>
        </w:tc>
        <w:tc>
          <w:tcPr>
            <w:tcW w:w="22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9,567</w:t>
            </w:r>
          </w:p>
        </w:tc>
        <w:tc>
          <w:tcPr>
            <w:tcW w:w="224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38,834</w:t>
            </w:r>
          </w:p>
        </w:tc>
        <w:tc>
          <w:tcPr>
            <w:tcW w:w="228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42,986</w:t>
            </w:r>
          </w:p>
        </w:tc>
        <w:tc>
          <w:tcPr>
            <w:tcW w:w="11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14,100</w:t>
            </w:r>
          </w:p>
        </w:tc>
      </w:tr>
      <w:tr>
        <w:trPr>
          <w:trHeight w:val="162"/>
        </w:trPr>
        <w:tc>
          <w:tcPr>
            <w:tcW w:w="3180" w:type="dxa"/>
            <w:vAlign w:val="bottom"/>
            <w:shd w:val="clear" w:color="auto" w:fill="F4F3F3"/>
          </w:tcPr>
          <w:p>
            <w:pPr>
              <w:ind w:left="160"/>
              <w:spacing w:after="0"/>
              <w:rPr>
                <w:sz w:val="20"/>
                <w:szCs w:val="20"/>
                <w:color w:val="auto"/>
              </w:rPr>
            </w:pPr>
            <w:r>
              <w:rPr>
                <w:rFonts w:ascii="Arial" w:cs="Arial" w:eastAsia="Arial" w:hAnsi="Arial"/>
                <w:sz w:val="14"/>
                <w:szCs w:val="14"/>
                <w:color w:val="auto"/>
              </w:rPr>
              <w:t>Expedia, Inc.</w:t>
            </w:r>
          </w:p>
        </w:tc>
        <w:tc>
          <w:tcPr>
            <w:tcW w:w="22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10,060</w:t>
            </w:r>
          </w:p>
        </w:tc>
        <w:tc>
          <w:tcPr>
            <w:tcW w:w="224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18,174</w:t>
            </w:r>
          </w:p>
        </w:tc>
        <w:tc>
          <w:tcPr>
            <w:tcW w:w="228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20,736</w:t>
            </w:r>
          </w:p>
        </w:tc>
        <w:tc>
          <w:tcPr>
            <w:tcW w:w="11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22,615</w:t>
            </w:r>
          </w:p>
        </w:tc>
      </w:tr>
      <w:tr>
        <w:trPr>
          <w:trHeight w:val="176"/>
        </w:trPr>
        <w:tc>
          <w:tcPr>
            <w:tcW w:w="3180" w:type="dxa"/>
            <w:vAlign w:val="bottom"/>
            <w:shd w:val="clear" w:color="auto" w:fill="F4F3F3"/>
          </w:tcPr>
          <w:p>
            <w:pPr>
              <w:ind w:left="140"/>
              <w:spacing w:after="0"/>
              <w:rPr>
                <w:sz w:val="20"/>
                <w:szCs w:val="20"/>
                <w:color w:val="auto"/>
              </w:rPr>
            </w:pPr>
            <w:r>
              <w:rPr>
                <w:rFonts w:ascii="Arial" w:cs="Arial" w:eastAsia="Arial" w:hAnsi="Arial"/>
                <w:sz w:val="14"/>
                <w:szCs w:val="14"/>
                <w:color w:val="auto"/>
              </w:rPr>
              <w:t>The Priceline Group, Inc.</w:t>
            </w:r>
          </w:p>
        </w:tc>
        <w:tc>
          <w:tcPr>
            <w:tcW w:w="22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12,681</w:t>
            </w:r>
          </w:p>
        </w:tc>
        <w:tc>
          <w:tcPr>
            <w:tcW w:w="224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84,232</w:t>
            </w:r>
          </w:p>
        </w:tc>
        <w:tc>
          <w:tcPr>
            <w:tcW w:w="228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75,930</w:t>
            </w:r>
          </w:p>
        </w:tc>
        <w:tc>
          <w:tcPr>
            <w:tcW w:w="11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22,900</w:t>
            </w:r>
          </w:p>
        </w:tc>
      </w:tr>
      <w:tr>
        <w:trPr>
          <w:trHeight w:val="162"/>
        </w:trPr>
        <w:tc>
          <w:tcPr>
            <w:tcW w:w="3180" w:type="dxa"/>
            <w:vAlign w:val="bottom"/>
            <w:shd w:val="clear" w:color="auto" w:fill="F4F3F3"/>
          </w:tcPr>
          <w:p>
            <w:pPr>
              <w:ind w:left="160"/>
              <w:spacing w:after="0"/>
              <w:rPr>
                <w:sz w:val="20"/>
                <w:szCs w:val="20"/>
                <w:color w:val="auto"/>
              </w:rPr>
            </w:pPr>
            <w:r>
              <w:rPr>
                <w:rFonts w:ascii="Arial" w:cs="Arial" w:eastAsia="Arial" w:hAnsi="Arial"/>
                <w:sz w:val="14"/>
                <w:szCs w:val="14"/>
                <w:color w:val="auto"/>
              </w:rPr>
              <w:t>Marriott International, Inc.(2)</w:t>
            </w:r>
          </w:p>
        </w:tc>
        <w:tc>
          <w:tcPr>
            <w:tcW w:w="22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22,894</w:t>
            </w:r>
          </w:p>
        </w:tc>
        <w:tc>
          <w:tcPr>
            <w:tcW w:w="224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48,741</w:t>
            </w:r>
          </w:p>
        </w:tc>
        <w:tc>
          <w:tcPr>
            <w:tcW w:w="228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56,596</w:t>
            </w:r>
          </w:p>
        </w:tc>
        <w:tc>
          <w:tcPr>
            <w:tcW w:w="11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177,000</w:t>
            </w:r>
          </w:p>
        </w:tc>
      </w:tr>
      <w:tr>
        <w:trPr>
          <w:trHeight w:val="175"/>
        </w:trPr>
        <w:tc>
          <w:tcPr>
            <w:tcW w:w="3180" w:type="dxa"/>
            <w:vAlign w:val="bottom"/>
            <w:shd w:val="clear" w:color="auto" w:fill="F4F3F3"/>
          </w:tcPr>
          <w:p>
            <w:pPr>
              <w:ind w:left="160"/>
              <w:spacing w:after="0"/>
              <w:rPr>
                <w:sz w:val="20"/>
                <w:szCs w:val="20"/>
                <w:color w:val="auto"/>
              </w:rPr>
            </w:pPr>
            <w:r>
              <w:rPr>
                <w:rFonts w:ascii="Arial" w:cs="Arial" w:eastAsia="Arial" w:hAnsi="Arial"/>
                <w:sz w:val="14"/>
                <w:szCs w:val="14"/>
                <w:color w:val="auto"/>
              </w:rPr>
              <w:t>Percentile Rank</w:t>
            </w:r>
          </w:p>
        </w:tc>
        <w:tc>
          <w:tcPr>
            <w:tcW w:w="2200" w:type="dxa"/>
            <w:vAlign w:val="bottom"/>
            <w:shd w:val="clear" w:color="auto" w:fill="F4F3F3"/>
          </w:tcPr>
          <w:p>
            <w:pPr>
              <w:jc w:val="right"/>
              <w:ind w:right="8"/>
              <w:spacing w:after="0"/>
              <w:rPr>
                <w:sz w:val="20"/>
                <w:szCs w:val="20"/>
                <w:color w:val="auto"/>
              </w:rPr>
            </w:pPr>
            <w:r>
              <w:rPr>
                <w:rFonts w:ascii="Arial" w:cs="Arial" w:eastAsia="Arial" w:hAnsi="Arial"/>
                <w:sz w:val="14"/>
                <w:szCs w:val="14"/>
                <w:i w:val="1"/>
                <w:iCs w:val="1"/>
                <w:color w:val="auto"/>
              </w:rPr>
              <w:t>68th</w:t>
            </w:r>
          </w:p>
        </w:tc>
        <w:tc>
          <w:tcPr>
            <w:tcW w:w="2240" w:type="dxa"/>
            <w:vAlign w:val="bottom"/>
            <w:shd w:val="clear" w:color="auto" w:fill="F4F3F3"/>
          </w:tcPr>
          <w:p>
            <w:pPr>
              <w:jc w:val="right"/>
              <w:ind w:right="8"/>
              <w:spacing w:after="0"/>
              <w:rPr>
                <w:sz w:val="20"/>
                <w:szCs w:val="20"/>
                <w:color w:val="auto"/>
              </w:rPr>
            </w:pPr>
            <w:r>
              <w:rPr>
                <w:rFonts w:ascii="Arial" w:cs="Arial" w:eastAsia="Arial" w:hAnsi="Arial"/>
                <w:sz w:val="14"/>
                <w:szCs w:val="14"/>
                <w:i w:val="1"/>
                <w:iCs w:val="1"/>
                <w:color w:val="auto"/>
              </w:rPr>
              <w:t>60th</w:t>
            </w:r>
          </w:p>
        </w:tc>
        <w:tc>
          <w:tcPr>
            <w:tcW w:w="2280" w:type="dxa"/>
            <w:vAlign w:val="bottom"/>
            <w:shd w:val="clear" w:color="auto" w:fill="F4F3F3"/>
          </w:tcPr>
          <w:p>
            <w:pPr>
              <w:jc w:val="right"/>
              <w:ind w:right="8"/>
              <w:spacing w:after="0"/>
              <w:rPr>
                <w:sz w:val="20"/>
                <w:szCs w:val="20"/>
                <w:color w:val="auto"/>
              </w:rPr>
            </w:pPr>
            <w:r>
              <w:rPr>
                <w:rFonts w:ascii="Arial" w:cs="Arial" w:eastAsia="Arial" w:hAnsi="Arial"/>
                <w:sz w:val="14"/>
                <w:szCs w:val="14"/>
                <w:i w:val="1"/>
                <w:iCs w:val="1"/>
                <w:color w:val="auto"/>
              </w:rPr>
              <w:t>63rd</w:t>
            </w:r>
          </w:p>
        </w:tc>
        <w:tc>
          <w:tcPr>
            <w:tcW w:w="1100" w:type="dxa"/>
            <w:vAlign w:val="bottom"/>
            <w:shd w:val="clear" w:color="auto" w:fill="F4F3F3"/>
          </w:tcPr>
          <w:p>
            <w:pPr>
              <w:jc w:val="right"/>
              <w:ind w:right="8"/>
              <w:spacing w:after="0"/>
              <w:rPr>
                <w:sz w:val="20"/>
                <w:szCs w:val="20"/>
                <w:color w:val="auto"/>
              </w:rPr>
            </w:pPr>
            <w:r>
              <w:rPr>
                <w:rFonts w:ascii="Arial" w:cs="Arial" w:eastAsia="Arial" w:hAnsi="Arial"/>
                <w:sz w:val="14"/>
                <w:szCs w:val="14"/>
                <w:i w:val="1"/>
                <w:iCs w:val="1"/>
                <w:color w:val="auto"/>
              </w:rPr>
              <w:t>77th</w:t>
            </w:r>
          </w:p>
        </w:tc>
      </w:tr>
    </w:tbl>
    <w:p>
      <w:pPr>
        <w:spacing w:after="0" w:line="230" w:lineRule="exact"/>
        <w:rPr>
          <w:sz w:val="20"/>
          <w:szCs w:val="20"/>
          <w:color w:val="auto"/>
        </w:rPr>
      </w:pPr>
    </w:p>
    <w:p>
      <w:pPr>
        <w:ind w:left="220"/>
        <w:spacing w:after="0"/>
        <w:rPr>
          <w:sz w:val="20"/>
          <w:szCs w:val="20"/>
          <w:color w:val="auto"/>
        </w:rPr>
      </w:pPr>
      <w:r>
        <w:rPr>
          <w:rFonts w:ascii="Arial" w:cs="Arial" w:eastAsia="Arial" w:hAnsi="Arial"/>
          <w:sz w:val="14"/>
          <w:szCs w:val="14"/>
          <w:color w:val="333333"/>
        </w:rPr>
        <w:t>Source:Bloomberg</w:t>
      </w:r>
    </w:p>
    <w:p>
      <w:pPr>
        <w:ind w:left="420" w:hanging="210"/>
        <w:spacing w:after="0" w:line="188" w:lineRule="auto"/>
        <w:tabs>
          <w:tab w:leader="none" w:pos="420" w:val="left"/>
        </w:tabs>
        <w:numPr>
          <w:ilvl w:val="0"/>
          <w:numId w:val="99"/>
        </w:numPr>
        <w:rPr>
          <w:rFonts w:ascii="Arial" w:cs="Arial" w:eastAsia="Arial" w:hAnsi="Arial"/>
          <w:sz w:val="20"/>
          <w:szCs w:val="20"/>
          <w:color w:val="333333"/>
          <w:vertAlign w:val="superscript"/>
        </w:rPr>
      </w:pPr>
      <w:r>
        <w:rPr>
          <w:rFonts w:ascii="Arial" w:cs="Arial" w:eastAsia="Arial" w:hAnsi="Arial"/>
          <w:sz w:val="12"/>
          <w:szCs w:val="12"/>
          <w:color w:val="333333"/>
        </w:rPr>
        <w:t>Amounts are reported in millions. Enterprise Value is the sum of market capitalization, debt and preferred stock, less cash and cash equivalents.</w:t>
      </w:r>
    </w:p>
    <w:p>
      <w:pPr>
        <w:ind w:left="420" w:right="220" w:hanging="210"/>
        <w:spacing w:after="0" w:line="185" w:lineRule="auto"/>
        <w:tabs>
          <w:tab w:leader="none" w:pos="420" w:val="left"/>
        </w:tabs>
        <w:numPr>
          <w:ilvl w:val="0"/>
          <w:numId w:val="99"/>
        </w:numPr>
        <w:rPr>
          <w:rFonts w:ascii="Arial" w:cs="Arial" w:eastAsia="Arial" w:hAnsi="Arial"/>
          <w:sz w:val="24"/>
          <w:szCs w:val="24"/>
          <w:color w:val="333333"/>
          <w:vertAlign w:val="superscript"/>
        </w:rPr>
      </w:pPr>
      <w:r>
        <w:rPr>
          <w:rFonts w:ascii="Arial" w:cs="Arial" w:eastAsia="Arial" w:hAnsi="Arial"/>
          <w:sz w:val="14"/>
          <w:szCs w:val="14"/>
          <w:color w:val="333333"/>
        </w:rPr>
        <w:t>Revenue amount for the Company is shown as reflected in our financial statements. However, system-wide revenues, including revenues of our franchisees, are much higher.</w:t>
      </w:r>
    </w:p>
    <w:p>
      <w:pPr>
        <w:spacing w:after="0" w:line="107" w:lineRule="exact"/>
        <w:rPr>
          <w:sz w:val="20"/>
          <w:szCs w:val="20"/>
          <w:color w:val="auto"/>
        </w:rPr>
      </w:pPr>
    </w:p>
    <w:tbl>
      <w:tblPr>
        <w:tblLayout w:type="fixed"/>
        <w:tblInd w:w="9180" w:type="dxa"/>
        <w:tblCellMar>
          <w:top w:w="0" w:type="dxa"/>
          <w:left w:w="0" w:type="dxa"/>
          <w:bottom w:w="0" w:type="dxa"/>
          <w:right w:w="0" w:type="dxa"/>
        </w:tblCellMar>
      </w:tblPr>
      <w:tr>
        <w:trPr>
          <w:trHeight w:val="214"/>
        </w:trPr>
        <w:tc>
          <w:tcPr>
            <w:tcW w:w="1660" w:type="dxa"/>
            <w:vAlign w:val="bottom"/>
          </w:tcPr>
          <w:p>
            <w:pPr>
              <w:spacing w:after="0"/>
              <w:rPr>
                <w:sz w:val="20"/>
                <w:szCs w:val="20"/>
                <w:color w:val="auto"/>
              </w:rPr>
            </w:pPr>
            <w:r>
              <w:rPr>
                <w:rFonts w:ascii="Arial" w:cs="Arial" w:eastAsia="Arial" w:hAnsi="Arial"/>
                <w:sz w:val="15"/>
                <w:szCs w:val="15"/>
                <w:color w:val="998C87"/>
              </w:rPr>
              <w:t>2018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43</w:t>
            </w:r>
          </w:p>
        </w:tc>
      </w:tr>
    </w:tbl>
    <w:p>
      <w:pPr>
        <w:sectPr>
          <w:pgSz w:w="11900" w:h="16838" w:orient="portrait"/>
          <w:cols w:equalWidth="0" w:num="1">
            <w:col w:w="11220"/>
          </w:cols>
          <w:pgMar w:left="240" w:top="455" w:right="4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Tax Considerations</w:t>
      </w:r>
    </w:p>
    <w:p>
      <w:pPr>
        <w:spacing w:after="0" w:line="103" w:lineRule="exact"/>
        <w:rPr>
          <w:sz w:val="20"/>
          <w:szCs w:val="20"/>
          <w:color w:val="auto"/>
        </w:rPr>
      </w:pPr>
    </w:p>
    <w:p>
      <w:pPr>
        <w:ind w:left="220" w:right="80"/>
        <w:spacing w:after="0" w:line="236" w:lineRule="auto"/>
        <w:rPr>
          <w:sz w:val="20"/>
          <w:szCs w:val="20"/>
          <w:color w:val="auto"/>
        </w:rPr>
      </w:pPr>
      <w:r>
        <w:rPr>
          <w:rFonts w:ascii="Arial" w:cs="Arial" w:eastAsia="Arial" w:hAnsi="Arial"/>
          <w:sz w:val="17"/>
          <w:szCs w:val="17"/>
          <w:color w:val="auto"/>
        </w:rPr>
        <w:t>Internal Revenue Code Section 162(m) limits the Company’s federal income tax deduction for compensation in excess of one million dollars paid annually to our Chief Executive Officer and certain other executive officers (“covered employees”). However, at the time the Committee made its compensation decisions for 2017, Section 162(m) provided that performance-based compensation could be excluded from the limitation so long as it met certain requirements. The Committee has taken steps designed to satisfy certain requirements under Section 162(m) so that payments to covered employees under the annual cash incentive program and compensation attributable to PSUs, RSUs and SARs granted to covered employees in 2017 may qualify as deductible compensation under Section 162(m). For these purposes, payments under certain components of the annual cash incentive program are conditioned on achieving earnings before interest, taxes, depreciation and amortization (“</w:t>
      </w:r>
      <w:r>
        <w:rPr>
          <w:rFonts w:ascii="Arial" w:cs="Arial" w:eastAsia="Arial" w:hAnsi="Arial"/>
          <w:sz w:val="17"/>
          <w:szCs w:val="17"/>
          <w:i w:val="1"/>
          <w:iCs w:val="1"/>
          <w:color w:val="auto"/>
        </w:rPr>
        <w:t>EBITDA</w:t>
      </w:r>
      <w:r>
        <w:rPr>
          <w:rFonts w:ascii="Arial" w:cs="Arial" w:eastAsia="Arial" w:hAnsi="Arial"/>
          <w:sz w:val="17"/>
          <w:szCs w:val="17"/>
          <w:color w:val="auto"/>
        </w:rPr>
        <w:t>”) of $2,480 million for 2017, a threshold established to support our compensation objectives with a meaningful level of cash flow. Actual EBITDA of $3,592 million exceeded the threshold, as reported in the schedules to the Company’s press release issued on February 14, 2018 reporting financial results for the quarter and year ended December 31, 2017, attached as Exhibit 99.1 to our Form 8-K filed on February 14, 2018.</w:t>
      </w:r>
    </w:p>
    <w:p>
      <w:pPr>
        <w:spacing w:after="0" w:line="74" w:lineRule="exact"/>
        <w:rPr>
          <w:sz w:val="20"/>
          <w:szCs w:val="20"/>
          <w:color w:val="auto"/>
        </w:rPr>
      </w:pPr>
    </w:p>
    <w:p>
      <w:pPr>
        <w:ind w:left="220" w:right="100"/>
        <w:spacing w:after="0" w:line="236" w:lineRule="auto"/>
        <w:rPr>
          <w:sz w:val="20"/>
          <w:szCs w:val="20"/>
          <w:color w:val="auto"/>
        </w:rPr>
      </w:pPr>
      <w:r>
        <w:rPr>
          <w:rFonts w:ascii="Arial" w:cs="Arial" w:eastAsia="Arial" w:hAnsi="Arial"/>
          <w:sz w:val="17"/>
          <w:szCs w:val="17"/>
          <w:color w:val="auto"/>
        </w:rPr>
        <w:t>Under federal tax reform legislation signed into law on December 22, 2017, the performance-based compensation exception to Section 162(m) was eliminated effective for taxable years beginning after December 31, 2017, such that compensation paid to covered employees in excess of one million dollars annually will not be deductible, except that a transition rule may allow the exception to continue to apply to compensation that satisfied an exception from the deduction limitation and is paid pursuant to certain written arrangements that were in effect on November 2, 2017 and not materially modified after that date. Because deductibility under Section 162(m) is determined under a set of standards which may be subject to different interpretations in application, including the scope of the transition rule under the federal tax reform legislation, we cannot be certain that compensation intended by the Committee to satisfy the deductibility requirements under Section 162(m) will in fact be deductible. Further, because the Committee believes it is important to manage our compensation programs to meet the objectives of our executive compensation philosophy and a variety of other corporate objectives, such as attracting and retaining key management in a competitive marketplace, managing equity dilution, workforce planning, and customer satisfaction, the Committee expects to maintain its performance-based and other executive compensation programs without regard to whether such arrangements will be fully tax deductible.</w:t>
      </w:r>
    </w:p>
    <w:p>
      <w:pPr>
        <w:spacing w:after="0" w:line="280"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Risk Considerations</w:t>
      </w:r>
    </w:p>
    <w:p>
      <w:pPr>
        <w:spacing w:after="0" w:line="104" w:lineRule="exact"/>
        <w:rPr>
          <w:sz w:val="20"/>
          <w:szCs w:val="20"/>
          <w:color w:val="auto"/>
        </w:rPr>
      </w:pPr>
    </w:p>
    <w:p>
      <w:pPr>
        <w:ind w:left="220" w:right="760"/>
        <w:spacing w:after="0" w:line="274" w:lineRule="auto"/>
        <w:rPr>
          <w:sz w:val="20"/>
          <w:szCs w:val="20"/>
          <w:color w:val="auto"/>
        </w:rPr>
      </w:pPr>
      <w:r>
        <w:rPr>
          <w:rFonts w:ascii="Arial" w:cs="Arial" w:eastAsia="Arial" w:hAnsi="Arial"/>
          <w:sz w:val="17"/>
          <w:szCs w:val="17"/>
          <w:color w:val="auto"/>
        </w:rPr>
        <w:t>The Committee considered risk in determining 2017 NEO compensation and believes that the following aspects of NEO pay discourage unreasonable or excessive risk-taking by executives:</w:t>
      </w:r>
    </w:p>
    <w:p>
      <w:pPr>
        <w:spacing w:after="0" w:line="53" w:lineRule="exact"/>
        <w:rPr>
          <w:sz w:val="20"/>
          <w:szCs w:val="20"/>
          <w:color w:val="auto"/>
        </w:rPr>
      </w:pPr>
    </w:p>
    <w:p>
      <w:pPr>
        <w:ind w:left="420" w:right="20" w:hanging="210"/>
        <w:spacing w:after="0" w:line="274" w:lineRule="auto"/>
        <w:tabs>
          <w:tab w:leader="none" w:pos="42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Base salary levels are commensurate with the executives’ responsibilities (and the external market) so that the executives are not motivated to take excessive risks to achieve an appropriate level of financial security.</w:t>
      </w:r>
    </w:p>
    <w:p>
      <w:pPr>
        <w:spacing w:after="0" w:line="52" w:lineRule="exact"/>
        <w:rPr>
          <w:rFonts w:ascii="Arial" w:cs="Arial" w:eastAsia="Arial" w:hAnsi="Arial"/>
          <w:sz w:val="17"/>
          <w:szCs w:val="17"/>
          <w:color w:val="auto"/>
        </w:rPr>
      </w:pPr>
    </w:p>
    <w:p>
      <w:pPr>
        <w:ind w:left="420" w:hanging="210"/>
        <w:spacing w:after="0"/>
        <w:tabs>
          <w:tab w:leader="none" w:pos="42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Annual cash incentive plans include a diverse mix of corporate and individual performance metrics.</w:t>
      </w:r>
    </w:p>
    <w:p>
      <w:pPr>
        <w:spacing w:after="0" w:line="114" w:lineRule="exact"/>
        <w:rPr>
          <w:rFonts w:ascii="Arial" w:cs="Arial" w:eastAsia="Arial" w:hAnsi="Arial"/>
          <w:sz w:val="17"/>
          <w:szCs w:val="17"/>
          <w:color w:val="auto"/>
        </w:rPr>
      </w:pPr>
    </w:p>
    <w:p>
      <w:pPr>
        <w:ind w:left="420" w:right="100" w:hanging="210"/>
        <w:spacing w:after="0" w:line="274" w:lineRule="auto"/>
        <w:tabs>
          <w:tab w:leader="none" w:pos="42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Annual cash incentive opportunities are capped so that no payout exceeds a specified percentage of salary, thereby moderating the impact of short-term incentives.</w:t>
      </w:r>
    </w:p>
    <w:p>
      <w:pPr>
        <w:spacing w:after="0" w:line="52" w:lineRule="exact"/>
        <w:rPr>
          <w:rFonts w:ascii="Arial" w:cs="Arial" w:eastAsia="Arial" w:hAnsi="Arial"/>
          <w:sz w:val="17"/>
          <w:szCs w:val="17"/>
          <w:color w:val="auto"/>
        </w:rPr>
      </w:pPr>
    </w:p>
    <w:p>
      <w:pPr>
        <w:ind w:left="420" w:right="80" w:hanging="210"/>
        <w:spacing w:after="0" w:line="253" w:lineRule="auto"/>
        <w:tabs>
          <w:tab w:leader="none" w:pos="42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Committee and the Board have discretion to decrease annual cash incentive payouts, for example, if they believe the operational or financial results giving rise to those payouts are unsustainable or if they believe the payout would unfairly reward the NEOs for events that are unrelated to their performance.</w:t>
      </w:r>
    </w:p>
    <w:p>
      <w:pPr>
        <w:spacing w:after="0" w:line="69" w:lineRule="exact"/>
        <w:rPr>
          <w:rFonts w:ascii="Arial" w:cs="Arial" w:eastAsia="Arial" w:hAnsi="Arial"/>
          <w:sz w:val="17"/>
          <w:szCs w:val="17"/>
          <w:color w:val="auto"/>
        </w:rPr>
      </w:pPr>
    </w:p>
    <w:p>
      <w:pPr>
        <w:ind w:left="420" w:hanging="210"/>
        <w:spacing w:after="0"/>
        <w:tabs>
          <w:tab w:leader="none" w:pos="42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mix of short- and long-term incentives is balanced so that at least 50% of total pay opportunity is in the form of long-term equity awards.</w:t>
      </w:r>
    </w:p>
    <w:p>
      <w:pPr>
        <w:spacing w:after="0" w:line="114" w:lineRule="exact"/>
        <w:rPr>
          <w:rFonts w:ascii="Arial" w:cs="Arial" w:eastAsia="Arial" w:hAnsi="Arial"/>
          <w:sz w:val="17"/>
          <w:szCs w:val="17"/>
          <w:color w:val="auto"/>
        </w:rPr>
      </w:pPr>
    </w:p>
    <w:p>
      <w:pPr>
        <w:ind w:left="420" w:hanging="210"/>
        <w:spacing w:after="0" w:line="274" w:lineRule="auto"/>
        <w:tabs>
          <w:tab w:leader="none" w:pos="42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PSUs are subject to relative and absolute performance measures that are directly tied to long-term growth, cost control, and the strength of our brands over a three-year period, which balances the annual cash incentive focus on near-term results.</w:t>
      </w:r>
    </w:p>
    <w:p>
      <w:pPr>
        <w:spacing w:after="0" w:line="52" w:lineRule="exact"/>
        <w:rPr>
          <w:rFonts w:ascii="Arial" w:cs="Arial" w:eastAsia="Arial" w:hAnsi="Arial"/>
          <w:sz w:val="17"/>
          <w:szCs w:val="17"/>
          <w:color w:val="auto"/>
        </w:rPr>
      </w:pPr>
    </w:p>
    <w:p>
      <w:pPr>
        <w:ind w:left="420" w:right="640" w:hanging="210"/>
        <w:spacing w:after="0" w:line="274" w:lineRule="auto"/>
        <w:tabs>
          <w:tab w:leader="none" w:pos="42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Annual stock awards are generally granted as a mix of PSUs, RSUs, and SARs that generally vest over or after at least 3 years, which together encourage the NEOs to focus on sustained stock price performance.</w:t>
      </w:r>
    </w:p>
    <w:p>
      <w:pPr>
        <w:spacing w:after="0" w:line="52" w:lineRule="exact"/>
        <w:rPr>
          <w:rFonts w:ascii="Arial" w:cs="Arial" w:eastAsia="Arial" w:hAnsi="Arial"/>
          <w:sz w:val="17"/>
          <w:szCs w:val="17"/>
          <w:color w:val="auto"/>
        </w:rPr>
      </w:pPr>
    </w:p>
    <w:p>
      <w:pPr>
        <w:ind w:left="420" w:right="660" w:hanging="210"/>
        <w:spacing w:after="0" w:line="253" w:lineRule="auto"/>
        <w:tabs>
          <w:tab w:leader="none" w:pos="42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Committee reviews and compares total compensation and each element of compensation to external market data to confirm that compensation is within an acceptable range relative to the external market, while also taking into consideration the Company’s relative performance.</w:t>
      </w:r>
    </w:p>
    <w:p>
      <w:pPr>
        <w:spacing w:after="0" w:line="69" w:lineRule="exact"/>
        <w:rPr>
          <w:rFonts w:ascii="Arial" w:cs="Arial" w:eastAsia="Arial" w:hAnsi="Arial"/>
          <w:sz w:val="17"/>
          <w:szCs w:val="17"/>
          <w:color w:val="auto"/>
        </w:rPr>
      </w:pPr>
    </w:p>
    <w:p>
      <w:pPr>
        <w:ind w:left="420" w:hanging="210"/>
        <w:spacing w:after="0"/>
        <w:tabs>
          <w:tab w:leader="none" w:pos="42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NEOs are subject to compensation clawback provisions (as discussed above).</w:t>
      </w:r>
    </w:p>
    <w:p>
      <w:pPr>
        <w:spacing w:after="0" w:line="147" w:lineRule="exact"/>
        <w:rPr>
          <w:sz w:val="20"/>
          <w:szCs w:val="20"/>
          <w:color w:val="auto"/>
        </w:rPr>
      </w:pPr>
    </w:p>
    <w:p>
      <w:pPr>
        <w:ind w:left="540" w:hanging="330"/>
        <w:spacing w:after="0"/>
        <w:tabs>
          <w:tab w:leader="none" w:pos="540" w:val="left"/>
        </w:tabs>
        <w:numPr>
          <w:ilvl w:val="0"/>
          <w:numId w:val="101"/>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00"/>
          </w:cols>
          <w:pgMar w:left="240" w:top="455" w:right="45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ind w:left="8660"/>
        <w:spacing w:after="0"/>
        <w:rPr>
          <w:sz w:val="20"/>
          <w:szCs w:val="20"/>
          <w:color w:val="auto"/>
        </w:rPr>
      </w:pPr>
      <w:r>
        <w:rPr>
          <w:rFonts w:ascii="Arial" w:cs="Arial" w:eastAsia="Arial" w:hAnsi="Arial"/>
          <w:sz w:val="15"/>
          <w:szCs w:val="15"/>
          <w:color w:val="7F7F7F"/>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1" w:lineRule="exact"/>
        <w:rPr>
          <w:sz w:val="20"/>
          <w:szCs w:val="20"/>
          <w:color w:val="auto"/>
        </w:rPr>
      </w:pPr>
    </w:p>
    <w:p>
      <w:pPr>
        <w:ind w:left="420" w:hanging="210"/>
        <w:spacing w:after="0"/>
        <w:tabs>
          <w:tab w:leader="none" w:pos="4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Stock ownership requirements align the long-term interests of NEOs with the interests of stockholders.</w:t>
      </w:r>
    </w:p>
    <w:p>
      <w:pPr>
        <w:spacing w:after="0" w:line="114" w:lineRule="exact"/>
        <w:rPr>
          <w:rFonts w:ascii="Arial" w:cs="Arial" w:eastAsia="Arial" w:hAnsi="Arial"/>
          <w:sz w:val="17"/>
          <w:szCs w:val="17"/>
          <w:color w:val="auto"/>
        </w:rPr>
      </w:pPr>
    </w:p>
    <w:p>
      <w:pPr>
        <w:ind w:left="420" w:hanging="210"/>
        <w:spacing w:after="0"/>
        <w:tabs>
          <w:tab w:leader="none" w:pos="4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All associates and directors are prohibited from engaging in hedging or derivative transactions related to Marriott stock or securities.</w:t>
      </w:r>
    </w:p>
    <w:p>
      <w:pPr>
        <w:spacing w:after="0" w:line="114" w:lineRule="exact"/>
        <w:rPr>
          <w:rFonts w:ascii="Arial" w:cs="Arial" w:eastAsia="Arial" w:hAnsi="Arial"/>
          <w:sz w:val="17"/>
          <w:szCs w:val="17"/>
          <w:color w:val="auto"/>
        </w:rPr>
      </w:pPr>
    </w:p>
    <w:p>
      <w:pPr>
        <w:ind w:left="420" w:hanging="210"/>
        <w:spacing w:after="0"/>
        <w:tabs>
          <w:tab w:leader="none" w:pos="4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NEOs are prohibited from holding Company stock in margin accounts or pledging such stock as collateral for loans.</w:t>
      </w:r>
    </w:p>
    <w:p>
      <w:pPr>
        <w:spacing w:after="0" w:line="311"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Executive Compensation Tables and Discussion</w:t>
      </w:r>
    </w:p>
    <w:p>
      <w:pPr>
        <w:spacing w:after="0" w:line="102"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Summary Compensation Table</w:t>
      </w:r>
    </w:p>
    <w:p>
      <w:pPr>
        <w:spacing w:after="0" w:line="103" w:lineRule="exact"/>
        <w:rPr>
          <w:sz w:val="20"/>
          <w:szCs w:val="20"/>
          <w:color w:val="auto"/>
        </w:rPr>
      </w:pPr>
    </w:p>
    <w:p>
      <w:pPr>
        <w:ind w:left="220" w:right="420"/>
        <w:spacing w:after="0" w:line="274" w:lineRule="auto"/>
        <w:rPr>
          <w:sz w:val="20"/>
          <w:szCs w:val="20"/>
          <w:color w:val="auto"/>
        </w:rPr>
      </w:pPr>
      <w:r>
        <w:rPr>
          <w:rFonts w:ascii="Arial" w:cs="Arial" w:eastAsia="Arial" w:hAnsi="Arial"/>
          <w:sz w:val="17"/>
          <w:szCs w:val="17"/>
          <w:color w:val="auto"/>
        </w:rPr>
        <w:t>The following Summary Compensation Table presents the compensation we paid in fiscal years 2015, 2016 and 2017 to our Chief Executive Officer, our Chief Financial Officer, our Executive Chairman and our other three most highly compensated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128270</wp:posOffset>
            </wp:positionV>
            <wp:extent cx="6989445" cy="303212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89445" cy="3032125"/>
                    </a:xfrm>
                    <a:prstGeom prst="rect">
                      <a:avLst/>
                    </a:prstGeom>
                    <a:noFill/>
                  </pic:spPr>
                </pic:pic>
              </a:graphicData>
            </a:graphic>
          </wp:anchor>
        </w:drawing>
      </w:r>
    </w:p>
    <w:p>
      <w:pPr>
        <w:spacing w:after="0" w:line="168"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1810" w:type="dxa"/>
            <w:vAlign w:val="bottom"/>
            <w:shd w:val="clear" w:color="auto" w:fill="998C87"/>
          </w:tcPr>
          <w:p>
            <w:pPr>
              <w:spacing w:after="0"/>
              <w:rPr>
                <w:sz w:val="14"/>
                <w:szCs w:val="14"/>
                <w:color w:val="auto"/>
              </w:rPr>
            </w:pPr>
          </w:p>
        </w:tc>
        <w:tc>
          <w:tcPr>
            <w:tcW w:w="710" w:type="dxa"/>
            <w:vAlign w:val="bottom"/>
            <w:shd w:val="clear" w:color="auto" w:fill="998C87"/>
          </w:tcPr>
          <w:p>
            <w:pPr>
              <w:spacing w:after="0"/>
              <w:rPr>
                <w:sz w:val="14"/>
                <w:szCs w:val="14"/>
                <w:color w:val="auto"/>
              </w:rPr>
            </w:pPr>
          </w:p>
        </w:tc>
        <w:tc>
          <w:tcPr>
            <w:tcW w:w="1060" w:type="dxa"/>
            <w:vAlign w:val="bottom"/>
            <w:shd w:val="clear" w:color="auto" w:fill="998C87"/>
          </w:tcPr>
          <w:p>
            <w:pPr>
              <w:spacing w:after="0"/>
              <w:rPr>
                <w:sz w:val="14"/>
                <w:szCs w:val="14"/>
                <w:color w:val="auto"/>
              </w:rPr>
            </w:pPr>
          </w:p>
        </w:tc>
        <w:tc>
          <w:tcPr>
            <w:tcW w:w="1060" w:type="dxa"/>
            <w:vAlign w:val="bottom"/>
            <w:shd w:val="clear" w:color="auto" w:fill="998C87"/>
          </w:tcPr>
          <w:p>
            <w:pPr>
              <w:spacing w:after="0"/>
              <w:rPr>
                <w:sz w:val="14"/>
                <w:szCs w:val="14"/>
                <w:color w:val="auto"/>
              </w:rPr>
            </w:pPr>
          </w:p>
        </w:tc>
        <w:tc>
          <w:tcPr>
            <w:tcW w:w="1080" w:type="dxa"/>
            <w:vAlign w:val="bottom"/>
            <w:shd w:val="clear" w:color="auto" w:fill="998C87"/>
          </w:tcPr>
          <w:p>
            <w:pPr>
              <w:spacing w:after="0"/>
              <w:rPr>
                <w:sz w:val="14"/>
                <w:szCs w:val="14"/>
                <w:color w:val="auto"/>
              </w:rPr>
            </w:pPr>
          </w:p>
        </w:tc>
        <w:tc>
          <w:tcPr>
            <w:tcW w:w="940" w:type="dxa"/>
            <w:vAlign w:val="bottom"/>
            <w:shd w:val="clear" w:color="auto" w:fill="998C87"/>
          </w:tcPr>
          <w:p>
            <w:pPr>
              <w:spacing w:after="0"/>
              <w:rPr>
                <w:sz w:val="14"/>
                <w:szCs w:val="14"/>
                <w:color w:val="auto"/>
              </w:rPr>
            </w:pPr>
          </w:p>
        </w:tc>
        <w:tc>
          <w:tcPr>
            <w:tcW w:w="1120" w:type="dxa"/>
            <w:vAlign w:val="bottom"/>
            <w:shd w:val="clear" w:color="auto" w:fill="998C87"/>
          </w:tcPr>
          <w:p>
            <w:pPr>
              <w:spacing w:after="0"/>
              <w:rPr>
                <w:sz w:val="14"/>
                <w:szCs w:val="14"/>
                <w:color w:val="auto"/>
              </w:rPr>
            </w:pPr>
          </w:p>
        </w:tc>
        <w:tc>
          <w:tcPr>
            <w:tcW w:w="104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Change in</w:t>
            </w:r>
          </w:p>
        </w:tc>
        <w:tc>
          <w:tcPr>
            <w:tcW w:w="1160" w:type="dxa"/>
            <w:vAlign w:val="bottom"/>
            <w:shd w:val="clear" w:color="auto" w:fill="998C87"/>
          </w:tcPr>
          <w:p>
            <w:pPr>
              <w:spacing w:after="0"/>
              <w:rPr>
                <w:sz w:val="14"/>
                <w:szCs w:val="14"/>
                <w:color w:val="auto"/>
              </w:rPr>
            </w:pPr>
          </w:p>
        </w:tc>
        <w:tc>
          <w:tcPr>
            <w:tcW w:w="1020" w:type="dxa"/>
            <w:vAlign w:val="bottom"/>
            <w:shd w:val="clear" w:color="auto" w:fill="998C87"/>
          </w:tcPr>
          <w:p>
            <w:pPr>
              <w:spacing w:after="0"/>
              <w:rPr>
                <w:sz w:val="14"/>
                <w:szCs w:val="14"/>
                <w:color w:val="auto"/>
              </w:rPr>
            </w:pPr>
          </w:p>
        </w:tc>
      </w:tr>
      <w:tr>
        <w:trPr>
          <w:trHeight w:val="162"/>
        </w:trPr>
        <w:tc>
          <w:tcPr>
            <w:tcW w:w="1810" w:type="dxa"/>
            <w:vAlign w:val="bottom"/>
            <w:shd w:val="clear" w:color="auto" w:fill="998C87"/>
          </w:tcPr>
          <w:p>
            <w:pPr>
              <w:spacing w:after="0"/>
              <w:rPr>
                <w:sz w:val="14"/>
                <w:szCs w:val="14"/>
                <w:color w:val="auto"/>
              </w:rPr>
            </w:pPr>
          </w:p>
        </w:tc>
        <w:tc>
          <w:tcPr>
            <w:tcW w:w="710" w:type="dxa"/>
            <w:vAlign w:val="bottom"/>
            <w:shd w:val="clear" w:color="auto" w:fill="998C87"/>
          </w:tcPr>
          <w:p>
            <w:pPr>
              <w:spacing w:after="0"/>
              <w:rPr>
                <w:sz w:val="14"/>
                <w:szCs w:val="14"/>
                <w:color w:val="auto"/>
              </w:rPr>
            </w:pPr>
          </w:p>
        </w:tc>
        <w:tc>
          <w:tcPr>
            <w:tcW w:w="1060" w:type="dxa"/>
            <w:vAlign w:val="bottom"/>
            <w:shd w:val="clear" w:color="auto" w:fill="998C87"/>
          </w:tcPr>
          <w:p>
            <w:pPr>
              <w:spacing w:after="0"/>
              <w:rPr>
                <w:sz w:val="14"/>
                <w:szCs w:val="14"/>
                <w:color w:val="auto"/>
              </w:rPr>
            </w:pPr>
          </w:p>
        </w:tc>
        <w:tc>
          <w:tcPr>
            <w:tcW w:w="1060" w:type="dxa"/>
            <w:vAlign w:val="bottom"/>
            <w:shd w:val="clear" w:color="auto" w:fill="998C87"/>
          </w:tcPr>
          <w:p>
            <w:pPr>
              <w:spacing w:after="0"/>
              <w:rPr>
                <w:sz w:val="14"/>
                <w:szCs w:val="14"/>
                <w:color w:val="auto"/>
              </w:rPr>
            </w:pPr>
          </w:p>
        </w:tc>
        <w:tc>
          <w:tcPr>
            <w:tcW w:w="1080" w:type="dxa"/>
            <w:vAlign w:val="bottom"/>
            <w:shd w:val="clear" w:color="auto" w:fill="998C87"/>
          </w:tcPr>
          <w:p>
            <w:pPr>
              <w:spacing w:after="0"/>
              <w:rPr>
                <w:sz w:val="14"/>
                <w:szCs w:val="14"/>
                <w:color w:val="auto"/>
              </w:rPr>
            </w:pPr>
          </w:p>
        </w:tc>
        <w:tc>
          <w:tcPr>
            <w:tcW w:w="940" w:type="dxa"/>
            <w:vAlign w:val="bottom"/>
            <w:shd w:val="clear" w:color="auto" w:fill="998C87"/>
          </w:tcPr>
          <w:p>
            <w:pPr>
              <w:spacing w:after="0"/>
              <w:rPr>
                <w:sz w:val="14"/>
                <w:szCs w:val="14"/>
                <w:color w:val="auto"/>
              </w:rPr>
            </w:pPr>
          </w:p>
        </w:tc>
        <w:tc>
          <w:tcPr>
            <w:tcW w:w="1120" w:type="dxa"/>
            <w:vAlign w:val="bottom"/>
            <w:shd w:val="clear" w:color="auto" w:fill="998C87"/>
          </w:tcPr>
          <w:p>
            <w:pPr>
              <w:spacing w:after="0"/>
              <w:rPr>
                <w:sz w:val="14"/>
                <w:szCs w:val="14"/>
                <w:color w:val="auto"/>
              </w:rPr>
            </w:pPr>
          </w:p>
        </w:tc>
        <w:tc>
          <w:tcPr>
            <w:tcW w:w="104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Pension Value</w:t>
            </w:r>
          </w:p>
        </w:tc>
        <w:tc>
          <w:tcPr>
            <w:tcW w:w="1160" w:type="dxa"/>
            <w:vAlign w:val="bottom"/>
            <w:shd w:val="clear" w:color="auto" w:fill="998C87"/>
          </w:tcPr>
          <w:p>
            <w:pPr>
              <w:spacing w:after="0"/>
              <w:rPr>
                <w:sz w:val="14"/>
                <w:szCs w:val="14"/>
                <w:color w:val="auto"/>
              </w:rPr>
            </w:pPr>
          </w:p>
        </w:tc>
        <w:tc>
          <w:tcPr>
            <w:tcW w:w="1020" w:type="dxa"/>
            <w:vAlign w:val="bottom"/>
            <w:shd w:val="clear" w:color="auto" w:fill="998C87"/>
          </w:tcPr>
          <w:p>
            <w:pPr>
              <w:spacing w:after="0"/>
              <w:rPr>
                <w:sz w:val="14"/>
                <w:szCs w:val="14"/>
                <w:color w:val="auto"/>
              </w:rPr>
            </w:pPr>
          </w:p>
        </w:tc>
      </w:tr>
      <w:tr>
        <w:trPr>
          <w:trHeight w:val="162"/>
        </w:trPr>
        <w:tc>
          <w:tcPr>
            <w:tcW w:w="1810" w:type="dxa"/>
            <w:vAlign w:val="bottom"/>
            <w:shd w:val="clear" w:color="auto" w:fill="998C87"/>
          </w:tcPr>
          <w:p>
            <w:pPr>
              <w:spacing w:after="0"/>
              <w:rPr>
                <w:sz w:val="14"/>
                <w:szCs w:val="14"/>
                <w:color w:val="auto"/>
              </w:rPr>
            </w:pPr>
          </w:p>
        </w:tc>
        <w:tc>
          <w:tcPr>
            <w:tcW w:w="710" w:type="dxa"/>
            <w:vAlign w:val="bottom"/>
            <w:shd w:val="clear" w:color="auto" w:fill="998C87"/>
          </w:tcPr>
          <w:p>
            <w:pPr>
              <w:spacing w:after="0"/>
              <w:rPr>
                <w:sz w:val="14"/>
                <w:szCs w:val="14"/>
                <w:color w:val="auto"/>
              </w:rPr>
            </w:pPr>
          </w:p>
        </w:tc>
        <w:tc>
          <w:tcPr>
            <w:tcW w:w="1060" w:type="dxa"/>
            <w:vAlign w:val="bottom"/>
            <w:shd w:val="clear" w:color="auto" w:fill="998C87"/>
          </w:tcPr>
          <w:p>
            <w:pPr>
              <w:spacing w:after="0"/>
              <w:rPr>
                <w:sz w:val="14"/>
                <w:szCs w:val="14"/>
                <w:color w:val="auto"/>
              </w:rPr>
            </w:pPr>
          </w:p>
        </w:tc>
        <w:tc>
          <w:tcPr>
            <w:tcW w:w="1060" w:type="dxa"/>
            <w:vAlign w:val="bottom"/>
            <w:shd w:val="clear" w:color="auto" w:fill="998C87"/>
          </w:tcPr>
          <w:p>
            <w:pPr>
              <w:spacing w:after="0"/>
              <w:rPr>
                <w:sz w:val="14"/>
                <w:szCs w:val="14"/>
                <w:color w:val="auto"/>
              </w:rPr>
            </w:pPr>
          </w:p>
        </w:tc>
        <w:tc>
          <w:tcPr>
            <w:tcW w:w="1080" w:type="dxa"/>
            <w:vAlign w:val="bottom"/>
            <w:shd w:val="clear" w:color="auto" w:fill="998C87"/>
          </w:tcPr>
          <w:p>
            <w:pPr>
              <w:spacing w:after="0"/>
              <w:rPr>
                <w:sz w:val="14"/>
                <w:szCs w:val="14"/>
                <w:color w:val="auto"/>
              </w:rPr>
            </w:pPr>
          </w:p>
        </w:tc>
        <w:tc>
          <w:tcPr>
            <w:tcW w:w="940" w:type="dxa"/>
            <w:vAlign w:val="bottom"/>
            <w:shd w:val="clear" w:color="auto" w:fill="998C87"/>
          </w:tcPr>
          <w:p>
            <w:pPr>
              <w:spacing w:after="0"/>
              <w:rPr>
                <w:sz w:val="14"/>
                <w:szCs w:val="14"/>
                <w:color w:val="auto"/>
              </w:rPr>
            </w:pPr>
          </w:p>
        </w:tc>
        <w:tc>
          <w:tcPr>
            <w:tcW w:w="1120" w:type="dxa"/>
            <w:vAlign w:val="bottom"/>
            <w:shd w:val="clear" w:color="auto" w:fill="998C87"/>
          </w:tcPr>
          <w:p>
            <w:pPr>
              <w:spacing w:after="0"/>
              <w:rPr>
                <w:sz w:val="14"/>
                <w:szCs w:val="14"/>
                <w:color w:val="auto"/>
              </w:rPr>
            </w:pPr>
          </w:p>
        </w:tc>
        <w:tc>
          <w:tcPr>
            <w:tcW w:w="104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and</w:t>
            </w:r>
          </w:p>
        </w:tc>
        <w:tc>
          <w:tcPr>
            <w:tcW w:w="1160" w:type="dxa"/>
            <w:vAlign w:val="bottom"/>
            <w:shd w:val="clear" w:color="auto" w:fill="998C87"/>
          </w:tcPr>
          <w:p>
            <w:pPr>
              <w:spacing w:after="0"/>
              <w:rPr>
                <w:sz w:val="14"/>
                <w:szCs w:val="14"/>
                <w:color w:val="auto"/>
              </w:rPr>
            </w:pPr>
          </w:p>
        </w:tc>
        <w:tc>
          <w:tcPr>
            <w:tcW w:w="1020" w:type="dxa"/>
            <w:vAlign w:val="bottom"/>
            <w:shd w:val="clear" w:color="auto" w:fill="998C87"/>
          </w:tcPr>
          <w:p>
            <w:pPr>
              <w:spacing w:after="0"/>
              <w:rPr>
                <w:sz w:val="14"/>
                <w:szCs w:val="14"/>
                <w:color w:val="auto"/>
              </w:rPr>
            </w:pPr>
          </w:p>
        </w:tc>
      </w:tr>
      <w:tr>
        <w:trPr>
          <w:trHeight w:val="162"/>
        </w:trPr>
        <w:tc>
          <w:tcPr>
            <w:tcW w:w="1810" w:type="dxa"/>
            <w:vAlign w:val="bottom"/>
            <w:shd w:val="clear" w:color="auto" w:fill="998C87"/>
          </w:tcPr>
          <w:p>
            <w:pPr>
              <w:spacing w:after="0"/>
              <w:rPr>
                <w:sz w:val="14"/>
                <w:szCs w:val="14"/>
                <w:color w:val="auto"/>
              </w:rPr>
            </w:pPr>
          </w:p>
        </w:tc>
        <w:tc>
          <w:tcPr>
            <w:tcW w:w="710" w:type="dxa"/>
            <w:vAlign w:val="bottom"/>
            <w:shd w:val="clear" w:color="auto" w:fill="998C87"/>
          </w:tcPr>
          <w:p>
            <w:pPr>
              <w:spacing w:after="0"/>
              <w:rPr>
                <w:sz w:val="14"/>
                <w:szCs w:val="14"/>
                <w:color w:val="auto"/>
              </w:rPr>
            </w:pPr>
          </w:p>
        </w:tc>
        <w:tc>
          <w:tcPr>
            <w:tcW w:w="1060" w:type="dxa"/>
            <w:vAlign w:val="bottom"/>
            <w:shd w:val="clear" w:color="auto" w:fill="998C87"/>
          </w:tcPr>
          <w:p>
            <w:pPr>
              <w:spacing w:after="0"/>
              <w:rPr>
                <w:sz w:val="14"/>
                <w:szCs w:val="14"/>
                <w:color w:val="auto"/>
              </w:rPr>
            </w:pPr>
          </w:p>
        </w:tc>
        <w:tc>
          <w:tcPr>
            <w:tcW w:w="1060" w:type="dxa"/>
            <w:vAlign w:val="bottom"/>
            <w:shd w:val="clear" w:color="auto" w:fill="998C87"/>
          </w:tcPr>
          <w:p>
            <w:pPr>
              <w:spacing w:after="0"/>
              <w:rPr>
                <w:sz w:val="14"/>
                <w:szCs w:val="14"/>
                <w:color w:val="auto"/>
              </w:rPr>
            </w:pPr>
          </w:p>
        </w:tc>
        <w:tc>
          <w:tcPr>
            <w:tcW w:w="1080" w:type="dxa"/>
            <w:vAlign w:val="bottom"/>
            <w:shd w:val="clear" w:color="auto" w:fill="998C87"/>
          </w:tcPr>
          <w:p>
            <w:pPr>
              <w:spacing w:after="0"/>
              <w:rPr>
                <w:sz w:val="14"/>
                <w:szCs w:val="14"/>
                <w:color w:val="auto"/>
              </w:rPr>
            </w:pPr>
          </w:p>
        </w:tc>
        <w:tc>
          <w:tcPr>
            <w:tcW w:w="940" w:type="dxa"/>
            <w:vAlign w:val="bottom"/>
            <w:shd w:val="clear" w:color="auto" w:fill="998C87"/>
          </w:tcPr>
          <w:p>
            <w:pPr>
              <w:spacing w:after="0"/>
              <w:rPr>
                <w:sz w:val="14"/>
                <w:szCs w:val="14"/>
                <w:color w:val="auto"/>
              </w:rPr>
            </w:pPr>
          </w:p>
        </w:tc>
        <w:tc>
          <w:tcPr>
            <w:tcW w:w="1120" w:type="dxa"/>
            <w:vAlign w:val="bottom"/>
            <w:shd w:val="clear" w:color="auto" w:fill="998C87"/>
          </w:tcPr>
          <w:p>
            <w:pPr>
              <w:spacing w:after="0"/>
              <w:rPr>
                <w:sz w:val="14"/>
                <w:szCs w:val="14"/>
                <w:color w:val="auto"/>
              </w:rPr>
            </w:pPr>
          </w:p>
        </w:tc>
        <w:tc>
          <w:tcPr>
            <w:tcW w:w="104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Nonqualified</w:t>
            </w:r>
          </w:p>
        </w:tc>
        <w:tc>
          <w:tcPr>
            <w:tcW w:w="1160" w:type="dxa"/>
            <w:vAlign w:val="bottom"/>
            <w:shd w:val="clear" w:color="auto" w:fill="998C87"/>
          </w:tcPr>
          <w:p>
            <w:pPr>
              <w:spacing w:after="0"/>
              <w:rPr>
                <w:sz w:val="14"/>
                <w:szCs w:val="14"/>
                <w:color w:val="auto"/>
              </w:rPr>
            </w:pPr>
          </w:p>
        </w:tc>
        <w:tc>
          <w:tcPr>
            <w:tcW w:w="1020" w:type="dxa"/>
            <w:vAlign w:val="bottom"/>
            <w:shd w:val="clear" w:color="auto" w:fill="998C87"/>
          </w:tcPr>
          <w:p>
            <w:pPr>
              <w:spacing w:after="0"/>
              <w:rPr>
                <w:sz w:val="14"/>
                <w:szCs w:val="14"/>
                <w:color w:val="auto"/>
              </w:rPr>
            </w:pPr>
          </w:p>
        </w:tc>
      </w:tr>
      <w:tr>
        <w:trPr>
          <w:trHeight w:val="162"/>
        </w:trPr>
        <w:tc>
          <w:tcPr>
            <w:tcW w:w="1810" w:type="dxa"/>
            <w:vAlign w:val="bottom"/>
            <w:shd w:val="clear" w:color="auto" w:fill="998C87"/>
          </w:tcPr>
          <w:p>
            <w:pPr>
              <w:spacing w:after="0"/>
              <w:rPr>
                <w:sz w:val="14"/>
                <w:szCs w:val="14"/>
                <w:color w:val="auto"/>
              </w:rPr>
            </w:pPr>
          </w:p>
        </w:tc>
        <w:tc>
          <w:tcPr>
            <w:tcW w:w="710" w:type="dxa"/>
            <w:vAlign w:val="bottom"/>
            <w:shd w:val="clear" w:color="auto" w:fill="998C87"/>
          </w:tcPr>
          <w:p>
            <w:pPr>
              <w:spacing w:after="0"/>
              <w:rPr>
                <w:sz w:val="14"/>
                <w:szCs w:val="14"/>
                <w:color w:val="auto"/>
              </w:rPr>
            </w:pPr>
          </w:p>
        </w:tc>
        <w:tc>
          <w:tcPr>
            <w:tcW w:w="1060" w:type="dxa"/>
            <w:vAlign w:val="bottom"/>
            <w:shd w:val="clear" w:color="auto" w:fill="998C87"/>
          </w:tcPr>
          <w:p>
            <w:pPr>
              <w:spacing w:after="0"/>
              <w:rPr>
                <w:sz w:val="14"/>
                <w:szCs w:val="14"/>
                <w:color w:val="auto"/>
              </w:rPr>
            </w:pPr>
          </w:p>
        </w:tc>
        <w:tc>
          <w:tcPr>
            <w:tcW w:w="1060" w:type="dxa"/>
            <w:vAlign w:val="bottom"/>
            <w:shd w:val="clear" w:color="auto" w:fill="998C87"/>
          </w:tcPr>
          <w:p>
            <w:pPr>
              <w:spacing w:after="0"/>
              <w:rPr>
                <w:sz w:val="14"/>
                <w:szCs w:val="14"/>
                <w:color w:val="auto"/>
              </w:rPr>
            </w:pPr>
          </w:p>
        </w:tc>
        <w:tc>
          <w:tcPr>
            <w:tcW w:w="1080" w:type="dxa"/>
            <w:vAlign w:val="bottom"/>
            <w:shd w:val="clear" w:color="auto" w:fill="998C87"/>
          </w:tcPr>
          <w:p>
            <w:pPr>
              <w:spacing w:after="0"/>
              <w:rPr>
                <w:sz w:val="14"/>
                <w:szCs w:val="14"/>
                <w:color w:val="auto"/>
              </w:rPr>
            </w:pPr>
          </w:p>
        </w:tc>
        <w:tc>
          <w:tcPr>
            <w:tcW w:w="940" w:type="dxa"/>
            <w:vAlign w:val="bottom"/>
            <w:shd w:val="clear" w:color="auto" w:fill="998C87"/>
          </w:tcPr>
          <w:p>
            <w:pPr>
              <w:spacing w:after="0"/>
              <w:rPr>
                <w:sz w:val="14"/>
                <w:szCs w:val="14"/>
                <w:color w:val="auto"/>
              </w:rPr>
            </w:pPr>
          </w:p>
        </w:tc>
        <w:tc>
          <w:tcPr>
            <w:tcW w:w="1120" w:type="dxa"/>
            <w:vAlign w:val="bottom"/>
            <w:shd w:val="clear" w:color="auto" w:fill="998C87"/>
          </w:tcPr>
          <w:p>
            <w:pPr>
              <w:jc w:val="center"/>
              <w:ind w:left="8"/>
              <w:spacing w:after="0"/>
              <w:rPr>
                <w:sz w:val="20"/>
                <w:szCs w:val="20"/>
                <w:color w:val="auto"/>
              </w:rPr>
            </w:pPr>
            <w:r>
              <w:rPr>
                <w:rFonts w:ascii="Arial" w:cs="Arial" w:eastAsia="Arial" w:hAnsi="Arial"/>
                <w:sz w:val="14"/>
                <w:szCs w:val="14"/>
                <w:b w:val="1"/>
                <w:bCs w:val="1"/>
                <w:color w:val="FFFFFF"/>
              </w:rPr>
              <w:t>Non-Equity</w:t>
            </w:r>
          </w:p>
        </w:tc>
        <w:tc>
          <w:tcPr>
            <w:tcW w:w="104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Deferred</w:t>
            </w:r>
          </w:p>
        </w:tc>
        <w:tc>
          <w:tcPr>
            <w:tcW w:w="1160" w:type="dxa"/>
            <w:vAlign w:val="bottom"/>
            <w:shd w:val="clear" w:color="auto" w:fill="998C87"/>
          </w:tcPr>
          <w:p>
            <w:pPr>
              <w:spacing w:after="0"/>
              <w:rPr>
                <w:sz w:val="14"/>
                <w:szCs w:val="14"/>
                <w:color w:val="auto"/>
              </w:rPr>
            </w:pPr>
          </w:p>
        </w:tc>
        <w:tc>
          <w:tcPr>
            <w:tcW w:w="1020" w:type="dxa"/>
            <w:vAlign w:val="bottom"/>
            <w:shd w:val="clear" w:color="auto" w:fill="998C87"/>
          </w:tcPr>
          <w:p>
            <w:pPr>
              <w:spacing w:after="0"/>
              <w:rPr>
                <w:sz w:val="14"/>
                <w:szCs w:val="14"/>
                <w:color w:val="auto"/>
              </w:rPr>
            </w:pPr>
          </w:p>
        </w:tc>
      </w:tr>
      <w:tr>
        <w:trPr>
          <w:trHeight w:val="162"/>
        </w:trPr>
        <w:tc>
          <w:tcPr>
            <w:tcW w:w="1810" w:type="dxa"/>
            <w:vAlign w:val="bottom"/>
            <w:shd w:val="clear" w:color="auto" w:fill="998C87"/>
          </w:tcPr>
          <w:p>
            <w:pPr>
              <w:spacing w:after="0"/>
              <w:rPr>
                <w:sz w:val="14"/>
                <w:szCs w:val="14"/>
                <w:color w:val="auto"/>
              </w:rPr>
            </w:pPr>
          </w:p>
        </w:tc>
        <w:tc>
          <w:tcPr>
            <w:tcW w:w="710" w:type="dxa"/>
            <w:vAlign w:val="bottom"/>
            <w:shd w:val="clear" w:color="auto" w:fill="998C87"/>
          </w:tcPr>
          <w:p>
            <w:pPr>
              <w:spacing w:after="0"/>
              <w:rPr>
                <w:sz w:val="14"/>
                <w:szCs w:val="14"/>
                <w:color w:val="auto"/>
              </w:rPr>
            </w:pPr>
          </w:p>
        </w:tc>
        <w:tc>
          <w:tcPr>
            <w:tcW w:w="1060" w:type="dxa"/>
            <w:vAlign w:val="bottom"/>
            <w:shd w:val="clear" w:color="auto" w:fill="998C87"/>
          </w:tcPr>
          <w:p>
            <w:pPr>
              <w:spacing w:after="0"/>
              <w:rPr>
                <w:sz w:val="14"/>
                <w:szCs w:val="14"/>
                <w:color w:val="auto"/>
              </w:rPr>
            </w:pPr>
          </w:p>
        </w:tc>
        <w:tc>
          <w:tcPr>
            <w:tcW w:w="1060" w:type="dxa"/>
            <w:vAlign w:val="bottom"/>
            <w:shd w:val="clear" w:color="auto" w:fill="998C87"/>
          </w:tcPr>
          <w:p>
            <w:pPr>
              <w:spacing w:after="0"/>
              <w:rPr>
                <w:sz w:val="14"/>
                <w:szCs w:val="14"/>
                <w:color w:val="auto"/>
              </w:rPr>
            </w:pPr>
          </w:p>
        </w:tc>
        <w:tc>
          <w:tcPr>
            <w:tcW w:w="1080" w:type="dxa"/>
            <w:vAlign w:val="bottom"/>
            <w:shd w:val="clear" w:color="auto" w:fill="998C87"/>
          </w:tcPr>
          <w:p>
            <w:pPr>
              <w:jc w:val="right"/>
              <w:ind w:right="288"/>
              <w:spacing w:after="0"/>
              <w:rPr>
                <w:sz w:val="20"/>
                <w:szCs w:val="20"/>
                <w:color w:val="auto"/>
              </w:rPr>
            </w:pPr>
            <w:r>
              <w:rPr>
                <w:rFonts w:ascii="Arial" w:cs="Arial" w:eastAsia="Arial" w:hAnsi="Arial"/>
                <w:sz w:val="14"/>
                <w:szCs w:val="14"/>
                <w:b w:val="1"/>
                <w:bCs w:val="1"/>
                <w:color w:val="FFFFFF"/>
              </w:rPr>
              <w:t>Stock</w:t>
            </w:r>
          </w:p>
        </w:tc>
        <w:tc>
          <w:tcPr>
            <w:tcW w:w="94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SAR</w:t>
            </w:r>
          </w:p>
        </w:tc>
        <w:tc>
          <w:tcPr>
            <w:tcW w:w="2160" w:type="dxa"/>
            <w:vAlign w:val="bottom"/>
            <w:gridSpan w:val="2"/>
            <w:shd w:val="clear" w:color="auto" w:fill="998C87"/>
          </w:tcPr>
          <w:p>
            <w:pPr>
              <w:jc w:val="right"/>
              <w:spacing w:after="0"/>
              <w:rPr>
                <w:sz w:val="20"/>
                <w:szCs w:val="20"/>
                <w:color w:val="auto"/>
              </w:rPr>
            </w:pPr>
            <w:r>
              <w:rPr>
                <w:rFonts w:ascii="Arial" w:cs="Arial" w:eastAsia="Arial" w:hAnsi="Arial"/>
                <w:sz w:val="14"/>
                <w:szCs w:val="14"/>
                <w:b w:val="1"/>
                <w:bCs w:val="1"/>
                <w:color w:val="FFFFFF"/>
              </w:rPr>
              <w:t>Incentive Plan Compensation</w:t>
            </w:r>
          </w:p>
        </w:tc>
        <w:tc>
          <w:tcPr>
            <w:tcW w:w="1160" w:type="dxa"/>
            <w:vAlign w:val="bottom"/>
            <w:shd w:val="clear" w:color="auto" w:fill="998C87"/>
          </w:tcPr>
          <w:p>
            <w:pPr>
              <w:jc w:val="center"/>
              <w:ind w:right="48"/>
              <w:spacing w:after="0"/>
              <w:rPr>
                <w:sz w:val="20"/>
                <w:szCs w:val="20"/>
                <w:color w:val="auto"/>
              </w:rPr>
            </w:pPr>
            <w:r>
              <w:rPr>
                <w:rFonts w:ascii="Arial" w:cs="Arial" w:eastAsia="Arial" w:hAnsi="Arial"/>
                <w:sz w:val="14"/>
                <w:szCs w:val="14"/>
                <w:b w:val="1"/>
                <w:bCs w:val="1"/>
                <w:color w:val="FFFFFF"/>
              </w:rPr>
              <w:t>All Other</w:t>
            </w:r>
          </w:p>
        </w:tc>
        <w:tc>
          <w:tcPr>
            <w:tcW w:w="1020" w:type="dxa"/>
            <w:vAlign w:val="bottom"/>
            <w:shd w:val="clear" w:color="auto" w:fill="998C87"/>
          </w:tcPr>
          <w:p>
            <w:pPr>
              <w:spacing w:after="0"/>
              <w:rPr>
                <w:sz w:val="14"/>
                <w:szCs w:val="14"/>
                <w:color w:val="auto"/>
              </w:rPr>
            </w:pPr>
          </w:p>
        </w:tc>
      </w:tr>
      <w:tr>
        <w:trPr>
          <w:trHeight w:val="162"/>
        </w:trPr>
        <w:tc>
          <w:tcPr>
            <w:tcW w:w="1810" w:type="dxa"/>
            <w:vAlign w:val="bottom"/>
            <w:shd w:val="clear" w:color="auto" w:fill="998C87"/>
          </w:tcPr>
          <w:p>
            <w:pPr>
              <w:ind w:left="80"/>
              <w:spacing w:after="0"/>
              <w:rPr>
                <w:sz w:val="20"/>
                <w:szCs w:val="20"/>
                <w:color w:val="auto"/>
              </w:rPr>
            </w:pPr>
            <w:r>
              <w:rPr>
                <w:rFonts w:ascii="Arial" w:cs="Arial" w:eastAsia="Arial" w:hAnsi="Arial"/>
                <w:sz w:val="14"/>
                <w:szCs w:val="14"/>
                <w:b w:val="1"/>
                <w:bCs w:val="1"/>
                <w:color w:val="FFFFFF"/>
              </w:rPr>
              <w:t>Name and</w:t>
            </w:r>
          </w:p>
        </w:tc>
        <w:tc>
          <w:tcPr>
            <w:tcW w:w="710" w:type="dxa"/>
            <w:vAlign w:val="bottom"/>
            <w:shd w:val="clear" w:color="auto" w:fill="998C87"/>
          </w:tcPr>
          <w:p>
            <w:pPr>
              <w:jc w:val="right"/>
              <w:ind w:right="88"/>
              <w:spacing w:after="0"/>
              <w:rPr>
                <w:sz w:val="20"/>
                <w:szCs w:val="20"/>
                <w:color w:val="auto"/>
              </w:rPr>
            </w:pPr>
            <w:r>
              <w:rPr>
                <w:rFonts w:ascii="Arial" w:cs="Arial" w:eastAsia="Arial" w:hAnsi="Arial"/>
                <w:sz w:val="14"/>
                <w:szCs w:val="14"/>
                <w:b w:val="1"/>
                <w:bCs w:val="1"/>
                <w:color w:val="FFFFFF"/>
              </w:rPr>
              <w:t>Fiscal</w:t>
            </w:r>
          </w:p>
        </w:tc>
        <w:tc>
          <w:tcPr>
            <w:tcW w:w="1060" w:type="dxa"/>
            <w:vAlign w:val="bottom"/>
            <w:shd w:val="clear" w:color="auto" w:fill="998C87"/>
          </w:tcPr>
          <w:p>
            <w:pPr>
              <w:jc w:val="right"/>
              <w:ind w:right="248"/>
              <w:spacing w:after="0"/>
              <w:rPr>
                <w:sz w:val="20"/>
                <w:szCs w:val="20"/>
                <w:color w:val="auto"/>
              </w:rPr>
            </w:pPr>
            <w:r>
              <w:rPr>
                <w:rFonts w:ascii="Arial" w:cs="Arial" w:eastAsia="Arial" w:hAnsi="Arial"/>
                <w:sz w:val="14"/>
                <w:szCs w:val="14"/>
                <w:b w:val="1"/>
                <w:bCs w:val="1"/>
                <w:color w:val="FFFFFF"/>
              </w:rPr>
              <w:t>Salary</w:t>
            </w:r>
          </w:p>
        </w:tc>
        <w:tc>
          <w:tcPr>
            <w:tcW w:w="1060" w:type="dxa"/>
            <w:vAlign w:val="bottom"/>
            <w:shd w:val="clear" w:color="auto" w:fill="998C87"/>
          </w:tcPr>
          <w:p>
            <w:pPr>
              <w:jc w:val="right"/>
              <w:ind w:right="248"/>
              <w:spacing w:after="0"/>
              <w:rPr>
                <w:sz w:val="20"/>
                <w:szCs w:val="20"/>
                <w:color w:val="auto"/>
              </w:rPr>
            </w:pPr>
            <w:r>
              <w:rPr>
                <w:rFonts w:ascii="Arial" w:cs="Arial" w:eastAsia="Arial" w:hAnsi="Arial"/>
                <w:sz w:val="14"/>
                <w:szCs w:val="14"/>
                <w:b w:val="1"/>
                <w:bCs w:val="1"/>
                <w:color w:val="FFFFFF"/>
              </w:rPr>
              <w:t>Bonus</w:t>
            </w:r>
          </w:p>
        </w:tc>
        <w:tc>
          <w:tcPr>
            <w:tcW w:w="1080" w:type="dxa"/>
            <w:vAlign w:val="bottom"/>
            <w:shd w:val="clear" w:color="auto" w:fill="998C87"/>
          </w:tcPr>
          <w:p>
            <w:pPr>
              <w:jc w:val="right"/>
              <w:ind w:right="228"/>
              <w:spacing w:after="0"/>
              <w:rPr>
                <w:sz w:val="20"/>
                <w:szCs w:val="20"/>
                <w:color w:val="auto"/>
              </w:rPr>
            </w:pPr>
            <w:r>
              <w:rPr>
                <w:rFonts w:ascii="Arial" w:cs="Arial" w:eastAsia="Arial" w:hAnsi="Arial"/>
                <w:sz w:val="14"/>
                <w:szCs w:val="14"/>
                <w:b w:val="1"/>
                <w:bCs w:val="1"/>
                <w:color w:val="FFFFFF"/>
              </w:rPr>
              <w:t>Awards</w:t>
            </w:r>
          </w:p>
        </w:tc>
        <w:tc>
          <w:tcPr>
            <w:tcW w:w="94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w w:val="98"/>
              </w:rPr>
              <w:t>Awards</w:t>
            </w:r>
          </w:p>
        </w:tc>
        <w:tc>
          <w:tcPr>
            <w:tcW w:w="1120" w:type="dxa"/>
            <w:vAlign w:val="bottom"/>
            <w:shd w:val="clear" w:color="auto" w:fill="998C87"/>
          </w:tcPr>
          <w:p>
            <w:pPr>
              <w:jc w:val="center"/>
              <w:ind w:left="8"/>
              <w:spacing w:after="0"/>
              <w:rPr>
                <w:sz w:val="20"/>
                <w:szCs w:val="20"/>
                <w:color w:val="auto"/>
              </w:rPr>
            </w:pPr>
            <w:r>
              <w:rPr>
                <w:rFonts w:ascii="Arial" w:cs="Arial" w:eastAsia="Arial" w:hAnsi="Arial"/>
                <w:sz w:val="14"/>
                <w:szCs w:val="14"/>
                <w:b w:val="1"/>
                <w:bCs w:val="1"/>
                <w:color w:val="FFFFFF"/>
              </w:rPr>
              <w:t>Compensation</w:t>
            </w:r>
          </w:p>
        </w:tc>
        <w:tc>
          <w:tcPr>
            <w:tcW w:w="104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Earnings</w:t>
            </w:r>
          </w:p>
        </w:tc>
        <w:tc>
          <w:tcPr>
            <w:tcW w:w="1160" w:type="dxa"/>
            <w:vAlign w:val="bottom"/>
            <w:shd w:val="clear" w:color="auto" w:fill="998C87"/>
          </w:tcPr>
          <w:p>
            <w:pPr>
              <w:jc w:val="center"/>
              <w:ind w:right="48"/>
              <w:spacing w:after="0"/>
              <w:rPr>
                <w:sz w:val="20"/>
                <w:szCs w:val="20"/>
                <w:color w:val="auto"/>
              </w:rPr>
            </w:pPr>
            <w:r>
              <w:rPr>
                <w:rFonts w:ascii="Arial" w:cs="Arial" w:eastAsia="Arial" w:hAnsi="Arial"/>
                <w:sz w:val="14"/>
                <w:szCs w:val="14"/>
                <w:b w:val="1"/>
                <w:bCs w:val="1"/>
                <w:color w:val="FFFFFF"/>
              </w:rPr>
              <w:t>Compensation</w:t>
            </w:r>
          </w:p>
        </w:tc>
        <w:tc>
          <w:tcPr>
            <w:tcW w:w="1020" w:type="dxa"/>
            <w:vAlign w:val="bottom"/>
            <w:shd w:val="clear" w:color="auto" w:fill="998C87"/>
          </w:tcPr>
          <w:p>
            <w:pPr>
              <w:jc w:val="right"/>
              <w:ind w:right="328"/>
              <w:spacing w:after="0"/>
              <w:rPr>
                <w:sz w:val="20"/>
                <w:szCs w:val="20"/>
                <w:color w:val="auto"/>
              </w:rPr>
            </w:pPr>
            <w:r>
              <w:rPr>
                <w:rFonts w:ascii="Arial" w:cs="Arial" w:eastAsia="Arial" w:hAnsi="Arial"/>
                <w:sz w:val="14"/>
                <w:szCs w:val="14"/>
                <w:b w:val="1"/>
                <w:bCs w:val="1"/>
                <w:color w:val="FFFFFF"/>
              </w:rPr>
              <w:t>Total</w:t>
            </w:r>
          </w:p>
        </w:tc>
      </w:tr>
      <w:tr>
        <w:trPr>
          <w:trHeight w:val="202"/>
        </w:trPr>
        <w:tc>
          <w:tcPr>
            <w:tcW w:w="1810" w:type="dxa"/>
            <w:vAlign w:val="bottom"/>
            <w:shd w:val="clear" w:color="auto" w:fill="998C87"/>
          </w:tcPr>
          <w:p>
            <w:pPr>
              <w:ind w:left="80"/>
              <w:spacing w:after="0"/>
              <w:rPr>
                <w:sz w:val="20"/>
                <w:szCs w:val="20"/>
                <w:color w:val="auto"/>
              </w:rPr>
            </w:pPr>
            <w:r>
              <w:rPr>
                <w:rFonts w:ascii="Arial" w:cs="Arial" w:eastAsia="Arial" w:hAnsi="Arial"/>
                <w:sz w:val="14"/>
                <w:szCs w:val="14"/>
                <w:b w:val="1"/>
                <w:bCs w:val="1"/>
                <w:color w:val="FFFFFF"/>
              </w:rPr>
              <w:t>Principal Position</w:t>
            </w:r>
          </w:p>
        </w:tc>
        <w:tc>
          <w:tcPr>
            <w:tcW w:w="710" w:type="dxa"/>
            <w:vAlign w:val="bottom"/>
            <w:shd w:val="clear" w:color="auto" w:fill="998C87"/>
          </w:tcPr>
          <w:p>
            <w:pPr>
              <w:jc w:val="right"/>
              <w:ind w:right="128"/>
              <w:spacing w:after="0"/>
              <w:rPr>
                <w:sz w:val="20"/>
                <w:szCs w:val="20"/>
                <w:color w:val="auto"/>
              </w:rPr>
            </w:pPr>
            <w:r>
              <w:rPr>
                <w:rFonts w:ascii="Arial" w:cs="Arial" w:eastAsia="Arial" w:hAnsi="Arial"/>
                <w:sz w:val="14"/>
                <w:szCs w:val="14"/>
                <w:b w:val="1"/>
                <w:bCs w:val="1"/>
                <w:color w:val="FFFFFF"/>
              </w:rPr>
              <w:t>Year</w:t>
            </w:r>
          </w:p>
        </w:tc>
        <w:tc>
          <w:tcPr>
            <w:tcW w:w="1060" w:type="dxa"/>
            <w:vAlign w:val="bottom"/>
            <w:shd w:val="clear" w:color="auto" w:fill="998C87"/>
          </w:tcPr>
          <w:p>
            <w:pPr>
              <w:jc w:val="right"/>
              <w:ind w:right="288"/>
              <w:spacing w:after="0"/>
              <w:rPr>
                <w:sz w:val="20"/>
                <w:szCs w:val="20"/>
                <w:color w:val="auto"/>
              </w:rPr>
            </w:pPr>
            <w:r>
              <w:rPr>
                <w:rFonts w:ascii="Arial" w:cs="Arial" w:eastAsia="Arial" w:hAnsi="Arial"/>
                <w:sz w:val="14"/>
                <w:szCs w:val="14"/>
                <w:b w:val="1"/>
                <w:bCs w:val="1"/>
                <w:color w:val="FFFFFF"/>
              </w:rPr>
              <w:t>($)(1)</w:t>
            </w:r>
          </w:p>
        </w:tc>
        <w:tc>
          <w:tcPr>
            <w:tcW w:w="1060" w:type="dxa"/>
            <w:vAlign w:val="bottom"/>
            <w:shd w:val="clear" w:color="auto" w:fill="998C87"/>
          </w:tcPr>
          <w:p>
            <w:pPr>
              <w:jc w:val="right"/>
              <w:ind w:right="288"/>
              <w:spacing w:after="0"/>
              <w:rPr>
                <w:sz w:val="20"/>
                <w:szCs w:val="20"/>
                <w:color w:val="auto"/>
              </w:rPr>
            </w:pPr>
            <w:r>
              <w:rPr>
                <w:rFonts w:ascii="Arial" w:cs="Arial" w:eastAsia="Arial" w:hAnsi="Arial"/>
                <w:sz w:val="14"/>
                <w:szCs w:val="14"/>
                <w:b w:val="1"/>
                <w:bCs w:val="1"/>
                <w:color w:val="FFFFFF"/>
              </w:rPr>
              <w:t>($)(2)</w:t>
            </w:r>
          </w:p>
        </w:tc>
        <w:tc>
          <w:tcPr>
            <w:tcW w:w="1080" w:type="dxa"/>
            <w:vAlign w:val="bottom"/>
            <w:shd w:val="clear" w:color="auto" w:fill="998C87"/>
          </w:tcPr>
          <w:p>
            <w:pPr>
              <w:jc w:val="right"/>
              <w:ind w:right="228"/>
              <w:spacing w:after="0"/>
              <w:rPr>
                <w:sz w:val="20"/>
                <w:szCs w:val="20"/>
                <w:color w:val="auto"/>
              </w:rPr>
            </w:pPr>
            <w:r>
              <w:rPr>
                <w:rFonts w:ascii="Arial" w:cs="Arial" w:eastAsia="Arial" w:hAnsi="Arial"/>
                <w:sz w:val="14"/>
                <w:szCs w:val="14"/>
                <w:b w:val="1"/>
                <w:bCs w:val="1"/>
                <w:color w:val="FFFFFF"/>
              </w:rPr>
              <w:t>($)(3)(4)</w:t>
            </w:r>
          </w:p>
        </w:tc>
        <w:tc>
          <w:tcPr>
            <w:tcW w:w="94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w w:val="99"/>
              </w:rPr>
              <w:t>($)(3)</w:t>
            </w:r>
          </w:p>
        </w:tc>
        <w:tc>
          <w:tcPr>
            <w:tcW w:w="1120" w:type="dxa"/>
            <w:vAlign w:val="bottom"/>
            <w:shd w:val="clear" w:color="auto" w:fill="998C87"/>
          </w:tcPr>
          <w:p>
            <w:pPr>
              <w:jc w:val="center"/>
              <w:ind w:left="8"/>
              <w:spacing w:after="0"/>
              <w:rPr>
                <w:sz w:val="20"/>
                <w:szCs w:val="20"/>
                <w:color w:val="auto"/>
              </w:rPr>
            </w:pPr>
            <w:r>
              <w:rPr>
                <w:rFonts w:ascii="Arial" w:cs="Arial" w:eastAsia="Arial" w:hAnsi="Arial"/>
                <w:sz w:val="14"/>
                <w:szCs w:val="14"/>
                <w:b w:val="1"/>
                <w:bCs w:val="1"/>
                <w:color w:val="FFFFFF"/>
              </w:rPr>
              <w:t>($)(5)</w:t>
            </w:r>
          </w:p>
        </w:tc>
        <w:tc>
          <w:tcPr>
            <w:tcW w:w="104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w w:val="99"/>
              </w:rPr>
              <w:t>($)(6)</w:t>
            </w:r>
          </w:p>
        </w:tc>
        <w:tc>
          <w:tcPr>
            <w:tcW w:w="1160" w:type="dxa"/>
            <w:vAlign w:val="bottom"/>
            <w:shd w:val="clear" w:color="auto" w:fill="998C87"/>
          </w:tcPr>
          <w:p>
            <w:pPr>
              <w:jc w:val="center"/>
              <w:ind w:right="48"/>
              <w:spacing w:after="0"/>
              <w:rPr>
                <w:sz w:val="20"/>
                <w:szCs w:val="20"/>
                <w:color w:val="auto"/>
              </w:rPr>
            </w:pPr>
            <w:r>
              <w:rPr>
                <w:rFonts w:ascii="Arial" w:cs="Arial" w:eastAsia="Arial" w:hAnsi="Arial"/>
                <w:sz w:val="14"/>
                <w:szCs w:val="14"/>
                <w:b w:val="1"/>
                <w:bCs w:val="1"/>
                <w:color w:val="FFFFFF"/>
              </w:rPr>
              <w:t>($)(7)</w:t>
            </w:r>
          </w:p>
        </w:tc>
        <w:tc>
          <w:tcPr>
            <w:tcW w:w="1020" w:type="dxa"/>
            <w:vAlign w:val="bottom"/>
            <w:shd w:val="clear" w:color="auto" w:fill="998C87"/>
          </w:tcPr>
          <w:p>
            <w:pPr>
              <w:jc w:val="right"/>
              <w:ind w:right="408"/>
              <w:spacing w:after="0"/>
              <w:rPr>
                <w:sz w:val="20"/>
                <w:szCs w:val="20"/>
                <w:color w:val="auto"/>
              </w:rPr>
            </w:pPr>
            <w:r>
              <w:rPr>
                <w:rFonts w:ascii="Arial" w:cs="Arial" w:eastAsia="Arial" w:hAnsi="Arial"/>
                <w:sz w:val="14"/>
                <w:szCs w:val="14"/>
                <w:b w:val="1"/>
                <w:bCs w:val="1"/>
                <w:color w:val="FFFFFF"/>
              </w:rPr>
              <w:t>($)</w:t>
            </w:r>
          </w:p>
        </w:tc>
      </w:tr>
      <w:tr>
        <w:trPr>
          <w:trHeight w:val="69"/>
        </w:trPr>
        <w:tc>
          <w:tcPr>
            <w:tcW w:w="1810" w:type="dxa"/>
            <w:vAlign w:val="bottom"/>
            <w:shd w:val="clear" w:color="auto" w:fill="998C87"/>
          </w:tcPr>
          <w:p>
            <w:pPr>
              <w:spacing w:after="0"/>
              <w:rPr>
                <w:sz w:val="6"/>
                <w:szCs w:val="6"/>
                <w:color w:val="auto"/>
              </w:rPr>
            </w:pPr>
          </w:p>
        </w:tc>
        <w:tc>
          <w:tcPr>
            <w:tcW w:w="710" w:type="dxa"/>
            <w:vAlign w:val="bottom"/>
            <w:shd w:val="clear" w:color="auto" w:fill="998C87"/>
          </w:tcPr>
          <w:p>
            <w:pPr>
              <w:spacing w:after="0"/>
              <w:rPr>
                <w:sz w:val="6"/>
                <w:szCs w:val="6"/>
                <w:color w:val="auto"/>
              </w:rPr>
            </w:pPr>
          </w:p>
        </w:tc>
        <w:tc>
          <w:tcPr>
            <w:tcW w:w="1060" w:type="dxa"/>
            <w:vAlign w:val="bottom"/>
            <w:shd w:val="clear" w:color="auto" w:fill="998C87"/>
          </w:tcPr>
          <w:p>
            <w:pPr>
              <w:spacing w:after="0"/>
              <w:rPr>
                <w:sz w:val="6"/>
                <w:szCs w:val="6"/>
                <w:color w:val="auto"/>
              </w:rPr>
            </w:pPr>
          </w:p>
        </w:tc>
        <w:tc>
          <w:tcPr>
            <w:tcW w:w="1060" w:type="dxa"/>
            <w:vAlign w:val="bottom"/>
            <w:shd w:val="clear" w:color="auto" w:fill="998C87"/>
          </w:tcPr>
          <w:p>
            <w:pPr>
              <w:spacing w:after="0"/>
              <w:rPr>
                <w:sz w:val="6"/>
                <w:szCs w:val="6"/>
                <w:color w:val="auto"/>
              </w:rPr>
            </w:pPr>
          </w:p>
        </w:tc>
        <w:tc>
          <w:tcPr>
            <w:tcW w:w="1080" w:type="dxa"/>
            <w:vAlign w:val="bottom"/>
            <w:shd w:val="clear" w:color="auto" w:fill="998C87"/>
          </w:tcPr>
          <w:p>
            <w:pPr>
              <w:spacing w:after="0"/>
              <w:rPr>
                <w:sz w:val="6"/>
                <w:szCs w:val="6"/>
                <w:color w:val="auto"/>
              </w:rPr>
            </w:pPr>
          </w:p>
        </w:tc>
        <w:tc>
          <w:tcPr>
            <w:tcW w:w="940" w:type="dxa"/>
            <w:vAlign w:val="bottom"/>
            <w:shd w:val="clear" w:color="auto" w:fill="998C87"/>
          </w:tcPr>
          <w:p>
            <w:pPr>
              <w:spacing w:after="0"/>
              <w:rPr>
                <w:sz w:val="6"/>
                <w:szCs w:val="6"/>
                <w:color w:val="auto"/>
              </w:rPr>
            </w:pPr>
          </w:p>
        </w:tc>
        <w:tc>
          <w:tcPr>
            <w:tcW w:w="1120" w:type="dxa"/>
            <w:vAlign w:val="bottom"/>
            <w:shd w:val="clear" w:color="auto" w:fill="998C87"/>
          </w:tcPr>
          <w:p>
            <w:pPr>
              <w:spacing w:after="0"/>
              <w:rPr>
                <w:sz w:val="6"/>
                <w:szCs w:val="6"/>
                <w:color w:val="auto"/>
              </w:rPr>
            </w:pPr>
          </w:p>
        </w:tc>
        <w:tc>
          <w:tcPr>
            <w:tcW w:w="1040" w:type="dxa"/>
            <w:vAlign w:val="bottom"/>
            <w:shd w:val="clear" w:color="auto" w:fill="998C87"/>
          </w:tcPr>
          <w:p>
            <w:pPr>
              <w:spacing w:after="0"/>
              <w:rPr>
                <w:sz w:val="6"/>
                <w:szCs w:val="6"/>
                <w:color w:val="auto"/>
              </w:rPr>
            </w:pPr>
          </w:p>
        </w:tc>
        <w:tc>
          <w:tcPr>
            <w:tcW w:w="1160" w:type="dxa"/>
            <w:vAlign w:val="bottom"/>
            <w:shd w:val="clear" w:color="auto" w:fill="998C87"/>
          </w:tcPr>
          <w:p>
            <w:pPr>
              <w:spacing w:after="0"/>
              <w:rPr>
                <w:sz w:val="6"/>
                <w:szCs w:val="6"/>
                <w:color w:val="auto"/>
              </w:rPr>
            </w:pPr>
          </w:p>
        </w:tc>
        <w:tc>
          <w:tcPr>
            <w:tcW w:w="1020" w:type="dxa"/>
            <w:vAlign w:val="bottom"/>
            <w:shd w:val="clear" w:color="auto" w:fill="998C87"/>
          </w:tcPr>
          <w:p>
            <w:pPr>
              <w:spacing w:after="0"/>
              <w:rPr>
                <w:sz w:val="6"/>
                <w:szCs w:val="6"/>
                <w:color w:val="auto"/>
              </w:rPr>
            </w:pPr>
          </w:p>
        </w:tc>
      </w:tr>
      <w:tr>
        <w:trPr>
          <w:trHeight w:val="162"/>
        </w:trPr>
        <w:tc>
          <w:tcPr>
            <w:tcW w:w="1810" w:type="dxa"/>
            <w:vAlign w:val="bottom"/>
            <w:shd w:val="clear" w:color="auto" w:fill="F4F3F3"/>
          </w:tcPr>
          <w:p>
            <w:pPr>
              <w:ind w:left="80"/>
              <w:spacing w:after="0"/>
              <w:rPr>
                <w:sz w:val="20"/>
                <w:szCs w:val="20"/>
                <w:color w:val="auto"/>
              </w:rPr>
            </w:pPr>
            <w:r>
              <w:rPr>
                <w:rFonts w:ascii="Arial" w:cs="Arial" w:eastAsia="Arial" w:hAnsi="Arial"/>
                <w:sz w:val="14"/>
                <w:szCs w:val="14"/>
                <w:color w:val="998C87"/>
              </w:rPr>
              <w:t>J.W. Marriott, Jr.</w:t>
            </w:r>
          </w:p>
        </w:tc>
        <w:tc>
          <w:tcPr>
            <w:tcW w:w="71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2017</w:t>
            </w:r>
          </w:p>
        </w:tc>
        <w:tc>
          <w:tcPr>
            <w:tcW w:w="106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3,000,000</w:t>
            </w:r>
          </w:p>
        </w:tc>
        <w:tc>
          <w:tcPr>
            <w:tcW w:w="106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0</w:t>
            </w:r>
          </w:p>
        </w:tc>
        <w:tc>
          <w:tcPr>
            <w:tcW w:w="1080" w:type="dxa"/>
            <w:vAlign w:val="bottom"/>
            <w:shd w:val="clear" w:color="auto" w:fill="F4F3F3"/>
          </w:tcPr>
          <w:p>
            <w:pPr>
              <w:jc w:val="right"/>
              <w:ind w:right="148"/>
              <w:spacing w:after="0"/>
              <w:rPr>
                <w:sz w:val="20"/>
                <w:szCs w:val="20"/>
                <w:color w:val="auto"/>
              </w:rPr>
            </w:pPr>
            <w:r>
              <w:rPr>
                <w:rFonts w:ascii="Arial" w:cs="Arial" w:eastAsia="Arial" w:hAnsi="Arial"/>
                <w:sz w:val="14"/>
                <w:szCs w:val="14"/>
                <w:color w:val="auto"/>
              </w:rPr>
              <w:t>0</w:t>
            </w:r>
          </w:p>
        </w:tc>
        <w:tc>
          <w:tcPr>
            <w:tcW w:w="940" w:type="dxa"/>
            <w:vAlign w:val="bottom"/>
            <w:shd w:val="clear" w:color="auto" w:fill="F4F3F3"/>
          </w:tcPr>
          <w:p>
            <w:pPr>
              <w:jc w:val="right"/>
              <w:ind w:right="28"/>
              <w:spacing w:after="0"/>
              <w:rPr>
                <w:sz w:val="20"/>
                <w:szCs w:val="20"/>
                <w:color w:val="auto"/>
              </w:rPr>
            </w:pPr>
            <w:r>
              <w:rPr>
                <w:rFonts w:ascii="Arial" w:cs="Arial" w:eastAsia="Arial" w:hAnsi="Arial"/>
                <w:sz w:val="14"/>
                <w:szCs w:val="14"/>
                <w:color w:val="auto"/>
              </w:rPr>
              <w:t>0</w:t>
            </w:r>
          </w:p>
        </w:tc>
        <w:tc>
          <w:tcPr>
            <w:tcW w:w="112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0</w:t>
            </w:r>
          </w:p>
        </w:tc>
        <w:tc>
          <w:tcPr>
            <w:tcW w:w="104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214,007</w:t>
            </w:r>
          </w:p>
        </w:tc>
        <w:tc>
          <w:tcPr>
            <w:tcW w:w="1160" w:type="dxa"/>
            <w:vAlign w:val="bottom"/>
            <w:shd w:val="clear" w:color="auto" w:fill="F4F3F3"/>
          </w:tcPr>
          <w:p>
            <w:pPr>
              <w:jc w:val="right"/>
              <w:ind w:right="228"/>
              <w:spacing w:after="0"/>
              <w:rPr>
                <w:sz w:val="20"/>
                <w:szCs w:val="20"/>
                <w:color w:val="auto"/>
              </w:rPr>
            </w:pPr>
            <w:r>
              <w:rPr>
                <w:rFonts w:ascii="Arial" w:cs="Arial" w:eastAsia="Arial" w:hAnsi="Arial"/>
                <w:sz w:val="14"/>
                <w:szCs w:val="14"/>
                <w:color w:val="auto"/>
              </w:rPr>
              <w:t>171,408</w:t>
            </w:r>
          </w:p>
        </w:tc>
        <w:tc>
          <w:tcPr>
            <w:tcW w:w="102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3,385,415</w:t>
            </w:r>
          </w:p>
        </w:tc>
      </w:tr>
      <w:tr>
        <w:trPr>
          <w:trHeight w:val="175"/>
        </w:trPr>
        <w:tc>
          <w:tcPr>
            <w:tcW w:w="1810" w:type="dxa"/>
            <w:vAlign w:val="bottom"/>
            <w:shd w:val="clear" w:color="auto" w:fill="F4F3F3"/>
          </w:tcPr>
          <w:p>
            <w:pPr>
              <w:ind w:left="80"/>
              <w:spacing w:after="0"/>
              <w:rPr>
                <w:sz w:val="20"/>
                <w:szCs w:val="20"/>
                <w:color w:val="auto"/>
              </w:rPr>
            </w:pPr>
            <w:r>
              <w:rPr>
                <w:rFonts w:ascii="Arial" w:cs="Arial" w:eastAsia="Arial" w:hAnsi="Arial"/>
                <w:sz w:val="14"/>
                <w:szCs w:val="14"/>
                <w:color w:val="auto"/>
              </w:rPr>
              <w:t>Executive Chairman</w:t>
            </w:r>
          </w:p>
        </w:tc>
        <w:tc>
          <w:tcPr>
            <w:tcW w:w="71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2016</w:t>
            </w:r>
          </w:p>
        </w:tc>
        <w:tc>
          <w:tcPr>
            <w:tcW w:w="106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3,000,000</w:t>
            </w:r>
          </w:p>
        </w:tc>
        <w:tc>
          <w:tcPr>
            <w:tcW w:w="106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0</w:t>
            </w:r>
          </w:p>
        </w:tc>
        <w:tc>
          <w:tcPr>
            <w:tcW w:w="1080" w:type="dxa"/>
            <w:vAlign w:val="bottom"/>
            <w:shd w:val="clear" w:color="auto" w:fill="F4F3F3"/>
          </w:tcPr>
          <w:p>
            <w:pPr>
              <w:jc w:val="right"/>
              <w:ind w:right="148"/>
              <w:spacing w:after="0"/>
              <w:rPr>
                <w:sz w:val="20"/>
                <w:szCs w:val="20"/>
                <w:color w:val="auto"/>
              </w:rPr>
            </w:pPr>
            <w:r>
              <w:rPr>
                <w:rFonts w:ascii="Arial" w:cs="Arial" w:eastAsia="Arial" w:hAnsi="Arial"/>
                <w:sz w:val="14"/>
                <w:szCs w:val="14"/>
                <w:color w:val="auto"/>
              </w:rPr>
              <w:t>0</w:t>
            </w:r>
          </w:p>
        </w:tc>
        <w:tc>
          <w:tcPr>
            <w:tcW w:w="940" w:type="dxa"/>
            <w:vAlign w:val="bottom"/>
            <w:shd w:val="clear" w:color="auto" w:fill="F4F3F3"/>
          </w:tcPr>
          <w:p>
            <w:pPr>
              <w:jc w:val="right"/>
              <w:ind w:right="28"/>
              <w:spacing w:after="0"/>
              <w:rPr>
                <w:sz w:val="20"/>
                <w:szCs w:val="20"/>
                <w:color w:val="auto"/>
              </w:rPr>
            </w:pPr>
            <w:r>
              <w:rPr>
                <w:rFonts w:ascii="Arial" w:cs="Arial" w:eastAsia="Arial" w:hAnsi="Arial"/>
                <w:sz w:val="14"/>
                <w:szCs w:val="14"/>
                <w:color w:val="auto"/>
              </w:rPr>
              <w:t>0</w:t>
            </w:r>
          </w:p>
        </w:tc>
        <w:tc>
          <w:tcPr>
            <w:tcW w:w="112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0</w:t>
            </w:r>
          </w:p>
        </w:tc>
        <w:tc>
          <w:tcPr>
            <w:tcW w:w="104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455,752</w:t>
            </w:r>
          </w:p>
        </w:tc>
        <w:tc>
          <w:tcPr>
            <w:tcW w:w="1160" w:type="dxa"/>
            <w:vAlign w:val="bottom"/>
            <w:shd w:val="clear" w:color="auto" w:fill="F4F3F3"/>
          </w:tcPr>
          <w:p>
            <w:pPr>
              <w:jc w:val="right"/>
              <w:ind w:right="228"/>
              <w:spacing w:after="0"/>
              <w:rPr>
                <w:sz w:val="20"/>
                <w:szCs w:val="20"/>
                <w:color w:val="auto"/>
              </w:rPr>
            </w:pPr>
            <w:r>
              <w:rPr>
                <w:rFonts w:ascii="Arial" w:cs="Arial" w:eastAsia="Arial" w:hAnsi="Arial"/>
                <w:sz w:val="14"/>
                <w:szCs w:val="14"/>
                <w:color w:val="auto"/>
              </w:rPr>
              <w:t>201,864</w:t>
            </w:r>
          </w:p>
        </w:tc>
        <w:tc>
          <w:tcPr>
            <w:tcW w:w="102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3,657,616</w:t>
            </w:r>
          </w:p>
        </w:tc>
      </w:tr>
      <w:tr>
        <w:trPr>
          <w:trHeight w:val="175"/>
        </w:trPr>
        <w:tc>
          <w:tcPr>
            <w:tcW w:w="1810" w:type="dxa"/>
            <w:vAlign w:val="bottom"/>
            <w:shd w:val="clear" w:color="auto" w:fill="F4F3F3"/>
          </w:tcPr>
          <w:p>
            <w:pPr>
              <w:spacing w:after="0"/>
              <w:rPr>
                <w:sz w:val="15"/>
                <w:szCs w:val="15"/>
                <w:color w:val="auto"/>
              </w:rPr>
            </w:pPr>
          </w:p>
        </w:tc>
        <w:tc>
          <w:tcPr>
            <w:tcW w:w="71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2015</w:t>
            </w:r>
          </w:p>
        </w:tc>
        <w:tc>
          <w:tcPr>
            <w:tcW w:w="106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3,000,000</w:t>
            </w:r>
          </w:p>
        </w:tc>
        <w:tc>
          <w:tcPr>
            <w:tcW w:w="106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0</w:t>
            </w:r>
          </w:p>
        </w:tc>
        <w:tc>
          <w:tcPr>
            <w:tcW w:w="1080" w:type="dxa"/>
            <w:vAlign w:val="bottom"/>
            <w:shd w:val="clear" w:color="auto" w:fill="F4F3F3"/>
          </w:tcPr>
          <w:p>
            <w:pPr>
              <w:jc w:val="right"/>
              <w:ind w:right="148"/>
              <w:spacing w:after="0"/>
              <w:rPr>
                <w:sz w:val="20"/>
                <w:szCs w:val="20"/>
                <w:color w:val="auto"/>
              </w:rPr>
            </w:pPr>
            <w:r>
              <w:rPr>
                <w:rFonts w:ascii="Arial" w:cs="Arial" w:eastAsia="Arial" w:hAnsi="Arial"/>
                <w:sz w:val="14"/>
                <w:szCs w:val="14"/>
                <w:color w:val="auto"/>
              </w:rPr>
              <w:t>0</w:t>
            </w:r>
          </w:p>
        </w:tc>
        <w:tc>
          <w:tcPr>
            <w:tcW w:w="940" w:type="dxa"/>
            <w:vAlign w:val="bottom"/>
            <w:shd w:val="clear" w:color="auto" w:fill="F4F3F3"/>
          </w:tcPr>
          <w:p>
            <w:pPr>
              <w:jc w:val="right"/>
              <w:ind w:right="28"/>
              <w:spacing w:after="0"/>
              <w:rPr>
                <w:sz w:val="20"/>
                <w:szCs w:val="20"/>
                <w:color w:val="auto"/>
              </w:rPr>
            </w:pPr>
            <w:r>
              <w:rPr>
                <w:rFonts w:ascii="Arial" w:cs="Arial" w:eastAsia="Arial" w:hAnsi="Arial"/>
                <w:sz w:val="14"/>
                <w:szCs w:val="14"/>
                <w:color w:val="auto"/>
              </w:rPr>
              <w:t>0</w:t>
            </w:r>
          </w:p>
        </w:tc>
        <w:tc>
          <w:tcPr>
            <w:tcW w:w="112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0</w:t>
            </w:r>
          </w:p>
        </w:tc>
        <w:tc>
          <w:tcPr>
            <w:tcW w:w="104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434,283</w:t>
            </w:r>
          </w:p>
        </w:tc>
        <w:tc>
          <w:tcPr>
            <w:tcW w:w="1160" w:type="dxa"/>
            <w:vAlign w:val="bottom"/>
            <w:shd w:val="clear" w:color="auto" w:fill="F4F3F3"/>
          </w:tcPr>
          <w:p>
            <w:pPr>
              <w:jc w:val="right"/>
              <w:ind w:right="228"/>
              <w:spacing w:after="0"/>
              <w:rPr>
                <w:sz w:val="20"/>
                <w:szCs w:val="20"/>
                <w:color w:val="auto"/>
              </w:rPr>
            </w:pPr>
            <w:r>
              <w:rPr>
                <w:rFonts w:ascii="Arial" w:cs="Arial" w:eastAsia="Arial" w:hAnsi="Arial"/>
                <w:sz w:val="14"/>
                <w:szCs w:val="14"/>
                <w:color w:val="auto"/>
              </w:rPr>
              <w:t>194,016</w:t>
            </w:r>
          </w:p>
        </w:tc>
        <w:tc>
          <w:tcPr>
            <w:tcW w:w="102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3,628,299</w:t>
            </w:r>
          </w:p>
        </w:tc>
      </w:tr>
      <w:tr>
        <w:trPr>
          <w:trHeight w:val="175"/>
        </w:trPr>
        <w:tc>
          <w:tcPr>
            <w:tcW w:w="1810" w:type="dxa"/>
            <w:vAlign w:val="bottom"/>
            <w:shd w:val="clear" w:color="auto" w:fill="F4F3F3"/>
          </w:tcPr>
          <w:p>
            <w:pPr>
              <w:ind w:left="80"/>
              <w:spacing w:after="0"/>
              <w:rPr>
                <w:sz w:val="20"/>
                <w:szCs w:val="20"/>
                <w:color w:val="auto"/>
              </w:rPr>
            </w:pPr>
            <w:r>
              <w:rPr>
                <w:rFonts w:ascii="Arial" w:cs="Arial" w:eastAsia="Arial" w:hAnsi="Arial"/>
                <w:sz w:val="14"/>
                <w:szCs w:val="14"/>
                <w:color w:val="998C87"/>
              </w:rPr>
              <w:t>Arne M. Sorenson</w:t>
            </w:r>
          </w:p>
        </w:tc>
        <w:tc>
          <w:tcPr>
            <w:tcW w:w="71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2017</w:t>
            </w:r>
          </w:p>
        </w:tc>
        <w:tc>
          <w:tcPr>
            <w:tcW w:w="106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1,300,000</w:t>
            </w:r>
          </w:p>
        </w:tc>
        <w:tc>
          <w:tcPr>
            <w:tcW w:w="106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1,000,000</w:t>
            </w:r>
          </w:p>
        </w:tc>
        <w:tc>
          <w:tcPr>
            <w:tcW w:w="1080" w:type="dxa"/>
            <w:vAlign w:val="bottom"/>
            <w:shd w:val="clear" w:color="auto" w:fill="F4F3F3"/>
          </w:tcPr>
          <w:p>
            <w:pPr>
              <w:jc w:val="right"/>
              <w:ind w:right="148"/>
              <w:spacing w:after="0"/>
              <w:rPr>
                <w:sz w:val="20"/>
                <w:szCs w:val="20"/>
                <w:color w:val="auto"/>
              </w:rPr>
            </w:pPr>
            <w:r>
              <w:rPr>
                <w:rFonts w:ascii="Arial" w:cs="Arial" w:eastAsia="Arial" w:hAnsi="Arial"/>
                <w:sz w:val="14"/>
                <w:szCs w:val="14"/>
                <w:color w:val="auto"/>
              </w:rPr>
              <w:t>5,310,583</w:t>
            </w:r>
          </w:p>
        </w:tc>
        <w:tc>
          <w:tcPr>
            <w:tcW w:w="940" w:type="dxa"/>
            <w:vAlign w:val="bottom"/>
            <w:shd w:val="clear" w:color="auto" w:fill="F4F3F3"/>
          </w:tcPr>
          <w:p>
            <w:pPr>
              <w:jc w:val="right"/>
              <w:ind w:right="28"/>
              <w:spacing w:after="0"/>
              <w:rPr>
                <w:sz w:val="20"/>
                <w:szCs w:val="20"/>
                <w:color w:val="auto"/>
              </w:rPr>
            </w:pPr>
            <w:r>
              <w:rPr>
                <w:rFonts w:ascii="Arial" w:cs="Arial" w:eastAsia="Arial" w:hAnsi="Arial"/>
                <w:sz w:val="14"/>
                <w:szCs w:val="14"/>
                <w:color w:val="auto"/>
              </w:rPr>
              <w:t>1,838,959</w:t>
            </w:r>
          </w:p>
        </w:tc>
        <w:tc>
          <w:tcPr>
            <w:tcW w:w="112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3,628,950</w:t>
            </w:r>
          </w:p>
        </w:tc>
        <w:tc>
          <w:tcPr>
            <w:tcW w:w="104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45,635</w:t>
            </w:r>
          </w:p>
        </w:tc>
        <w:tc>
          <w:tcPr>
            <w:tcW w:w="1160" w:type="dxa"/>
            <w:vAlign w:val="bottom"/>
            <w:shd w:val="clear" w:color="auto" w:fill="F4F3F3"/>
          </w:tcPr>
          <w:p>
            <w:pPr>
              <w:jc w:val="right"/>
              <w:ind w:right="228"/>
              <w:spacing w:after="0"/>
              <w:rPr>
                <w:sz w:val="20"/>
                <w:szCs w:val="20"/>
                <w:color w:val="auto"/>
              </w:rPr>
            </w:pPr>
            <w:r>
              <w:rPr>
                <w:rFonts w:ascii="Arial" w:cs="Arial" w:eastAsia="Arial" w:hAnsi="Arial"/>
                <w:sz w:val="14"/>
                <w:szCs w:val="14"/>
                <w:color w:val="auto"/>
              </w:rPr>
              <w:t>187,490</w:t>
            </w:r>
          </w:p>
        </w:tc>
        <w:tc>
          <w:tcPr>
            <w:tcW w:w="102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13,311,617</w:t>
            </w:r>
          </w:p>
        </w:tc>
      </w:tr>
      <w:tr>
        <w:trPr>
          <w:trHeight w:val="162"/>
        </w:trPr>
        <w:tc>
          <w:tcPr>
            <w:tcW w:w="1810" w:type="dxa"/>
            <w:vAlign w:val="bottom"/>
            <w:shd w:val="clear" w:color="auto" w:fill="F4F3F3"/>
          </w:tcPr>
          <w:p>
            <w:pPr>
              <w:ind w:left="80"/>
              <w:spacing w:after="0"/>
              <w:rPr>
                <w:sz w:val="20"/>
                <w:szCs w:val="20"/>
                <w:color w:val="auto"/>
              </w:rPr>
            </w:pPr>
            <w:r>
              <w:rPr>
                <w:rFonts w:ascii="Arial" w:cs="Arial" w:eastAsia="Arial" w:hAnsi="Arial"/>
                <w:sz w:val="14"/>
                <w:szCs w:val="14"/>
                <w:color w:val="auto"/>
              </w:rPr>
              <w:t>President and Chief</w:t>
            </w:r>
          </w:p>
        </w:tc>
        <w:tc>
          <w:tcPr>
            <w:tcW w:w="71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2016</w:t>
            </w:r>
          </w:p>
        </w:tc>
        <w:tc>
          <w:tcPr>
            <w:tcW w:w="106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1,236,000</w:t>
            </w:r>
          </w:p>
        </w:tc>
        <w:tc>
          <w:tcPr>
            <w:tcW w:w="106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0</w:t>
            </w:r>
          </w:p>
        </w:tc>
        <w:tc>
          <w:tcPr>
            <w:tcW w:w="1080" w:type="dxa"/>
            <w:vAlign w:val="bottom"/>
            <w:shd w:val="clear" w:color="auto" w:fill="F4F3F3"/>
          </w:tcPr>
          <w:p>
            <w:pPr>
              <w:jc w:val="right"/>
              <w:ind w:right="148"/>
              <w:spacing w:after="0"/>
              <w:rPr>
                <w:sz w:val="20"/>
                <w:szCs w:val="20"/>
                <w:color w:val="auto"/>
              </w:rPr>
            </w:pPr>
            <w:r>
              <w:rPr>
                <w:rFonts w:ascii="Arial" w:cs="Arial" w:eastAsia="Arial" w:hAnsi="Arial"/>
                <w:sz w:val="14"/>
                <w:szCs w:val="14"/>
                <w:color w:val="auto"/>
              </w:rPr>
              <w:t>6,010,081</w:t>
            </w:r>
          </w:p>
        </w:tc>
        <w:tc>
          <w:tcPr>
            <w:tcW w:w="940" w:type="dxa"/>
            <w:vAlign w:val="bottom"/>
            <w:shd w:val="clear" w:color="auto" w:fill="F4F3F3"/>
          </w:tcPr>
          <w:p>
            <w:pPr>
              <w:jc w:val="right"/>
              <w:ind w:right="28"/>
              <w:spacing w:after="0"/>
              <w:rPr>
                <w:sz w:val="20"/>
                <w:szCs w:val="20"/>
                <w:color w:val="auto"/>
              </w:rPr>
            </w:pPr>
            <w:r>
              <w:rPr>
                <w:rFonts w:ascii="Arial" w:cs="Arial" w:eastAsia="Arial" w:hAnsi="Arial"/>
                <w:sz w:val="14"/>
                <w:szCs w:val="14"/>
                <w:color w:val="auto"/>
              </w:rPr>
              <w:t>2,000,062</w:t>
            </w:r>
          </w:p>
        </w:tc>
        <w:tc>
          <w:tcPr>
            <w:tcW w:w="112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2,756,527</w:t>
            </w:r>
          </w:p>
        </w:tc>
        <w:tc>
          <w:tcPr>
            <w:tcW w:w="104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90,184</w:t>
            </w:r>
          </w:p>
        </w:tc>
        <w:tc>
          <w:tcPr>
            <w:tcW w:w="1160" w:type="dxa"/>
            <w:vAlign w:val="bottom"/>
            <w:shd w:val="clear" w:color="auto" w:fill="F4F3F3"/>
          </w:tcPr>
          <w:p>
            <w:pPr>
              <w:jc w:val="right"/>
              <w:ind w:right="228"/>
              <w:spacing w:after="0"/>
              <w:rPr>
                <w:sz w:val="20"/>
                <w:szCs w:val="20"/>
                <w:color w:val="auto"/>
              </w:rPr>
            </w:pPr>
            <w:r>
              <w:rPr>
                <w:rFonts w:ascii="Arial" w:cs="Arial" w:eastAsia="Arial" w:hAnsi="Arial"/>
                <w:sz w:val="14"/>
                <w:szCs w:val="14"/>
                <w:color w:val="auto"/>
              </w:rPr>
              <w:t>205,524</w:t>
            </w:r>
          </w:p>
        </w:tc>
        <w:tc>
          <w:tcPr>
            <w:tcW w:w="102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12,298,378</w:t>
            </w:r>
          </w:p>
        </w:tc>
      </w:tr>
      <w:tr>
        <w:trPr>
          <w:trHeight w:val="175"/>
        </w:trPr>
        <w:tc>
          <w:tcPr>
            <w:tcW w:w="1810" w:type="dxa"/>
            <w:vAlign w:val="bottom"/>
            <w:shd w:val="clear" w:color="auto" w:fill="F4F3F3"/>
          </w:tcPr>
          <w:p>
            <w:pPr>
              <w:ind w:left="80"/>
              <w:spacing w:after="0"/>
              <w:rPr>
                <w:sz w:val="20"/>
                <w:szCs w:val="20"/>
                <w:color w:val="auto"/>
              </w:rPr>
            </w:pPr>
            <w:r>
              <w:rPr>
                <w:rFonts w:ascii="Arial" w:cs="Arial" w:eastAsia="Arial" w:hAnsi="Arial"/>
                <w:sz w:val="14"/>
                <w:szCs w:val="14"/>
                <w:color w:val="auto"/>
              </w:rPr>
              <w:t>Executive Officer</w:t>
            </w:r>
          </w:p>
        </w:tc>
        <w:tc>
          <w:tcPr>
            <w:tcW w:w="71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2015</w:t>
            </w:r>
          </w:p>
        </w:tc>
        <w:tc>
          <w:tcPr>
            <w:tcW w:w="106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1,236,000</w:t>
            </w:r>
          </w:p>
        </w:tc>
        <w:tc>
          <w:tcPr>
            <w:tcW w:w="106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0</w:t>
            </w:r>
          </w:p>
        </w:tc>
        <w:tc>
          <w:tcPr>
            <w:tcW w:w="1080" w:type="dxa"/>
            <w:vAlign w:val="bottom"/>
            <w:shd w:val="clear" w:color="auto" w:fill="F4F3F3"/>
          </w:tcPr>
          <w:p>
            <w:pPr>
              <w:jc w:val="right"/>
              <w:ind w:right="148"/>
              <w:spacing w:after="0"/>
              <w:rPr>
                <w:sz w:val="20"/>
                <w:szCs w:val="20"/>
                <w:color w:val="auto"/>
              </w:rPr>
            </w:pPr>
            <w:r>
              <w:rPr>
                <w:rFonts w:ascii="Arial" w:cs="Arial" w:eastAsia="Arial" w:hAnsi="Arial"/>
                <w:sz w:val="14"/>
                <w:szCs w:val="14"/>
                <w:color w:val="auto"/>
              </w:rPr>
              <w:t>3,830,311</w:t>
            </w:r>
          </w:p>
        </w:tc>
        <w:tc>
          <w:tcPr>
            <w:tcW w:w="940" w:type="dxa"/>
            <w:vAlign w:val="bottom"/>
            <w:shd w:val="clear" w:color="auto" w:fill="F4F3F3"/>
          </w:tcPr>
          <w:p>
            <w:pPr>
              <w:jc w:val="right"/>
              <w:ind w:right="28"/>
              <w:spacing w:after="0"/>
              <w:rPr>
                <w:sz w:val="20"/>
                <w:szCs w:val="20"/>
                <w:color w:val="auto"/>
              </w:rPr>
            </w:pPr>
            <w:r>
              <w:rPr>
                <w:rFonts w:ascii="Arial" w:cs="Arial" w:eastAsia="Arial" w:hAnsi="Arial"/>
                <w:sz w:val="14"/>
                <w:szCs w:val="14"/>
                <w:color w:val="auto"/>
              </w:rPr>
              <w:t>2,000,036</w:t>
            </w:r>
          </w:p>
        </w:tc>
        <w:tc>
          <w:tcPr>
            <w:tcW w:w="112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3,626,919</w:t>
            </w:r>
          </w:p>
        </w:tc>
        <w:tc>
          <w:tcPr>
            <w:tcW w:w="104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75,740</w:t>
            </w:r>
          </w:p>
        </w:tc>
        <w:tc>
          <w:tcPr>
            <w:tcW w:w="1160" w:type="dxa"/>
            <w:vAlign w:val="bottom"/>
            <w:shd w:val="clear" w:color="auto" w:fill="F4F3F3"/>
          </w:tcPr>
          <w:p>
            <w:pPr>
              <w:jc w:val="right"/>
              <w:ind w:right="228"/>
              <w:spacing w:after="0"/>
              <w:rPr>
                <w:sz w:val="20"/>
                <w:szCs w:val="20"/>
                <w:color w:val="auto"/>
              </w:rPr>
            </w:pPr>
            <w:r>
              <w:rPr>
                <w:rFonts w:ascii="Arial" w:cs="Arial" w:eastAsia="Arial" w:hAnsi="Arial"/>
                <w:sz w:val="14"/>
                <w:szCs w:val="14"/>
                <w:color w:val="auto"/>
              </w:rPr>
              <w:t>206,411</w:t>
            </w:r>
          </w:p>
        </w:tc>
        <w:tc>
          <w:tcPr>
            <w:tcW w:w="102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10,975,417</w:t>
            </w:r>
          </w:p>
        </w:tc>
      </w:tr>
      <w:tr>
        <w:trPr>
          <w:trHeight w:val="175"/>
        </w:trPr>
        <w:tc>
          <w:tcPr>
            <w:tcW w:w="1810" w:type="dxa"/>
            <w:vAlign w:val="bottom"/>
            <w:shd w:val="clear" w:color="auto" w:fill="F4F3F3"/>
          </w:tcPr>
          <w:p>
            <w:pPr>
              <w:ind w:left="80"/>
              <w:spacing w:after="0"/>
              <w:rPr>
                <w:sz w:val="20"/>
                <w:szCs w:val="20"/>
                <w:color w:val="auto"/>
              </w:rPr>
            </w:pPr>
            <w:r>
              <w:rPr>
                <w:rFonts w:ascii="Arial" w:cs="Arial" w:eastAsia="Arial" w:hAnsi="Arial"/>
                <w:sz w:val="14"/>
                <w:szCs w:val="14"/>
                <w:color w:val="998C87"/>
              </w:rPr>
              <w:t>Anthony G. Capuano</w:t>
            </w:r>
          </w:p>
        </w:tc>
        <w:tc>
          <w:tcPr>
            <w:tcW w:w="71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2017</w:t>
            </w:r>
          </w:p>
        </w:tc>
        <w:tc>
          <w:tcPr>
            <w:tcW w:w="106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800,000</w:t>
            </w:r>
          </w:p>
        </w:tc>
        <w:tc>
          <w:tcPr>
            <w:tcW w:w="106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500,000</w:t>
            </w:r>
          </w:p>
        </w:tc>
        <w:tc>
          <w:tcPr>
            <w:tcW w:w="1080" w:type="dxa"/>
            <w:vAlign w:val="bottom"/>
            <w:shd w:val="clear" w:color="auto" w:fill="F4F3F3"/>
          </w:tcPr>
          <w:p>
            <w:pPr>
              <w:jc w:val="right"/>
              <w:ind w:right="148"/>
              <w:spacing w:after="0"/>
              <w:rPr>
                <w:sz w:val="20"/>
                <w:szCs w:val="20"/>
                <w:color w:val="auto"/>
              </w:rPr>
            </w:pPr>
            <w:r>
              <w:rPr>
                <w:rFonts w:ascii="Arial" w:cs="Arial" w:eastAsia="Arial" w:hAnsi="Arial"/>
                <w:sz w:val="14"/>
                <w:szCs w:val="14"/>
                <w:color w:val="auto"/>
              </w:rPr>
              <w:t>2,528,334</w:t>
            </w:r>
          </w:p>
        </w:tc>
        <w:tc>
          <w:tcPr>
            <w:tcW w:w="940" w:type="dxa"/>
            <w:vAlign w:val="bottom"/>
            <w:shd w:val="clear" w:color="auto" w:fill="F4F3F3"/>
          </w:tcPr>
          <w:p>
            <w:pPr>
              <w:jc w:val="right"/>
              <w:ind w:right="28"/>
              <w:spacing w:after="0"/>
              <w:rPr>
                <w:sz w:val="20"/>
                <w:szCs w:val="20"/>
                <w:color w:val="auto"/>
              </w:rPr>
            </w:pPr>
            <w:r>
              <w:rPr>
                <w:rFonts w:ascii="Arial" w:cs="Arial" w:eastAsia="Arial" w:hAnsi="Arial"/>
                <w:sz w:val="14"/>
                <w:szCs w:val="14"/>
                <w:color w:val="auto"/>
              </w:rPr>
              <w:t>735,220</w:t>
            </w:r>
          </w:p>
        </w:tc>
        <w:tc>
          <w:tcPr>
            <w:tcW w:w="112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1,133,040</w:t>
            </w:r>
          </w:p>
        </w:tc>
        <w:tc>
          <w:tcPr>
            <w:tcW w:w="104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7,358</w:t>
            </w:r>
          </w:p>
        </w:tc>
        <w:tc>
          <w:tcPr>
            <w:tcW w:w="1160" w:type="dxa"/>
            <w:vAlign w:val="bottom"/>
            <w:shd w:val="clear" w:color="auto" w:fill="F4F3F3"/>
          </w:tcPr>
          <w:p>
            <w:pPr>
              <w:jc w:val="right"/>
              <w:ind w:right="228"/>
              <w:spacing w:after="0"/>
              <w:rPr>
                <w:sz w:val="20"/>
                <w:szCs w:val="20"/>
                <w:color w:val="auto"/>
              </w:rPr>
            </w:pPr>
            <w:r>
              <w:rPr>
                <w:rFonts w:ascii="Arial" w:cs="Arial" w:eastAsia="Arial" w:hAnsi="Arial"/>
                <w:sz w:val="14"/>
                <w:szCs w:val="14"/>
                <w:color w:val="auto"/>
              </w:rPr>
              <w:t>45,247</w:t>
            </w:r>
          </w:p>
        </w:tc>
        <w:tc>
          <w:tcPr>
            <w:tcW w:w="102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5,749,199</w:t>
            </w:r>
          </w:p>
        </w:tc>
      </w:tr>
      <w:tr>
        <w:trPr>
          <w:trHeight w:val="162"/>
        </w:trPr>
        <w:tc>
          <w:tcPr>
            <w:tcW w:w="1810" w:type="dxa"/>
            <w:vAlign w:val="bottom"/>
            <w:shd w:val="clear" w:color="auto" w:fill="F4F3F3"/>
          </w:tcPr>
          <w:p>
            <w:pPr>
              <w:ind w:left="80"/>
              <w:spacing w:after="0"/>
              <w:rPr>
                <w:sz w:val="20"/>
                <w:szCs w:val="20"/>
                <w:color w:val="auto"/>
              </w:rPr>
            </w:pPr>
            <w:r>
              <w:rPr>
                <w:rFonts w:ascii="Arial" w:cs="Arial" w:eastAsia="Arial" w:hAnsi="Arial"/>
                <w:sz w:val="14"/>
                <w:szCs w:val="14"/>
                <w:color w:val="auto"/>
              </w:rPr>
              <w:t>Executive Vice</w:t>
            </w:r>
          </w:p>
        </w:tc>
        <w:tc>
          <w:tcPr>
            <w:tcW w:w="71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2016</w:t>
            </w:r>
          </w:p>
        </w:tc>
        <w:tc>
          <w:tcPr>
            <w:tcW w:w="106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750,000</w:t>
            </w:r>
          </w:p>
        </w:tc>
        <w:tc>
          <w:tcPr>
            <w:tcW w:w="106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0</w:t>
            </w:r>
          </w:p>
        </w:tc>
        <w:tc>
          <w:tcPr>
            <w:tcW w:w="1080" w:type="dxa"/>
            <w:vAlign w:val="bottom"/>
            <w:shd w:val="clear" w:color="auto" w:fill="F4F3F3"/>
          </w:tcPr>
          <w:p>
            <w:pPr>
              <w:jc w:val="right"/>
              <w:ind w:right="148"/>
              <w:spacing w:after="0"/>
              <w:rPr>
                <w:sz w:val="20"/>
                <w:szCs w:val="20"/>
                <w:color w:val="auto"/>
              </w:rPr>
            </w:pPr>
            <w:r>
              <w:rPr>
                <w:rFonts w:ascii="Arial" w:cs="Arial" w:eastAsia="Arial" w:hAnsi="Arial"/>
                <w:sz w:val="14"/>
                <w:szCs w:val="14"/>
                <w:color w:val="auto"/>
              </w:rPr>
              <w:t>4,158,052</w:t>
            </w:r>
          </w:p>
        </w:tc>
        <w:tc>
          <w:tcPr>
            <w:tcW w:w="940" w:type="dxa"/>
            <w:vAlign w:val="bottom"/>
            <w:shd w:val="clear" w:color="auto" w:fill="F4F3F3"/>
          </w:tcPr>
          <w:p>
            <w:pPr>
              <w:jc w:val="right"/>
              <w:ind w:right="28"/>
              <w:spacing w:after="0"/>
              <w:rPr>
                <w:sz w:val="20"/>
                <w:szCs w:val="20"/>
                <w:color w:val="auto"/>
              </w:rPr>
            </w:pPr>
            <w:r>
              <w:rPr>
                <w:rFonts w:ascii="Arial" w:cs="Arial" w:eastAsia="Arial" w:hAnsi="Arial"/>
                <w:sz w:val="14"/>
                <w:szCs w:val="14"/>
                <w:color w:val="auto"/>
              </w:rPr>
              <w:t>666,709</w:t>
            </w:r>
          </w:p>
        </w:tc>
        <w:tc>
          <w:tcPr>
            <w:tcW w:w="112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994,725</w:t>
            </w:r>
          </w:p>
        </w:tc>
        <w:tc>
          <w:tcPr>
            <w:tcW w:w="104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15,128</w:t>
            </w:r>
          </w:p>
        </w:tc>
        <w:tc>
          <w:tcPr>
            <w:tcW w:w="1160" w:type="dxa"/>
            <w:vAlign w:val="bottom"/>
            <w:shd w:val="clear" w:color="auto" w:fill="F4F3F3"/>
          </w:tcPr>
          <w:p>
            <w:pPr>
              <w:jc w:val="right"/>
              <w:ind w:right="228"/>
              <w:spacing w:after="0"/>
              <w:rPr>
                <w:sz w:val="20"/>
                <w:szCs w:val="20"/>
                <w:color w:val="auto"/>
              </w:rPr>
            </w:pPr>
            <w:r>
              <w:rPr>
                <w:rFonts w:ascii="Arial" w:cs="Arial" w:eastAsia="Arial" w:hAnsi="Arial"/>
                <w:sz w:val="14"/>
                <w:szCs w:val="14"/>
                <w:color w:val="auto"/>
              </w:rPr>
              <w:t>53,701</w:t>
            </w:r>
          </w:p>
        </w:tc>
        <w:tc>
          <w:tcPr>
            <w:tcW w:w="102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6,638,315</w:t>
            </w:r>
          </w:p>
        </w:tc>
      </w:tr>
      <w:tr>
        <w:trPr>
          <w:trHeight w:val="149"/>
        </w:trPr>
        <w:tc>
          <w:tcPr>
            <w:tcW w:w="1810" w:type="dxa"/>
            <w:vAlign w:val="bottom"/>
            <w:shd w:val="clear" w:color="auto" w:fill="F4F3F3"/>
          </w:tcPr>
          <w:p>
            <w:pPr>
              <w:ind w:left="80"/>
              <w:spacing w:after="0" w:line="149" w:lineRule="exact"/>
              <w:rPr>
                <w:sz w:val="20"/>
                <w:szCs w:val="20"/>
                <w:color w:val="auto"/>
              </w:rPr>
            </w:pPr>
            <w:r>
              <w:rPr>
                <w:rFonts w:ascii="Arial" w:cs="Arial" w:eastAsia="Arial" w:hAnsi="Arial"/>
                <w:sz w:val="14"/>
                <w:szCs w:val="14"/>
                <w:color w:val="auto"/>
              </w:rPr>
              <w:t>President and Global</w:t>
            </w:r>
          </w:p>
        </w:tc>
        <w:tc>
          <w:tcPr>
            <w:tcW w:w="710" w:type="dxa"/>
            <w:vAlign w:val="bottom"/>
            <w:shd w:val="clear" w:color="auto" w:fill="F4F3F3"/>
          </w:tcPr>
          <w:p>
            <w:pPr>
              <w:jc w:val="right"/>
              <w:ind w:right="88"/>
              <w:spacing w:after="0" w:line="149" w:lineRule="exact"/>
              <w:rPr>
                <w:sz w:val="20"/>
                <w:szCs w:val="20"/>
                <w:color w:val="auto"/>
              </w:rPr>
            </w:pPr>
            <w:r>
              <w:rPr>
                <w:rFonts w:ascii="Arial" w:cs="Arial" w:eastAsia="Arial" w:hAnsi="Arial"/>
                <w:sz w:val="14"/>
                <w:szCs w:val="14"/>
                <w:color w:val="auto"/>
              </w:rPr>
              <w:t>2015</w:t>
            </w:r>
          </w:p>
        </w:tc>
        <w:tc>
          <w:tcPr>
            <w:tcW w:w="1060" w:type="dxa"/>
            <w:vAlign w:val="bottom"/>
            <w:shd w:val="clear" w:color="auto" w:fill="F4F3F3"/>
          </w:tcPr>
          <w:p>
            <w:pPr>
              <w:jc w:val="right"/>
              <w:ind w:right="108"/>
              <w:spacing w:after="0" w:line="149" w:lineRule="exact"/>
              <w:rPr>
                <w:sz w:val="20"/>
                <w:szCs w:val="20"/>
                <w:color w:val="auto"/>
              </w:rPr>
            </w:pPr>
            <w:r>
              <w:rPr>
                <w:rFonts w:ascii="Arial" w:cs="Arial" w:eastAsia="Arial" w:hAnsi="Arial"/>
                <w:sz w:val="14"/>
                <w:szCs w:val="14"/>
                <w:color w:val="auto"/>
              </w:rPr>
              <w:t>725,000</w:t>
            </w:r>
          </w:p>
        </w:tc>
        <w:tc>
          <w:tcPr>
            <w:tcW w:w="1060" w:type="dxa"/>
            <w:vAlign w:val="bottom"/>
            <w:shd w:val="clear" w:color="auto" w:fill="F4F3F3"/>
          </w:tcPr>
          <w:p>
            <w:pPr>
              <w:jc w:val="right"/>
              <w:ind w:right="108"/>
              <w:spacing w:after="0" w:line="149" w:lineRule="exact"/>
              <w:rPr>
                <w:sz w:val="20"/>
                <w:szCs w:val="20"/>
                <w:color w:val="auto"/>
              </w:rPr>
            </w:pPr>
            <w:r>
              <w:rPr>
                <w:rFonts w:ascii="Arial" w:cs="Arial" w:eastAsia="Arial" w:hAnsi="Arial"/>
                <w:sz w:val="14"/>
                <w:szCs w:val="14"/>
                <w:color w:val="auto"/>
              </w:rPr>
              <w:t>0</w:t>
            </w:r>
          </w:p>
        </w:tc>
        <w:tc>
          <w:tcPr>
            <w:tcW w:w="1080" w:type="dxa"/>
            <w:vAlign w:val="bottom"/>
            <w:shd w:val="clear" w:color="auto" w:fill="F4F3F3"/>
          </w:tcPr>
          <w:p>
            <w:pPr>
              <w:jc w:val="right"/>
              <w:ind w:right="148"/>
              <w:spacing w:after="0" w:line="149" w:lineRule="exact"/>
              <w:rPr>
                <w:sz w:val="20"/>
                <w:szCs w:val="20"/>
                <w:color w:val="auto"/>
              </w:rPr>
            </w:pPr>
            <w:r>
              <w:rPr>
                <w:rFonts w:ascii="Arial" w:cs="Arial" w:eastAsia="Arial" w:hAnsi="Arial"/>
                <w:sz w:val="14"/>
                <w:szCs w:val="14"/>
                <w:color w:val="auto"/>
              </w:rPr>
              <w:t>2,101,005</w:t>
            </w:r>
          </w:p>
        </w:tc>
        <w:tc>
          <w:tcPr>
            <w:tcW w:w="940" w:type="dxa"/>
            <w:vAlign w:val="bottom"/>
            <w:shd w:val="clear" w:color="auto" w:fill="F4F3F3"/>
          </w:tcPr>
          <w:p>
            <w:pPr>
              <w:jc w:val="right"/>
              <w:ind w:right="28"/>
              <w:spacing w:after="0" w:line="149" w:lineRule="exact"/>
              <w:rPr>
                <w:sz w:val="20"/>
                <w:szCs w:val="20"/>
                <w:color w:val="auto"/>
              </w:rPr>
            </w:pPr>
            <w:r>
              <w:rPr>
                <w:rFonts w:ascii="Arial" w:cs="Arial" w:eastAsia="Arial" w:hAnsi="Arial"/>
                <w:sz w:val="14"/>
                <w:szCs w:val="14"/>
                <w:color w:val="auto"/>
              </w:rPr>
              <w:t>600,065</w:t>
            </w:r>
          </w:p>
        </w:tc>
        <w:tc>
          <w:tcPr>
            <w:tcW w:w="1120" w:type="dxa"/>
            <w:vAlign w:val="bottom"/>
            <w:shd w:val="clear" w:color="auto" w:fill="F4F3F3"/>
          </w:tcPr>
          <w:p>
            <w:pPr>
              <w:jc w:val="right"/>
              <w:ind w:right="88"/>
              <w:spacing w:after="0" w:line="149" w:lineRule="exact"/>
              <w:rPr>
                <w:sz w:val="20"/>
                <w:szCs w:val="20"/>
                <w:color w:val="auto"/>
              </w:rPr>
            </w:pPr>
            <w:r>
              <w:rPr>
                <w:rFonts w:ascii="Arial" w:cs="Arial" w:eastAsia="Arial" w:hAnsi="Arial"/>
                <w:sz w:val="14"/>
                <w:szCs w:val="14"/>
                <w:color w:val="auto"/>
              </w:rPr>
              <w:t>1,078,873</w:t>
            </w:r>
          </w:p>
        </w:tc>
        <w:tc>
          <w:tcPr>
            <w:tcW w:w="1040" w:type="dxa"/>
            <w:vAlign w:val="bottom"/>
            <w:shd w:val="clear" w:color="auto" w:fill="F4F3F3"/>
          </w:tcPr>
          <w:p>
            <w:pPr>
              <w:jc w:val="right"/>
              <w:ind w:right="88"/>
              <w:spacing w:after="0" w:line="149" w:lineRule="exact"/>
              <w:rPr>
                <w:sz w:val="20"/>
                <w:szCs w:val="20"/>
                <w:color w:val="auto"/>
              </w:rPr>
            </w:pPr>
            <w:r>
              <w:rPr>
                <w:rFonts w:ascii="Arial" w:cs="Arial" w:eastAsia="Arial" w:hAnsi="Arial"/>
                <w:sz w:val="14"/>
                <w:szCs w:val="14"/>
                <w:color w:val="auto"/>
              </w:rPr>
              <w:t>13,922</w:t>
            </w:r>
          </w:p>
        </w:tc>
        <w:tc>
          <w:tcPr>
            <w:tcW w:w="1160" w:type="dxa"/>
            <w:vAlign w:val="bottom"/>
            <w:shd w:val="clear" w:color="auto" w:fill="F4F3F3"/>
          </w:tcPr>
          <w:p>
            <w:pPr>
              <w:jc w:val="right"/>
              <w:ind w:right="228"/>
              <w:spacing w:after="0" w:line="149" w:lineRule="exact"/>
              <w:rPr>
                <w:sz w:val="20"/>
                <w:szCs w:val="20"/>
                <w:color w:val="auto"/>
              </w:rPr>
            </w:pPr>
            <w:r>
              <w:rPr>
                <w:rFonts w:ascii="Arial" w:cs="Arial" w:eastAsia="Arial" w:hAnsi="Arial"/>
                <w:sz w:val="14"/>
                <w:szCs w:val="14"/>
                <w:color w:val="auto"/>
              </w:rPr>
              <w:t>44,169</w:t>
            </w:r>
          </w:p>
        </w:tc>
        <w:tc>
          <w:tcPr>
            <w:tcW w:w="1020" w:type="dxa"/>
            <w:vAlign w:val="bottom"/>
            <w:shd w:val="clear" w:color="auto" w:fill="F4F3F3"/>
          </w:tcPr>
          <w:p>
            <w:pPr>
              <w:jc w:val="right"/>
              <w:ind w:right="108"/>
              <w:spacing w:after="0" w:line="149" w:lineRule="exact"/>
              <w:rPr>
                <w:sz w:val="20"/>
                <w:szCs w:val="20"/>
                <w:color w:val="auto"/>
              </w:rPr>
            </w:pPr>
            <w:r>
              <w:rPr>
                <w:rFonts w:ascii="Arial" w:cs="Arial" w:eastAsia="Arial" w:hAnsi="Arial"/>
                <w:sz w:val="14"/>
                <w:szCs w:val="14"/>
                <w:color w:val="auto"/>
              </w:rPr>
              <w:t>4,563,034</w:t>
            </w:r>
          </w:p>
        </w:tc>
      </w:tr>
      <w:tr>
        <w:trPr>
          <w:trHeight w:val="189"/>
        </w:trPr>
        <w:tc>
          <w:tcPr>
            <w:tcW w:w="1810" w:type="dxa"/>
            <w:vAlign w:val="bottom"/>
            <w:shd w:val="clear" w:color="auto" w:fill="F4F3F3"/>
          </w:tcPr>
          <w:p>
            <w:pPr>
              <w:ind w:left="80"/>
              <w:spacing w:after="0"/>
              <w:rPr>
                <w:sz w:val="20"/>
                <w:szCs w:val="20"/>
                <w:color w:val="auto"/>
              </w:rPr>
            </w:pPr>
            <w:r>
              <w:rPr>
                <w:rFonts w:ascii="Arial" w:cs="Arial" w:eastAsia="Arial" w:hAnsi="Arial"/>
                <w:sz w:val="14"/>
                <w:szCs w:val="14"/>
                <w:color w:val="auto"/>
              </w:rPr>
              <w:t>Chief Development Officer</w:t>
            </w:r>
          </w:p>
        </w:tc>
        <w:tc>
          <w:tcPr>
            <w:tcW w:w="710" w:type="dxa"/>
            <w:vAlign w:val="bottom"/>
            <w:shd w:val="clear" w:color="auto" w:fill="F4F3F3"/>
          </w:tcPr>
          <w:p>
            <w:pPr>
              <w:spacing w:after="0"/>
              <w:rPr>
                <w:sz w:val="16"/>
                <w:szCs w:val="16"/>
                <w:color w:val="auto"/>
              </w:rPr>
            </w:pPr>
          </w:p>
        </w:tc>
        <w:tc>
          <w:tcPr>
            <w:tcW w:w="1060" w:type="dxa"/>
            <w:vAlign w:val="bottom"/>
            <w:shd w:val="clear" w:color="auto" w:fill="F4F3F3"/>
          </w:tcPr>
          <w:p>
            <w:pPr>
              <w:spacing w:after="0"/>
              <w:rPr>
                <w:sz w:val="16"/>
                <w:szCs w:val="16"/>
                <w:color w:val="auto"/>
              </w:rPr>
            </w:pPr>
          </w:p>
        </w:tc>
        <w:tc>
          <w:tcPr>
            <w:tcW w:w="1060" w:type="dxa"/>
            <w:vAlign w:val="bottom"/>
            <w:shd w:val="clear" w:color="auto" w:fill="F4F3F3"/>
          </w:tcPr>
          <w:p>
            <w:pPr>
              <w:spacing w:after="0"/>
              <w:rPr>
                <w:sz w:val="16"/>
                <w:szCs w:val="16"/>
                <w:color w:val="auto"/>
              </w:rPr>
            </w:pPr>
          </w:p>
        </w:tc>
        <w:tc>
          <w:tcPr>
            <w:tcW w:w="1080" w:type="dxa"/>
            <w:vAlign w:val="bottom"/>
            <w:shd w:val="clear" w:color="auto" w:fill="F4F3F3"/>
          </w:tcPr>
          <w:p>
            <w:pPr>
              <w:spacing w:after="0"/>
              <w:rPr>
                <w:sz w:val="16"/>
                <w:szCs w:val="16"/>
                <w:color w:val="auto"/>
              </w:rPr>
            </w:pPr>
          </w:p>
        </w:tc>
        <w:tc>
          <w:tcPr>
            <w:tcW w:w="940" w:type="dxa"/>
            <w:vAlign w:val="bottom"/>
            <w:shd w:val="clear" w:color="auto" w:fill="F4F3F3"/>
          </w:tcPr>
          <w:p>
            <w:pPr>
              <w:spacing w:after="0"/>
              <w:rPr>
                <w:sz w:val="16"/>
                <w:szCs w:val="16"/>
                <w:color w:val="auto"/>
              </w:rPr>
            </w:pPr>
          </w:p>
        </w:tc>
        <w:tc>
          <w:tcPr>
            <w:tcW w:w="1120" w:type="dxa"/>
            <w:vAlign w:val="bottom"/>
            <w:shd w:val="clear" w:color="auto" w:fill="F4F3F3"/>
          </w:tcPr>
          <w:p>
            <w:pPr>
              <w:spacing w:after="0"/>
              <w:rPr>
                <w:sz w:val="16"/>
                <w:szCs w:val="16"/>
                <w:color w:val="auto"/>
              </w:rPr>
            </w:pPr>
          </w:p>
        </w:tc>
        <w:tc>
          <w:tcPr>
            <w:tcW w:w="1040" w:type="dxa"/>
            <w:vAlign w:val="bottom"/>
            <w:shd w:val="clear" w:color="auto" w:fill="F4F3F3"/>
          </w:tcPr>
          <w:p>
            <w:pPr>
              <w:spacing w:after="0"/>
              <w:rPr>
                <w:sz w:val="16"/>
                <w:szCs w:val="16"/>
                <w:color w:val="auto"/>
              </w:rPr>
            </w:pPr>
          </w:p>
        </w:tc>
        <w:tc>
          <w:tcPr>
            <w:tcW w:w="1160" w:type="dxa"/>
            <w:vAlign w:val="bottom"/>
            <w:shd w:val="clear" w:color="auto" w:fill="F4F3F3"/>
          </w:tcPr>
          <w:p>
            <w:pPr>
              <w:spacing w:after="0"/>
              <w:rPr>
                <w:sz w:val="16"/>
                <w:szCs w:val="16"/>
                <w:color w:val="auto"/>
              </w:rPr>
            </w:pPr>
          </w:p>
        </w:tc>
        <w:tc>
          <w:tcPr>
            <w:tcW w:w="1020" w:type="dxa"/>
            <w:vAlign w:val="bottom"/>
            <w:shd w:val="clear" w:color="auto" w:fill="F4F3F3"/>
          </w:tcPr>
          <w:p>
            <w:pPr>
              <w:spacing w:after="0"/>
              <w:rPr>
                <w:sz w:val="16"/>
                <w:szCs w:val="16"/>
                <w:color w:val="auto"/>
              </w:rPr>
            </w:pPr>
          </w:p>
        </w:tc>
      </w:tr>
      <w:tr>
        <w:trPr>
          <w:trHeight w:val="175"/>
        </w:trPr>
        <w:tc>
          <w:tcPr>
            <w:tcW w:w="1810" w:type="dxa"/>
            <w:vAlign w:val="bottom"/>
            <w:shd w:val="clear" w:color="auto" w:fill="F4F3F3"/>
          </w:tcPr>
          <w:p>
            <w:pPr>
              <w:ind w:left="80"/>
              <w:spacing w:after="0"/>
              <w:rPr>
                <w:sz w:val="20"/>
                <w:szCs w:val="20"/>
                <w:color w:val="auto"/>
              </w:rPr>
            </w:pPr>
            <w:r>
              <w:rPr>
                <w:rFonts w:ascii="Arial" w:cs="Arial" w:eastAsia="Arial" w:hAnsi="Arial"/>
                <w:sz w:val="14"/>
                <w:szCs w:val="14"/>
                <w:color w:val="998C87"/>
              </w:rPr>
              <w:t>Stephanie C. Linnartz</w:t>
            </w:r>
          </w:p>
        </w:tc>
        <w:tc>
          <w:tcPr>
            <w:tcW w:w="71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2017</w:t>
            </w:r>
          </w:p>
        </w:tc>
        <w:tc>
          <w:tcPr>
            <w:tcW w:w="106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800,000</w:t>
            </w:r>
          </w:p>
        </w:tc>
        <w:tc>
          <w:tcPr>
            <w:tcW w:w="106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500,000</w:t>
            </w:r>
          </w:p>
        </w:tc>
        <w:tc>
          <w:tcPr>
            <w:tcW w:w="1080" w:type="dxa"/>
            <w:vAlign w:val="bottom"/>
            <w:shd w:val="clear" w:color="auto" w:fill="F4F3F3"/>
          </w:tcPr>
          <w:p>
            <w:pPr>
              <w:jc w:val="right"/>
              <w:ind w:right="148"/>
              <w:spacing w:after="0"/>
              <w:rPr>
                <w:sz w:val="20"/>
                <w:szCs w:val="20"/>
                <w:color w:val="auto"/>
              </w:rPr>
            </w:pPr>
            <w:r>
              <w:rPr>
                <w:rFonts w:ascii="Arial" w:cs="Arial" w:eastAsia="Arial" w:hAnsi="Arial"/>
                <w:sz w:val="14"/>
                <w:szCs w:val="14"/>
                <w:color w:val="auto"/>
              </w:rPr>
              <w:t>1,916,238</w:t>
            </w:r>
          </w:p>
        </w:tc>
        <w:tc>
          <w:tcPr>
            <w:tcW w:w="940" w:type="dxa"/>
            <w:vAlign w:val="bottom"/>
            <w:shd w:val="clear" w:color="auto" w:fill="F4F3F3"/>
          </w:tcPr>
          <w:p>
            <w:pPr>
              <w:jc w:val="right"/>
              <w:ind w:right="28"/>
              <w:spacing w:after="0"/>
              <w:rPr>
                <w:sz w:val="20"/>
                <w:szCs w:val="20"/>
                <w:color w:val="auto"/>
              </w:rPr>
            </w:pPr>
            <w:r>
              <w:rPr>
                <w:rFonts w:ascii="Arial" w:cs="Arial" w:eastAsia="Arial" w:hAnsi="Arial"/>
                <w:sz w:val="14"/>
                <w:szCs w:val="14"/>
                <w:color w:val="auto"/>
              </w:rPr>
              <w:t>891,608</w:t>
            </w:r>
          </w:p>
        </w:tc>
        <w:tc>
          <w:tcPr>
            <w:tcW w:w="112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1,074,880</w:t>
            </w:r>
          </w:p>
        </w:tc>
        <w:tc>
          <w:tcPr>
            <w:tcW w:w="104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226</w:t>
            </w:r>
          </w:p>
        </w:tc>
        <w:tc>
          <w:tcPr>
            <w:tcW w:w="1160" w:type="dxa"/>
            <w:vAlign w:val="bottom"/>
            <w:shd w:val="clear" w:color="auto" w:fill="F4F3F3"/>
          </w:tcPr>
          <w:p>
            <w:pPr>
              <w:jc w:val="right"/>
              <w:ind w:right="228"/>
              <w:spacing w:after="0"/>
              <w:rPr>
                <w:sz w:val="20"/>
                <w:szCs w:val="20"/>
                <w:color w:val="auto"/>
              </w:rPr>
            </w:pPr>
            <w:r>
              <w:rPr>
                <w:rFonts w:ascii="Arial" w:cs="Arial" w:eastAsia="Arial" w:hAnsi="Arial"/>
                <w:sz w:val="14"/>
                <w:szCs w:val="14"/>
                <w:color w:val="auto"/>
              </w:rPr>
              <w:t>71,938</w:t>
            </w:r>
          </w:p>
        </w:tc>
        <w:tc>
          <w:tcPr>
            <w:tcW w:w="102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5,254,890</w:t>
            </w:r>
          </w:p>
        </w:tc>
      </w:tr>
      <w:tr>
        <w:trPr>
          <w:trHeight w:val="149"/>
        </w:trPr>
        <w:tc>
          <w:tcPr>
            <w:tcW w:w="1810" w:type="dxa"/>
            <w:vAlign w:val="bottom"/>
            <w:shd w:val="clear" w:color="auto" w:fill="F4F3F3"/>
          </w:tcPr>
          <w:p>
            <w:pPr>
              <w:ind w:left="80"/>
              <w:spacing w:after="0" w:line="149" w:lineRule="exact"/>
              <w:rPr>
                <w:sz w:val="20"/>
                <w:szCs w:val="20"/>
                <w:color w:val="auto"/>
              </w:rPr>
            </w:pPr>
            <w:r>
              <w:rPr>
                <w:rFonts w:ascii="Arial" w:cs="Arial" w:eastAsia="Arial" w:hAnsi="Arial"/>
                <w:sz w:val="14"/>
                <w:szCs w:val="14"/>
                <w:color w:val="auto"/>
              </w:rPr>
              <w:t>Executive Vice President</w:t>
            </w:r>
          </w:p>
        </w:tc>
        <w:tc>
          <w:tcPr>
            <w:tcW w:w="710" w:type="dxa"/>
            <w:vAlign w:val="bottom"/>
            <w:shd w:val="clear" w:color="auto" w:fill="F4F3F3"/>
          </w:tcPr>
          <w:p>
            <w:pPr>
              <w:jc w:val="right"/>
              <w:ind w:right="88"/>
              <w:spacing w:after="0" w:line="149" w:lineRule="exact"/>
              <w:rPr>
                <w:sz w:val="20"/>
                <w:szCs w:val="20"/>
                <w:color w:val="auto"/>
              </w:rPr>
            </w:pPr>
            <w:r>
              <w:rPr>
                <w:rFonts w:ascii="Arial" w:cs="Arial" w:eastAsia="Arial" w:hAnsi="Arial"/>
                <w:sz w:val="14"/>
                <w:szCs w:val="14"/>
                <w:color w:val="auto"/>
              </w:rPr>
              <w:t>2016</w:t>
            </w:r>
          </w:p>
        </w:tc>
        <w:tc>
          <w:tcPr>
            <w:tcW w:w="1060" w:type="dxa"/>
            <w:vAlign w:val="bottom"/>
            <w:shd w:val="clear" w:color="auto" w:fill="F4F3F3"/>
          </w:tcPr>
          <w:p>
            <w:pPr>
              <w:jc w:val="right"/>
              <w:ind w:right="108"/>
              <w:spacing w:after="0" w:line="149" w:lineRule="exact"/>
              <w:rPr>
                <w:sz w:val="20"/>
                <w:szCs w:val="20"/>
                <w:color w:val="auto"/>
              </w:rPr>
            </w:pPr>
            <w:r>
              <w:rPr>
                <w:rFonts w:ascii="Arial" w:cs="Arial" w:eastAsia="Arial" w:hAnsi="Arial"/>
                <w:sz w:val="14"/>
                <w:szCs w:val="14"/>
                <w:color w:val="auto"/>
              </w:rPr>
              <w:t>700,000</w:t>
            </w:r>
          </w:p>
        </w:tc>
        <w:tc>
          <w:tcPr>
            <w:tcW w:w="1060" w:type="dxa"/>
            <w:vAlign w:val="bottom"/>
            <w:shd w:val="clear" w:color="auto" w:fill="F4F3F3"/>
          </w:tcPr>
          <w:p>
            <w:pPr>
              <w:jc w:val="right"/>
              <w:ind w:right="108"/>
              <w:spacing w:after="0" w:line="149" w:lineRule="exact"/>
              <w:rPr>
                <w:sz w:val="20"/>
                <w:szCs w:val="20"/>
                <w:color w:val="auto"/>
              </w:rPr>
            </w:pPr>
            <w:r>
              <w:rPr>
                <w:rFonts w:ascii="Arial" w:cs="Arial" w:eastAsia="Arial" w:hAnsi="Arial"/>
                <w:sz w:val="14"/>
                <w:szCs w:val="14"/>
                <w:color w:val="auto"/>
              </w:rPr>
              <w:t>0</w:t>
            </w:r>
          </w:p>
        </w:tc>
        <w:tc>
          <w:tcPr>
            <w:tcW w:w="1080" w:type="dxa"/>
            <w:vAlign w:val="bottom"/>
            <w:shd w:val="clear" w:color="auto" w:fill="F4F3F3"/>
          </w:tcPr>
          <w:p>
            <w:pPr>
              <w:jc w:val="right"/>
              <w:ind w:right="148"/>
              <w:spacing w:after="0" w:line="149" w:lineRule="exact"/>
              <w:rPr>
                <w:sz w:val="20"/>
                <w:szCs w:val="20"/>
                <w:color w:val="auto"/>
              </w:rPr>
            </w:pPr>
            <w:r>
              <w:rPr>
                <w:rFonts w:ascii="Arial" w:cs="Arial" w:eastAsia="Arial" w:hAnsi="Arial"/>
                <w:sz w:val="14"/>
                <w:szCs w:val="14"/>
                <w:color w:val="auto"/>
              </w:rPr>
              <w:t>3,144,810</w:t>
            </w:r>
          </w:p>
        </w:tc>
        <w:tc>
          <w:tcPr>
            <w:tcW w:w="940" w:type="dxa"/>
            <w:vAlign w:val="bottom"/>
            <w:shd w:val="clear" w:color="auto" w:fill="F4F3F3"/>
          </w:tcPr>
          <w:p>
            <w:pPr>
              <w:jc w:val="right"/>
              <w:ind w:right="28"/>
              <w:spacing w:after="0" w:line="149" w:lineRule="exact"/>
              <w:rPr>
                <w:sz w:val="20"/>
                <w:szCs w:val="20"/>
                <w:color w:val="auto"/>
              </w:rPr>
            </w:pPr>
            <w:r>
              <w:rPr>
                <w:rFonts w:ascii="Arial" w:cs="Arial" w:eastAsia="Arial" w:hAnsi="Arial"/>
                <w:sz w:val="14"/>
                <w:szCs w:val="14"/>
                <w:color w:val="auto"/>
              </w:rPr>
              <w:t>666,709</w:t>
            </w:r>
          </w:p>
        </w:tc>
        <w:tc>
          <w:tcPr>
            <w:tcW w:w="1120" w:type="dxa"/>
            <w:vAlign w:val="bottom"/>
            <w:shd w:val="clear" w:color="auto" w:fill="F4F3F3"/>
          </w:tcPr>
          <w:p>
            <w:pPr>
              <w:jc w:val="right"/>
              <w:ind w:right="88"/>
              <w:spacing w:after="0" w:line="149" w:lineRule="exact"/>
              <w:rPr>
                <w:sz w:val="20"/>
                <w:szCs w:val="20"/>
                <w:color w:val="auto"/>
              </w:rPr>
            </w:pPr>
            <w:r>
              <w:rPr>
                <w:rFonts w:ascii="Arial" w:cs="Arial" w:eastAsia="Arial" w:hAnsi="Arial"/>
                <w:sz w:val="14"/>
                <w:szCs w:val="14"/>
                <w:color w:val="auto"/>
              </w:rPr>
              <w:t>650,510</w:t>
            </w:r>
          </w:p>
        </w:tc>
        <w:tc>
          <w:tcPr>
            <w:tcW w:w="1040" w:type="dxa"/>
            <w:vAlign w:val="bottom"/>
            <w:shd w:val="clear" w:color="auto" w:fill="F4F3F3"/>
          </w:tcPr>
          <w:p>
            <w:pPr>
              <w:jc w:val="right"/>
              <w:ind w:right="88"/>
              <w:spacing w:after="0" w:line="149" w:lineRule="exact"/>
              <w:rPr>
                <w:sz w:val="20"/>
                <w:szCs w:val="20"/>
                <w:color w:val="auto"/>
              </w:rPr>
            </w:pPr>
            <w:r>
              <w:rPr>
                <w:rFonts w:ascii="Arial" w:cs="Arial" w:eastAsia="Arial" w:hAnsi="Arial"/>
                <w:sz w:val="14"/>
                <w:szCs w:val="14"/>
                <w:color w:val="auto"/>
              </w:rPr>
              <w:t>0</w:t>
            </w:r>
          </w:p>
        </w:tc>
        <w:tc>
          <w:tcPr>
            <w:tcW w:w="1160" w:type="dxa"/>
            <w:vAlign w:val="bottom"/>
            <w:shd w:val="clear" w:color="auto" w:fill="F4F3F3"/>
          </w:tcPr>
          <w:p>
            <w:pPr>
              <w:jc w:val="right"/>
              <w:ind w:right="228"/>
              <w:spacing w:after="0" w:line="149" w:lineRule="exact"/>
              <w:rPr>
                <w:sz w:val="20"/>
                <w:szCs w:val="20"/>
                <w:color w:val="auto"/>
              </w:rPr>
            </w:pPr>
            <w:r>
              <w:rPr>
                <w:rFonts w:ascii="Arial" w:cs="Arial" w:eastAsia="Arial" w:hAnsi="Arial"/>
                <w:sz w:val="14"/>
                <w:szCs w:val="14"/>
                <w:color w:val="auto"/>
              </w:rPr>
              <w:t>21,716</w:t>
            </w:r>
          </w:p>
        </w:tc>
        <w:tc>
          <w:tcPr>
            <w:tcW w:w="1020" w:type="dxa"/>
            <w:vAlign w:val="bottom"/>
            <w:shd w:val="clear" w:color="auto" w:fill="F4F3F3"/>
          </w:tcPr>
          <w:p>
            <w:pPr>
              <w:jc w:val="right"/>
              <w:ind w:right="108"/>
              <w:spacing w:after="0" w:line="149" w:lineRule="exact"/>
              <w:rPr>
                <w:sz w:val="20"/>
                <w:szCs w:val="20"/>
                <w:color w:val="auto"/>
              </w:rPr>
            </w:pPr>
            <w:r>
              <w:rPr>
                <w:rFonts w:ascii="Arial" w:cs="Arial" w:eastAsia="Arial" w:hAnsi="Arial"/>
                <w:sz w:val="14"/>
                <w:szCs w:val="14"/>
                <w:color w:val="auto"/>
              </w:rPr>
              <w:t>5,183,745</w:t>
            </w:r>
          </w:p>
        </w:tc>
      </w:tr>
      <w:tr>
        <w:trPr>
          <w:trHeight w:val="162"/>
        </w:trPr>
        <w:tc>
          <w:tcPr>
            <w:tcW w:w="1810" w:type="dxa"/>
            <w:vAlign w:val="bottom"/>
            <w:shd w:val="clear" w:color="auto" w:fill="F4F3F3"/>
          </w:tcPr>
          <w:p>
            <w:pPr>
              <w:ind w:left="80"/>
              <w:spacing w:after="0"/>
              <w:rPr>
                <w:sz w:val="20"/>
                <w:szCs w:val="20"/>
                <w:color w:val="auto"/>
              </w:rPr>
            </w:pPr>
            <w:r>
              <w:rPr>
                <w:rFonts w:ascii="Arial" w:cs="Arial" w:eastAsia="Arial" w:hAnsi="Arial"/>
                <w:sz w:val="14"/>
                <w:szCs w:val="14"/>
                <w:color w:val="auto"/>
              </w:rPr>
              <w:t>and Global Chief</w:t>
            </w:r>
          </w:p>
        </w:tc>
        <w:tc>
          <w:tcPr>
            <w:tcW w:w="710" w:type="dxa"/>
            <w:vAlign w:val="bottom"/>
            <w:shd w:val="clear" w:color="auto" w:fill="F4F3F3"/>
          </w:tcPr>
          <w:p>
            <w:pPr>
              <w:spacing w:after="0"/>
              <w:rPr>
                <w:sz w:val="14"/>
                <w:szCs w:val="14"/>
                <w:color w:val="auto"/>
              </w:rPr>
            </w:pPr>
          </w:p>
        </w:tc>
        <w:tc>
          <w:tcPr>
            <w:tcW w:w="1060" w:type="dxa"/>
            <w:vAlign w:val="bottom"/>
            <w:shd w:val="clear" w:color="auto" w:fill="F4F3F3"/>
          </w:tcPr>
          <w:p>
            <w:pPr>
              <w:spacing w:after="0"/>
              <w:rPr>
                <w:sz w:val="14"/>
                <w:szCs w:val="14"/>
                <w:color w:val="auto"/>
              </w:rPr>
            </w:pPr>
          </w:p>
        </w:tc>
        <w:tc>
          <w:tcPr>
            <w:tcW w:w="1060" w:type="dxa"/>
            <w:vAlign w:val="bottom"/>
            <w:shd w:val="clear" w:color="auto" w:fill="F4F3F3"/>
          </w:tcPr>
          <w:p>
            <w:pPr>
              <w:spacing w:after="0"/>
              <w:rPr>
                <w:sz w:val="14"/>
                <w:szCs w:val="14"/>
                <w:color w:val="auto"/>
              </w:rPr>
            </w:pPr>
          </w:p>
        </w:tc>
        <w:tc>
          <w:tcPr>
            <w:tcW w:w="1080" w:type="dxa"/>
            <w:vAlign w:val="bottom"/>
            <w:shd w:val="clear" w:color="auto" w:fill="F4F3F3"/>
          </w:tcPr>
          <w:p>
            <w:pPr>
              <w:spacing w:after="0"/>
              <w:rPr>
                <w:sz w:val="14"/>
                <w:szCs w:val="14"/>
                <w:color w:val="auto"/>
              </w:rPr>
            </w:pPr>
          </w:p>
        </w:tc>
        <w:tc>
          <w:tcPr>
            <w:tcW w:w="940" w:type="dxa"/>
            <w:vAlign w:val="bottom"/>
            <w:shd w:val="clear" w:color="auto" w:fill="F4F3F3"/>
          </w:tcPr>
          <w:p>
            <w:pPr>
              <w:spacing w:after="0"/>
              <w:rPr>
                <w:sz w:val="14"/>
                <w:szCs w:val="14"/>
                <w:color w:val="auto"/>
              </w:rPr>
            </w:pPr>
          </w:p>
        </w:tc>
        <w:tc>
          <w:tcPr>
            <w:tcW w:w="1120" w:type="dxa"/>
            <w:vAlign w:val="bottom"/>
            <w:shd w:val="clear" w:color="auto" w:fill="F4F3F3"/>
          </w:tcPr>
          <w:p>
            <w:pPr>
              <w:spacing w:after="0"/>
              <w:rPr>
                <w:sz w:val="14"/>
                <w:szCs w:val="14"/>
                <w:color w:val="auto"/>
              </w:rPr>
            </w:pPr>
          </w:p>
        </w:tc>
        <w:tc>
          <w:tcPr>
            <w:tcW w:w="1040" w:type="dxa"/>
            <w:vAlign w:val="bottom"/>
            <w:shd w:val="clear" w:color="auto" w:fill="F4F3F3"/>
          </w:tcPr>
          <w:p>
            <w:pPr>
              <w:spacing w:after="0"/>
              <w:rPr>
                <w:sz w:val="14"/>
                <w:szCs w:val="14"/>
                <w:color w:val="auto"/>
              </w:rPr>
            </w:pPr>
          </w:p>
        </w:tc>
        <w:tc>
          <w:tcPr>
            <w:tcW w:w="1160" w:type="dxa"/>
            <w:vAlign w:val="bottom"/>
            <w:shd w:val="clear" w:color="auto" w:fill="F4F3F3"/>
          </w:tcPr>
          <w:p>
            <w:pPr>
              <w:spacing w:after="0"/>
              <w:rPr>
                <w:sz w:val="14"/>
                <w:szCs w:val="14"/>
                <w:color w:val="auto"/>
              </w:rPr>
            </w:pPr>
          </w:p>
        </w:tc>
        <w:tc>
          <w:tcPr>
            <w:tcW w:w="1020" w:type="dxa"/>
            <w:vAlign w:val="bottom"/>
            <w:shd w:val="clear" w:color="auto" w:fill="F4F3F3"/>
          </w:tcPr>
          <w:p>
            <w:pPr>
              <w:spacing w:after="0"/>
              <w:rPr>
                <w:sz w:val="14"/>
                <w:szCs w:val="14"/>
                <w:color w:val="auto"/>
              </w:rPr>
            </w:pPr>
          </w:p>
        </w:tc>
      </w:tr>
      <w:tr>
        <w:trPr>
          <w:trHeight w:val="189"/>
        </w:trPr>
        <w:tc>
          <w:tcPr>
            <w:tcW w:w="1810" w:type="dxa"/>
            <w:vAlign w:val="bottom"/>
            <w:shd w:val="clear" w:color="auto" w:fill="F4F3F3"/>
          </w:tcPr>
          <w:p>
            <w:pPr>
              <w:ind w:left="80"/>
              <w:spacing w:after="0"/>
              <w:rPr>
                <w:sz w:val="20"/>
                <w:szCs w:val="20"/>
                <w:color w:val="auto"/>
              </w:rPr>
            </w:pPr>
            <w:r>
              <w:rPr>
                <w:rFonts w:ascii="Arial" w:cs="Arial" w:eastAsia="Arial" w:hAnsi="Arial"/>
                <w:sz w:val="14"/>
                <w:szCs w:val="14"/>
                <w:color w:val="auto"/>
              </w:rPr>
              <w:t>Commercial Officer</w:t>
            </w:r>
          </w:p>
        </w:tc>
        <w:tc>
          <w:tcPr>
            <w:tcW w:w="710" w:type="dxa"/>
            <w:vAlign w:val="bottom"/>
            <w:shd w:val="clear" w:color="auto" w:fill="F4F3F3"/>
          </w:tcPr>
          <w:p>
            <w:pPr>
              <w:spacing w:after="0"/>
              <w:rPr>
                <w:sz w:val="16"/>
                <w:szCs w:val="16"/>
                <w:color w:val="auto"/>
              </w:rPr>
            </w:pPr>
          </w:p>
        </w:tc>
        <w:tc>
          <w:tcPr>
            <w:tcW w:w="1060" w:type="dxa"/>
            <w:vAlign w:val="bottom"/>
            <w:shd w:val="clear" w:color="auto" w:fill="F4F3F3"/>
          </w:tcPr>
          <w:p>
            <w:pPr>
              <w:spacing w:after="0"/>
              <w:rPr>
                <w:sz w:val="16"/>
                <w:szCs w:val="16"/>
                <w:color w:val="auto"/>
              </w:rPr>
            </w:pPr>
          </w:p>
        </w:tc>
        <w:tc>
          <w:tcPr>
            <w:tcW w:w="1060" w:type="dxa"/>
            <w:vAlign w:val="bottom"/>
            <w:shd w:val="clear" w:color="auto" w:fill="F4F3F3"/>
          </w:tcPr>
          <w:p>
            <w:pPr>
              <w:spacing w:after="0"/>
              <w:rPr>
                <w:sz w:val="16"/>
                <w:szCs w:val="16"/>
                <w:color w:val="auto"/>
              </w:rPr>
            </w:pPr>
          </w:p>
        </w:tc>
        <w:tc>
          <w:tcPr>
            <w:tcW w:w="1080" w:type="dxa"/>
            <w:vAlign w:val="bottom"/>
            <w:shd w:val="clear" w:color="auto" w:fill="F4F3F3"/>
          </w:tcPr>
          <w:p>
            <w:pPr>
              <w:spacing w:after="0"/>
              <w:rPr>
                <w:sz w:val="16"/>
                <w:szCs w:val="16"/>
                <w:color w:val="auto"/>
              </w:rPr>
            </w:pPr>
          </w:p>
        </w:tc>
        <w:tc>
          <w:tcPr>
            <w:tcW w:w="940" w:type="dxa"/>
            <w:vAlign w:val="bottom"/>
            <w:shd w:val="clear" w:color="auto" w:fill="F4F3F3"/>
          </w:tcPr>
          <w:p>
            <w:pPr>
              <w:spacing w:after="0"/>
              <w:rPr>
                <w:sz w:val="16"/>
                <w:szCs w:val="16"/>
                <w:color w:val="auto"/>
              </w:rPr>
            </w:pPr>
          </w:p>
        </w:tc>
        <w:tc>
          <w:tcPr>
            <w:tcW w:w="1120" w:type="dxa"/>
            <w:vAlign w:val="bottom"/>
            <w:shd w:val="clear" w:color="auto" w:fill="F4F3F3"/>
          </w:tcPr>
          <w:p>
            <w:pPr>
              <w:spacing w:after="0"/>
              <w:rPr>
                <w:sz w:val="16"/>
                <w:szCs w:val="16"/>
                <w:color w:val="auto"/>
              </w:rPr>
            </w:pPr>
          </w:p>
        </w:tc>
        <w:tc>
          <w:tcPr>
            <w:tcW w:w="1040" w:type="dxa"/>
            <w:vAlign w:val="bottom"/>
            <w:shd w:val="clear" w:color="auto" w:fill="F4F3F3"/>
          </w:tcPr>
          <w:p>
            <w:pPr>
              <w:spacing w:after="0"/>
              <w:rPr>
                <w:sz w:val="16"/>
                <w:szCs w:val="16"/>
                <w:color w:val="auto"/>
              </w:rPr>
            </w:pPr>
          </w:p>
        </w:tc>
        <w:tc>
          <w:tcPr>
            <w:tcW w:w="1160" w:type="dxa"/>
            <w:vAlign w:val="bottom"/>
            <w:shd w:val="clear" w:color="auto" w:fill="F4F3F3"/>
          </w:tcPr>
          <w:p>
            <w:pPr>
              <w:spacing w:after="0"/>
              <w:rPr>
                <w:sz w:val="16"/>
                <w:szCs w:val="16"/>
                <w:color w:val="auto"/>
              </w:rPr>
            </w:pPr>
          </w:p>
        </w:tc>
        <w:tc>
          <w:tcPr>
            <w:tcW w:w="1020" w:type="dxa"/>
            <w:vAlign w:val="bottom"/>
            <w:shd w:val="clear" w:color="auto" w:fill="F4F3F3"/>
          </w:tcPr>
          <w:p>
            <w:pPr>
              <w:spacing w:after="0"/>
              <w:rPr>
                <w:sz w:val="16"/>
                <w:szCs w:val="16"/>
                <w:color w:val="auto"/>
              </w:rPr>
            </w:pPr>
          </w:p>
        </w:tc>
      </w:tr>
      <w:tr>
        <w:trPr>
          <w:trHeight w:val="175"/>
        </w:trPr>
        <w:tc>
          <w:tcPr>
            <w:tcW w:w="1810" w:type="dxa"/>
            <w:vAlign w:val="bottom"/>
            <w:shd w:val="clear" w:color="auto" w:fill="F4F3F3"/>
          </w:tcPr>
          <w:p>
            <w:pPr>
              <w:ind w:left="80"/>
              <w:spacing w:after="0"/>
              <w:rPr>
                <w:sz w:val="20"/>
                <w:szCs w:val="20"/>
                <w:color w:val="auto"/>
              </w:rPr>
            </w:pPr>
            <w:r>
              <w:rPr>
                <w:rFonts w:ascii="Arial" w:cs="Arial" w:eastAsia="Arial" w:hAnsi="Arial"/>
                <w:sz w:val="14"/>
                <w:szCs w:val="14"/>
                <w:color w:val="998C87"/>
              </w:rPr>
              <w:t>David J. Grissen</w:t>
            </w:r>
          </w:p>
        </w:tc>
        <w:tc>
          <w:tcPr>
            <w:tcW w:w="71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2017</w:t>
            </w:r>
          </w:p>
        </w:tc>
        <w:tc>
          <w:tcPr>
            <w:tcW w:w="106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800,000</w:t>
            </w:r>
          </w:p>
        </w:tc>
        <w:tc>
          <w:tcPr>
            <w:tcW w:w="106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500,000</w:t>
            </w:r>
          </w:p>
        </w:tc>
        <w:tc>
          <w:tcPr>
            <w:tcW w:w="1080" w:type="dxa"/>
            <w:vAlign w:val="bottom"/>
            <w:shd w:val="clear" w:color="auto" w:fill="F4F3F3"/>
          </w:tcPr>
          <w:p>
            <w:pPr>
              <w:jc w:val="right"/>
              <w:ind w:right="148"/>
              <w:spacing w:after="0"/>
              <w:rPr>
                <w:sz w:val="20"/>
                <w:szCs w:val="20"/>
                <w:color w:val="auto"/>
              </w:rPr>
            </w:pPr>
            <w:r>
              <w:rPr>
                <w:rFonts w:ascii="Arial" w:cs="Arial" w:eastAsia="Arial" w:hAnsi="Arial"/>
                <w:sz w:val="14"/>
                <w:szCs w:val="14"/>
                <w:color w:val="auto"/>
              </w:rPr>
              <w:t>1,878,664</w:t>
            </w:r>
          </w:p>
        </w:tc>
        <w:tc>
          <w:tcPr>
            <w:tcW w:w="940" w:type="dxa"/>
            <w:vAlign w:val="bottom"/>
            <w:shd w:val="clear" w:color="auto" w:fill="F4F3F3"/>
          </w:tcPr>
          <w:p>
            <w:pPr>
              <w:jc w:val="right"/>
              <w:ind w:right="28"/>
              <w:spacing w:after="0"/>
              <w:rPr>
                <w:sz w:val="20"/>
                <w:szCs w:val="20"/>
                <w:color w:val="auto"/>
              </w:rPr>
            </w:pPr>
            <w:r>
              <w:rPr>
                <w:rFonts w:ascii="Arial" w:cs="Arial" w:eastAsia="Arial" w:hAnsi="Arial"/>
                <w:sz w:val="14"/>
                <w:szCs w:val="14"/>
                <w:color w:val="auto"/>
              </w:rPr>
              <w:t>838,610</w:t>
            </w:r>
          </w:p>
        </w:tc>
        <w:tc>
          <w:tcPr>
            <w:tcW w:w="112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1,029,280</w:t>
            </w:r>
          </w:p>
        </w:tc>
        <w:tc>
          <w:tcPr>
            <w:tcW w:w="104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49,398</w:t>
            </w:r>
          </w:p>
        </w:tc>
        <w:tc>
          <w:tcPr>
            <w:tcW w:w="1160" w:type="dxa"/>
            <w:vAlign w:val="bottom"/>
            <w:shd w:val="clear" w:color="auto" w:fill="F4F3F3"/>
          </w:tcPr>
          <w:p>
            <w:pPr>
              <w:jc w:val="right"/>
              <w:ind w:right="228"/>
              <w:spacing w:after="0"/>
              <w:rPr>
                <w:sz w:val="20"/>
                <w:szCs w:val="20"/>
                <w:color w:val="auto"/>
              </w:rPr>
            </w:pPr>
            <w:r>
              <w:rPr>
                <w:rFonts w:ascii="Arial" w:cs="Arial" w:eastAsia="Arial" w:hAnsi="Arial"/>
                <w:sz w:val="14"/>
                <w:szCs w:val="14"/>
                <w:color w:val="auto"/>
              </w:rPr>
              <w:t>68,641</w:t>
            </w:r>
          </w:p>
        </w:tc>
        <w:tc>
          <w:tcPr>
            <w:tcW w:w="102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5,164,593</w:t>
            </w:r>
          </w:p>
        </w:tc>
      </w:tr>
      <w:tr>
        <w:trPr>
          <w:trHeight w:val="162"/>
        </w:trPr>
        <w:tc>
          <w:tcPr>
            <w:tcW w:w="1810" w:type="dxa"/>
            <w:vAlign w:val="bottom"/>
            <w:shd w:val="clear" w:color="auto" w:fill="F4F3F3"/>
          </w:tcPr>
          <w:p>
            <w:pPr>
              <w:ind w:left="80"/>
              <w:spacing w:after="0"/>
              <w:rPr>
                <w:sz w:val="20"/>
                <w:szCs w:val="20"/>
                <w:color w:val="auto"/>
              </w:rPr>
            </w:pPr>
            <w:r>
              <w:rPr>
                <w:rFonts w:ascii="Arial" w:cs="Arial" w:eastAsia="Arial" w:hAnsi="Arial"/>
                <w:sz w:val="14"/>
                <w:szCs w:val="14"/>
                <w:color w:val="auto"/>
              </w:rPr>
              <w:t>Group President</w:t>
            </w:r>
          </w:p>
        </w:tc>
        <w:tc>
          <w:tcPr>
            <w:tcW w:w="71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2016</w:t>
            </w:r>
          </w:p>
        </w:tc>
        <w:tc>
          <w:tcPr>
            <w:tcW w:w="106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750,000</w:t>
            </w:r>
          </w:p>
        </w:tc>
        <w:tc>
          <w:tcPr>
            <w:tcW w:w="106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0</w:t>
            </w:r>
          </w:p>
        </w:tc>
        <w:tc>
          <w:tcPr>
            <w:tcW w:w="1080" w:type="dxa"/>
            <w:vAlign w:val="bottom"/>
            <w:shd w:val="clear" w:color="auto" w:fill="F4F3F3"/>
          </w:tcPr>
          <w:p>
            <w:pPr>
              <w:jc w:val="right"/>
              <w:ind w:right="148"/>
              <w:spacing w:after="0"/>
              <w:rPr>
                <w:sz w:val="20"/>
                <w:szCs w:val="20"/>
                <w:color w:val="auto"/>
              </w:rPr>
            </w:pPr>
            <w:r>
              <w:rPr>
                <w:rFonts w:ascii="Arial" w:cs="Arial" w:eastAsia="Arial" w:hAnsi="Arial"/>
                <w:sz w:val="14"/>
                <w:szCs w:val="14"/>
                <w:color w:val="auto"/>
              </w:rPr>
              <w:t>3,404,381</w:t>
            </w:r>
          </w:p>
        </w:tc>
        <w:tc>
          <w:tcPr>
            <w:tcW w:w="940" w:type="dxa"/>
            <w:vAlign w:val="bottom"/>
            <w:shd w:val="clear" w:color="auto" w:fill="F4F3F3"/>
          </w:tcPr>
          <w:p>
            <w:pPr>
              <w:jc w:val="right"/>
              <w:ind w:right="28"/>
              <w:spacing w:after="0"/>
              <w:rPr>
                <w:sz w:val="20"/>
                <w:szCs w:val="20"/>
                <w:color w:val="auto"/>
              </w:rPr>
            </w:pPr>
            <w:r>
              <w:rPr>
                <w:rFonts w:ascii="Arial" w:cs="Arial" w:eastAsia="Arial" w:hAnsi="Arial"/>
                <w:sz w:val="14"/>
                <w:szCs w:val="14"/>
                <w:color w:val="auto"/>
              </w:rPr>
              <w:t>833,337</w:t>
            </w:r>
          </w:p>
        </w:tc>
        <w:tc>
          <w:tcPr>
            <w:tcW w:w="112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814,425</w:t>
            </w:r>
          </w:p>
        </w:tc>
        <w:tc>
          <w:tcPr>
            <w:tcW w:w="104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97,037</w:t>
            </w:r>
          </w:p>
        </w:tc>
        <w:tc>
          <w:tcPr>
            <w:tcW w:w="1160" w:type="dxa"/>
            <w:vAlign w:val="bottom"/>
            <w:shd w:val="clear" w:color="auto" w:fill="F4F3F3"/>
          </w:tcPr>
          <w:p>
            <w:pPr>
              <w:jc w:val="right"/>
              <w:ind w:right="228"/>
              <w:spacing w:after="0"/>
              <w:rPr>
                <w:sz w:val="20"/>
                <w:szCs w:val="20"/>
                <w:color w:val="auto"/>
              </w:rPr>
            </w:pPr>
            <w:r>
              <w:rPr>
                <w:rFonts w:ascii="Arial" w:cs="Arial" w:eastAsia="Arial" w:hAnsi="Arial"/>
                <w:sz w:val="14"/>
                <w:szCs w:val="14"/>
                <w:color w:val="auto"/>
              </w:rPr>
              <w:t>69,768</w:t>
            </w:r>
          </w:p>
        </w:tc>
        <w:tc>
          <w:tcPr>
            <w:tcW w:w="102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5,968,948</w:t>
            </w:r>
          </w:p>
        </w:tc>
      </w:tr>
      <w:tr>
        <w:trPr>
          <w:trHeight w:val="175"/>
        </w:trPr>
        <w:tc>
          <w:tcPr>
            <w:tcW w:w="1810" w:type="dxa"/>
            <w:vAlign w:val="bottom"/>
            <w:shd w:val="clear" w:color="auto" w:fill="F4F3F3"/>
          </w:tcPr>
          <w:p>
            <w:pPr>
              <w:spacing w:after="0"/>
              <w:rPr>
                <w:sz w:val="15"/>
                <w:szCs w:val="15"/>
                <w:color w:val="auto"/>
              </w:rPr>
            </w:pPr>
          </w:p>
        </w:tc>
        <w:tc>
          <w:tcPr>
            <w:tcW w:w="71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2015</w:t>
            </w:r>
          </w:p>
        </w:tc>
        <w:tc>
          <w:tcPr>
            <w:tcW w:w="106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725,000</w:t>
            </w:r>
          </w:p>
        </w:tc>
        <w:tc>
          <w:tcPr>
            <w:tcW w:w="106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0</w:t>
            </w:r>
          </w:p>
        </w:tc>
        <w:tc>
          <w:tcPr>
            <w:tcW w:w="1080" w:type="dxa"/>
            <w:vAlign w:val="bottom"/>
            <w:shd w:val="clear" w:color="auto" w:fill="F4F3F3"/>
          </w:tcPr>
          <w:p>
            <w:pPr>
              <w:jc w:val="right"/>
              <w:ind w:right="148"/>
              <w:spacing w:after="0"/>
              <w:rPr>
                <w:sz w:val="20"/>
                <w:szCs w:val="20"/>
                <w:color w:val="auto"/>
              </w:rPr>
            </w:pPr>
            <w:r>
              <w:rPr>
                <w:rFonts w:ascii="Arial" w:cs="Arial" w:eastAsia="Arial" w:hAnsi="Arial"/>
                <w:sz w:val="14"/>
                <w:szCs w:val="14"/>
                <w:color w:val="auto"/>
              </w:rPr>
              <w:t>1,500,304</w:t>
            </w:r>
          </w:p>
        </w:tc>
        <w:tc>
          <w:tcPr>
            <w:tcW w:w="940" w:type="dxa"/>
            <w:vAlign w:val="bottom"/>
            <w:shd w:val="clear" w:color="auto" w:fill="F4F3F3"/>
          </w:tcPr>
          <w:p>
            <w:pPr>
              <w:jc w:val="right"/>
              <w:ind w:right="28"/>
              <w:spacing w:after="0"/>
              <w:rPr>
                <w:sz w:val="20"/>
                <w:szCs w:val="20"/>
                <w:color w:val="auto"/>
              </w:rPr>
            </w:pPr>
            <w:r>
              <w:rPr>
                <w:rFonts w:ascii="Arial" w:cs="Arial" w:eastAsia="Arial" w:hAnsi="Arial"/>
                <w:sz w:val="14"/>
                <w:szCs w:val="14"/>
                <w:color w:val="auto"/>
              </w:rPr>
              <w:t>783,395</w:t>
            </w:r>
          </w:p>
        </w:tc>
        <w:tc>
          <w:tcPr>
            <w:tcW w:w="112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898,566</w:t>
            </w:r>
          </w:p>
        </w:tc>
        <w:tc>
          <w:tcPr>
            <w:tcW w:w="104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86,410</w:t>
            </w:r>
          </w:p>
        </w:tc>
        <w:tc>
          <w:tcPr>
            <w:tcW w:w="1160" w:type="dxa"/>
            <w:vAlign w:val="bottom"/>
            <w:shd w:val="clear" w:color="auto" w:fill="F4F3F3"/>
          </w:tcPr>
          <w:p>
            <w:pPr>
              <w:jc w:val="right"/>
              <w:ind w:right="228"/>
              <w:spacing w:after="0"/>
              <w:rPr>
                <w:sz w:val="20"/>
                <w:szCs w:val="20"/>
                <w:color w:val="auto"/>
              </w:rPr>
            </w:pPr>
            <w:r>
              <w:rPr>
                <w:rFonts w:ascii="Arial" w:cs="Arial" w:eastAsia="Arial" w:hAnsi="Arial"/>
                <w:sz w:val="14"/>
                <w:szCs w:val="14"/>
                <w:color w:val="auto"/>
              </w:rPr>
              <w:t>65,241</w:t>
            </w:r>
          </w:p>
        </w:tc>
        <w:tc>
          <w:tcPr>
            <w:tcW w:w="102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4,058,916</w:t>
            </w:r>
          </w:p>
        </w:tc>
      </w:tr>
      <w:tr>
        <w:trPr>
          <w:trHeight w:val="175"/>
        </w:trPr>
        <w:tc>
          <w:tcPr>
            <w:tcW w:w="1810" w:type="dxa"/>
            <w:vAlign w:val="bottom"/>
            <w:shd w:val="clear" w:color="auto" w:fill="F4F3F3"/>
          </w:tcPr>
          <w:p>
            <w:pPr>
              <w:ind w:left="80"/>
              <w:spacing w:after="0"/>
              <w:rPr>
                <w:sz w:val="20"/>
                <w:szCs w:val="20"/>
                <w:color w:val="auto"/>
              </w:rPr>
            </w:pPr>
            <w:r>
              <w:rPr>
                <w:rFonts w:ascii="Arial" w:cs="Arial" w:eastAsia="Arial" w:hAnsi="Arial"/>
                <w:sz w:val="14"/>
                <w:szCs w:val="14"/>
                <w:color w:val="998C87"/>
              </w:rPr>
              <w:t>Kathleen K. Oberg</w:t>
            </w:r>
          </w:p>
        </w:tc>
        <w:tc>
          <w:tcPr>
            <w:tcW w:w="71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2017</w:t>
            </w:r>
          </w:p>
        </w:tc>
        <w:tc>
          <w:tcPr>
            <w:tcW w:w="106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750,000</w:t>
            </w:r>
          </w:p>
        </w:tc>
        <w:tc>
          <w:tcPr>
            <w:tcW w:w="106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500,000</w:t>
            </w:r>
          </w:p>
        </w:tc>
        <w:tc>
          <w:tcPr>
            <w:tcW w:w="1080" w:type="dxa"/>
            <w:vAlign w:val="bottom"/>
            <w:shd w:val="clear" w:color="auto" w:fill="F4F3F3"/>
          </w:tcPr>
          <w:p>
            <w:pPr>
              <w:jc w:val="right"/>
              <w:ind w:right="148"/>
              <w:spacing w:after="0"/>
              <w:rPr>
                <w:sz w:val="20"/>
                <w:szCs w:val="20"/>
                <w:color w:val="auto"/>
              </w:rPr>
            </w:pPr>
            <w:r>
              <w:rPr>
                <w:rFonts w:ascii="Arial" w:cs="Arial" w:eastAsia="Arial" w:hAnsi="Arial"/>
                <w:sz w:val="14"/>
                <w:szCs w:val="14"/>
                <w:color w:val="auto"/>
              </w:rPr>
              <w:t>1,713,792</w:t>
            </w:r>
          </w:p>
        </w:tc>
        <w:tc>
          <w:tcPr>
            <w:tcW w:w="940" w:type="dxa"/>
            <w:vAlign w:val="bottom"/>
            <w:shd w:val="clear" w:color="auto" w:fill="F4F3F3"/>
          </w:tcPr>
          <w:p>
            <w:pPr>
              <w:jc w:val="right"/>
              <w:ind w:right="28"/>
              <w:spacing w:after="0"/>
              <w:rPr>
                <w:sz w:val="20"/>
                <w:szCs w:val="20"/>
                <w:color w:val="auto"/>
              </w:rPr>
            </w:pPr>
            <w:r>
              <w:rPr>
                <w:rFonts w:ascii="Arial" w:cs="Arial" w:eastAsia="Arial" w:hAnsi="Arial"/>
                <w:sz w:val="14"/>
                <w:szCs w:val="14"/>
                <w:color w:val="auto"/>
              </w:rPr>
              <w:t>765,020</w:t>
            </w:r>
          </w:p>
        </w:tc>
        <w:tc>
          <w:tcPr>
            <w:tcW w:w="112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1,046,850</w:t>
            </w:r>
          </w:p>
        </w:tc>
        <w:tc>
          <w:tcPr>
            <w:tcW w:w="1040" w:type="dxa"/>
            <w:vAlign w:val="bottom"/>
            <w:shd w:val="clear" w:color="auto" w:fill="F4F3F3"/>
          </w:tcPr>
          <w:p>
            <w:pPr>
              <w:jc w:val="right"/>
              <w:ind w:right="88"/>
              <w:spacing w:after="0"/>
              <w:rPr>
                <w:sz w:val="20"/>
                <w:szCs w:val="20"/>
                <w:color w:val="auto"/>
              </w:rPr>
            </w:pPr>
            <w:r>
              <w:rPr>
                <w:rFonts w:ascii="Arial" w:cs="Arial" w:eastAsia="Arial" w:hAnsi="Arial"/>
                <w:sz w:val="14"/>
                <w:szCs w:val="14"/>
                <w:color w:val="auto"/>
              </w:rPr>
              <w:t>7,141</w:t>
            </w:r>
          </w:p>
        </w:tc>
        <w:tc>
          <w:tcPr>
            <w:tcW w:w="1160" w:type="dxa"/>
            <w:vAlign w:val="bottom"/>
            <w:shd w:val="clear" w:color="auto" w:fill="F4F3F3"/>
          </w:tcPr>
          <w:p>
            <w:pPr>
              <w:jc w:val="right"/>
              <w:ind w:right="228"/>
              <w:spacing w:after="0"/>
              <w:rPr>
                <w:sz w:val="20"/>
                <w:szCs w:val="20"/>
                <w:color w:val="auto"/>
              </w:rPr>
            </w:pPr>
            <w:r>
              <w:rPr>
                <w:rFonts w:ascii="Arial" w:cs="Arial" w:eastAsia="Arial" w:hAnsi="Arial"/>
                <w:sz w:val="14"/>
                <w:szCs w:val="14"/>
                <w:color w:val="auto"/>
              </w:rPr>
              <w:t>77,167</w:t>
            </w:r>
          </w:p>
        </w:tc>
        <w:tc>
          <w:tcPr>
            <w:tcW w:w="1020" w:type="dxa"/>
            <w:vAlign w:val="bottom"/>
            <w:shd w:val="clear" w:color="auto" w:fill="F4F3F3"/>
          </w:tcPr>
          <w:p>
            <w:pPr>
              <w:jc w:val="right"/>
              <w:ind w:right="108"/>
              <w:spacing w:after="0"/>
              <w:rPr>
                <w:sz w:val="20"/>
                <w:szCs w:val="20"/>
                <w:color w:val="auto"/>
              </w:rPr>
            </w:pPr>
            <w:r>
              <w:rPr>
                <w:rFonts w:ascii="Arial" w:cs="Arial" w:eastAsia="Arial" w:hAnsi="Arial"/>
                <w:sz w:val="14"/>
                <w:szCs w:val="14"/>
                <w:color w:val="auto"/>
              </w:rPr>
              <w:t>4,859,970</w:t>
            </w:r>
          </w:p>
        </w:tc>
      </w:tr>
      <w:tr>
        <w:trPr>
          <w:trHeight w:val="149"/>
        </w:trPr>
        <w:tc>
          <w:tcPr>
            <w:tcW w:w="1810" w:type="dxa"/>
            <w:vAlign w:val="bottom"/>
            <w:shd w:val="clear" w:color="auto" w:fill="F4F3F3"/>
          </w:tcPr>
          <w:p>
            <w:pPr>
              <w:ind w:left="80"/>
              <w:spacing w:after="0" w:line="149" w:lineRule="exact"/>
              <w:rPr>
                <w:sz w:val="20"/>
                <w:szCs w:val="20"/>
                <w:color w:val="auto"/>
              </w:rPr>
            </w:pPr>
            <w:r>
              <w:rPr>
                <w:rFonts w:ascii="Arial" w:cs="Arial" w:eastAsia="Arial" w:hAnsi="Arial"/>
                <w:sz w:val="14"/>
                <w:szCs w:val="14"/>
                <w:color w:val="auto"/>
              </w:rPr>
              <w:t>Executive Vice President</w:t>
            </w:r>
          </w:p>
        </w:tc>
        <w:tc>
          <w:tcPr>
            <w:tcW w:w="710" w:type="dxa"/>
            <w:vAlign w:val="bottom"/>
            <w:shd w:val="clear" w:color="auto" w:fill="F4F3F3"/>
          </w:tcPr>
          <w:p>
            <w:pPr>
              <w:jc w:val="right"/>
              <w:ind w:right="88"/>
              <w:spacing w:after="0" w:line="149" w:lineRule="exact"/>
              <w:rPr>
                <w:sz w:val="20"/>
                <w:szCs w:val="20"/>
                <w:color w:val="auto"/>
              </w:rPr>
            </w:pPr>
            <w:r>
              <w:rPr>
                <w:rFonts w:ascii="Arial" w:cs="Arial" w:eastAsia="Arial" w:hAnsi="Arial"/>
                <w:sz w:val="14"/>
                <w:szCs w:val="14"/>
                <w:color w:val="auto"/>
              </w:rPr>
              <w:t>2016</w:t>
            </w:r>
          </w:p>
        </w:tc>
        <w:tc>
          <w:tcPr>
            <w:tcW w:w="1060" w:type="dxa"/>
            <w:vAlign w:val="bottom"/>
            <w:shd w:val="clear" w:color="auto" w:fill="F4F3F3"/>
          </w:tcPr>
          <w:p>
            <w:pPr>
              <w:jc w:val="right"/>
              <w:ind w:right="108"/>
              <w:spacing w:after="0" w:line="149" w:lineRule="exact"/>
              <w:rPr>
                <w:sz w:val="20"/>
                <w:szCs w:val="20"/>
                <w:color w:val="auto"/>
              </w:rPr>
            </w:pPr>
            <w:r>
              <w:rPr>
                <w:rFonts w:ascii="Arial" w:cs="Arial" w:eastAsia="Arial" w:hAnsi="Arial"/>
                <w:sz w:val="14"/>
                <w:szCs w:val="14"/>
                <w:color w:val="auto"/>
              </w:rPr>
              <w:t>650,000</w:t>
            </w:r>
          </w:p>
        </w:tc>
        <w:tc>
          <w:tcPr>
            <w:tcW w:w="1060" w:type="dxa"/>
            <w:vAlign w:val="bottom"/>
            <w:shd w:val="clear" w:color="auto" w:fill="F4F3F3"/>
          </w:tcPr>
          <w:p>
            <w:pPr>
              <w:jc w:val="right"/>
              <w:ind w:right="108"/>
              <w:spacing w:after="0" w:line="149" w:lineRule="exact"/>
              <w:rPr>
                <w:sz w:val="20"/>
                <w:szCs w:val="20"/>
                <w:color w:val="auto"/>
              </w:rPr>
            </w:pPr>
            <w:r>
              <w:rPr>
                <w:rFonts w:ascii="Arial" w:cs="Arial" w:eastAsia="Arial" w:hAnsi="Arial"/>
                <w:sz w:val="14"/>
                <w:szCs w:val="14"/>
                <w:color w:val="auto"/>
              </w:rPr>
              <w:t>0</w:t>
            </w:r>
          </w:p>
        </w:tc>
        <w:tc>
          <w:tcPr>
            <w:tcW w:w="1080" w:type="dxa"/>
            <w:vAlign w:val="bottom"/>
            <w:shd w:val="clear" w:color="auto" w:fill="F4F3F3"/>
          </w:tcPr>
          <w:p>
            <w:pPr>
              <w:jc w:val="right"/>
              <w:ind w:right="148"/>
              <w:spacing w:after="0" w:line="149" w:lineRule="exact"/>
              <w:rPr>
                <w:sz w:val="20"/>
                <w:szCs w:val="20"/>
                <w:color w:val="auto"/>
              </w:rPr>
            </w:pPr>
            <w:r>
              <w:rPr>
                <w:rFonts w:ascii="Arial" w:cs="Arial" w:eastAsia="Arial" w:hAnsi="Arial"/>
                <w:sz w:val="14"/>
                <w:szCs w:val="14"/>
                <w:color w:val="auto"/>
              </w:rPr>
              <w:t>2,977,048</w:t>
            </w:r>
          </w:p>
        </w:tc>
        <w:tc>
          <w:tcPr>
            <w:tcW w:w="940" w:type="dxa"/>
            <w:vAlign w:val="bottom"/>
            <w:shd w:val="clear" w:color="auto" w:fill="F4F3F3"/>
          </w:tcPr>
          <w:p>
            <w:pPr>
              <w:jc w:val="right"/>
              <w:ind w:right="28"/>
              <w:spacing w:after="0" w:line="149" w:lineRule="exact"/>
              <w:rPr>
                <w:sz w:val="20"/>
                <w:szCs w:val="20"/>
                <w:color w:val="auto"/>
              </w:rPr>
            </w:pPr>
            <w:r>
              <w:rPr>
                <w:rFonts w:ascii="Arial" w:cs="Arial" w:eastAsia="Arial" w:hAnsi="Arial"/>
                <w:sz w:val="14"/>
                <w:szCs w:val="14"/>
                <w:color w:val="auto"/>
              </w:rPr>
              <w:t>600,045</w:t>
            </w:r>
          </w:p>
        </w:tc>
        <w:tc>
          <w:tcPr>
            <w:tcW w:w="1120" w:type="dxa"/>
            <w:vAlign w:val="bottom"/>
            <w:shd w:val="clear" w:color="auto" w:fill="F4F3F3"/>
          </w:tcPr>
          <w:p>
            <w:pPr>
              <w:jc w:val="right"/>
              <w:ind w:right="88"/>
              <w:spacing w:after="0" w:line="149" w:lineRule="exact"/>
              <w:rPr>
                <w:sz w:val="20"/>
                <w:szCs w:val="20"/>
                <w:color w:val="auto"/>
              </w:rPr>
            </w:pPr>
            <w:r>
              <w:rPr>
                <w:rFonts w:ascii="Arial" w:cs="Arial" w:eastAsia="Arial" w:hAnsi="Arial"/>
                <w:sz w:val="14"/>
                <w:szCs w:val="14"/>
                <w:color w:val="auto"/>
              </w:rPr>
              <w:t>724,815</w:t>
            </w:r>
          </w:p>
        </w:tc>
        <w:tc>
          <w:tcPr>
            <w:tcW w:w="1040" w:type="dxa"/>
            <w:vAlign w:val="bottom"/>
            <w:shd w:val="clear" w:color="auto" w:fill="F4F3F3"/>
          </w:tcPr>
          <w:p>
            <w:pPr>
              <w:jc w:val="right"/>
              <w:ind w:right="88"/>
              <w:spacing w:after="0" w:line="149" w:lineRule="exact"/>
              <w:rPr>
                <w:sz w:val="20"/>
                <w:szCs w:val="20"/>
                <w:color w:val="auto"/>
              </w:rPr>
            </w:pPr>
            <w:r>
              <w:rPr>
                <w:rFonts w:ascii="Arial" w:cs="Arial" w:eastAsia="Arial" w:hAnsi="Arial"/>
                <w:sz w:val="14"/>
                <w:szCs w:val="14"/>
                <w:color w:val="auto"/>
              </w:rPr>
              <w:t>11,806</w:t>
            </w:r>
          </w:p>
        </w:tc>
        <w:tc>
          <w:tcPr>
            <w:tcW w:w="1160" w:type="dxa"/>
            <w:vAlign w:val="bottom"/>
            <w:shd w:val="clear" w:color="auto" w:fill="F4F3F3"/>
          </w:tcPr>
          <w:p>
            <w:pPr>
              <w:jc w:val="right"/>
              <w:ind w:right="228"/>
              <w:spacing w:after="0" w:line="149" w:lineRule="exact"/>
              <w:rPr>
                <w:sz w:val="20"/>
                <w:szCs w:val="20"/>
                <w:color w:val="auto"/>
              </w:rPr>
            </w:pPr>
            <w:r>
              <w:rPr>
                <w:rFonts w:ascii="Arial" w:cs="Arial" w:eastAsia="Arial" w:hAnsi="Arial"/>
                <w:sz w:val="14"/>
                <w:szCs w:val="14"/>
                <w:color w:val="auto"/>
              </w:rPr>
              <w:t>37,237</w:t>
            </w:r>
          </w:p>
        </w:tc>
        <w:tc>
          <w:tcPr>
            <w:tcW w:w="1020" w:type="dxa"/>
            <w:vAlign w:val="bottom"/>
            <w:shd w:val="clear" w:color="auto" w:fill="F4F3F3"/>
          </w:tcPr>
          <w:p>
            <w:pPr>
              <w:jc w:val="right"/>
              <w:ind w:right="108"/>
              <w:spacing w:after="0" w:line="149" w:lineRule="exact"/>
              <w:rPr>
                <w:sz w:val="20"/>
                <w:szCs w:val="20"/>
                <w:color w:val="auto"/>
              </w:rPr>
            </w:pPr>
            <w:r>
              <w:rPr>
                <w:rFonts w:ascii="Arial" w:cs="Arial" w:eastAsia="Arial" w:hAnsi="Arial"/>
                <w:sz w:val="14"/>
                <w:szCs w:val="14"/>
                <w:color w:val="auto"/>
              </w:rPr>
              <w:t>5,000,951</w:t>
            </w:r>
          </w:p>
        </w:tc>
      </w:tr>
      <w:tr>
        <w:trPr>
          <w:trHeight w:val="175"/>
        </w:trPr>
        <w:tc>
          <w:tcPr>
            <w:tcW w:w="1810" w:type="dxa"/>
            <w:vAlign w:val="bottom"/>
            <w:shd w:val="clear" w:color="auto" w:fill="F4F3F3"/>
          </w:tcPr>
          <w:p>
            <w:pPr>
              <w:ind w:left="80"/>
              <w:spacing w:after="0"/>
              <w:rPr>
                <w:sz w:val="20"/>
                <w:szCs w:val="20"/>
                <w:color w:val="auto"/>
              </w:rPr>
            </w:pPr>
            <w:r>
              <w:rPr>
                <w:rFonts w:ascii="Arial" w:cs="Arial" w:eastAsia="Arial" w:hAnsi="Arial"/>
                <w:sz w:val="14"/>
                <w:szCs w:val="14"/>
                <w:color w:val="auto"/>
              </w:rPr>
              <w:t>and Chief Financial Officer</w:t>
            </w:r>
          </w:p>
        </w:tc>
        <w:tc>
          <w:tcPr>
            <w:tcW w:w="710" w:type="dxa"/>
            <w:vAlign w:val="bottom"/>
            <w:shd w:val="clear" w:color="auto" w:fill="F4F3F3"/>
          </w:tcPr>
          <w:p>
            <w:pPr>
              <w:spacing w:after="0"/>
              <w:rPr>
                <w:sz w:val="15"/>
                <w:szCs w:val="15"/>
                <w:color w:val="auto"/>
              </w:rPr>
            </w:pPr>
          </w:p>
        </w:tc>
        <w:tc>
          <w:tcPr>
            <w:tcW w:w="1060" w:type="dxa"/>
            <w:vAlign w:val="bottom"/>
            <w:shd w:val="clear" w:color="auto" w:fill="F4F3F3"/>
          </w:tcPr>
          <w:p>
            <w:pPr>
              <w:spacing w:after="0"/>
              <w:rPr>
                <w:sz w:val="15"/>
                <w:szCs w:val="15"/>
                <w:color w:val="auto"/>
              </w:rPr>
            </w:pPr>
          </w:p>
        </w:tc>
        <w:tc>
          <w:tcPr>
            <w:tcW w:w="1060" w:type="dxa"/>
            <w:vAlign w:val="bottom"/>
            <w:shd w:val="clear" w:color="auto" w:fill="F4F3F3"/>
          </w:tcPr>
          <w:p>
            <w:pPr>
              <w:spacing w:after="0"/>
              <w:rPr>
                <w:sz w:val="15"/>
                <w:szCs w:val="15"/>
                <w:color w:val="auto"/>
              </w:rPr>
            </w:pPr>
          </w:p>
        </w:tc>
        <w:tc>
          <w:tcPr>
            <w:tcW w:w="1080" w:type="dxa"/>
            <w:vAlign w:val="bottom"/>
            <w:shd w:val="clear" w:color="auto" w:fill="F4F3F3"/>
          </w:tcPr>
          <w:p>
            <w:pPr>
              <w:spacing w:after="0"/>
              <w:rPr>
                <w:sz w:val="15"/>
                <w:szCs w:val="15"/>
                <w:color w:val="auto"/>
              </w:rPr>
            </w:pPr>
          </w:p>
        </w:tc>
        <w:tc>
          <w:tcPr>
            <w:tcW w:w="940" w:type="dxa"/>
            <w:vAlign w:val="bottom"/>
            <w:shd w:val="clear" w:color="auto" w:fill="F4F3F3"/>
          </w:tcPr>
          <w:p>
            <w:pPr>
              <w:spacing w:after="0"/>
              <w:rPr>
                <w:sz w:val="15"/>
                <w:szCs w:val="15"/>
                <w:color w:val="auto"/>
              </w:rPr>
            </w:pPr>
          </w:p>
        </w:tc>
        <w:tc>
          <w:tcPr>
            <w:tcW w:w="1120" w:type="dxa"/>
            <w:vAlign w:val="bottom"/>
            <w:shd w:val="clear" w:color="auto" w:fill="F4F3F3"/>
          </w:tcPr>
          <w:p>
            <w:pPr>
              <w:spacing w:after="0"/>
              <w:rPr>
                <w:sz w:val="15"/>
                <w:szCs w:val="15"/>
                <w:color w:val="auto"/>
              </w:rPr>
            </w:pPr>
          </w:p>
        </w:tc>
        <w:tc>
          <w:tcPr>
            <w:tcW w:w="1040" w:type="dxa"/>
            <w:vAlign w:val="bottom"/>
            <w:shd w:val="clear" w:color="auto" w:fill="F4F3F3"/>
          </w:tcPr>
          <w:p>
            <w:pPr>
              <w:spacing w:after="0"/>
              <w:rPr>
                <w:sz w:val="15"/>
                <w:szCs w:val="15"/>
                <w:color w:val="auto"/>
              </w:rPr>
            </w:pPr>
          </w:p>
        </w:tc>
        <w:tc>
          <w:tcPr>
            <w:tcW w:w="1160" w:type="dxa"/>
            <w:vAlign w:val="bottom"/>
            <w:shd w:val="clear" w:color="auto" w:fill="F4F3F3"/>
          </w:tcPr>
          <w:p>
            <w:pPr>
              <w:spacing w:after="0"/>
              <w:rPr>
                <w:sz w:val="15"/>
                <w:szCs w:val="15"/>
                <w:color w:val="auto"/>
              </w:rPr>
            </w:pPr>
          </w:p>
        </w:tc>
        <w:tc>
          <w:tcPr>
            <w:tcW w:w="1020" w:type="dxa"/>
            <w:vAlign w:val="bottom"/>
            <w:shd w:val="clear" w:color="auto" w:fill="F4F3F3"/>
          </w:tcPr>
          <w:p>
            <w:pPr>
              <w:spacing w:after="0"/>
              <w:rPr>
                <w:sz w:val="15"/>
                <w:szCs w:val="15"/>
                <w:color w:val="auto"/>
              </w:rPr>
            </w:pPr>
          </w:p>
        </w:tc>
      </w:tr>
    </w:tbl>
    <w:p>
      <w:pPr>
        <w:spacing w:after="0" w:line="133" w:lineRule="exact"/>
        <w:rPr>
          <w:sz w:val="20"/>
          <w:szCs w:val="20"/>
          <w:color w:val="auto"/>
        </w:rPr>
      </w:pPr>
    </w:p>
    <w:p>
      <w:pPr>
        <w:ind w:left="420" w:hanging="210"/>
        <w:spacing w:after="0"/>
        <w:tabs>
          <w:tab w:leader="none" w:pos="420" w:val="left"/>
        </w:tabs>
        <w:numPr>
          <w:ilvl w:val="0"/>
          <w:numId w:val="103"/>
        </w:numPr>
        <w:rPr>
          <w:rFonts w:ascii="Arial" w:cs="Arial" w:eastAsia="Arial" w:hAnsi="Arial"/>
          <w:sz w:val="24"/>
          <w:szCs w:val="24"/>
          <w:color w:val="333333"/>
          <w:vertAlign w:val="superscript"/>
        </w:rPr>
      </w:pPr>
      <w:r>
        <w:rPr>
          <w:rFonts w:ascii="Arial" w:cs="Arial" w:eastAsia="Arial" w:hAnsi="Arial"/>
          <w:sz w:val="14"/>
          <w:szCs w:val="14"/>
          <w:color w:val="333333"/>
        </w:rPr>
        <w:t>This column reports all amounts earned as salary during the fiscal year, whether paid or deferred under the EDC.</w:t>
      </w:r>
    </w:p>
    <w:p>
      <w:pPr>
        <w:jc w:val="both"/>
        <w:ind w:left="420" w:right="120" w:hanging="210"/>
        <w:spacing w:after="0" w:line="194" w:lineRule="auto"/>
        <w:tabs>
          <w:tab w:leader="none" w:pos="420" w:val="left"/>
        </w:tabs>
        <w:numPr>
          <w:ilvl w:val="0"/>
          <w:numId w:val="103"/>
        </w:numPr>
        <w:rPr>
          <w:rFonts w:ascii="Arial" w:cs="Arial" w:eastAsia="Arial" w:hAnsi="Arial"/>
          <w:sz w:val="24"/>
          <w:szCs w:val="24"/>
          <w:color w:val="333333"/>
          <w:vertAlign w:val="superscript"/>
        </w:rPr>
      </w:pPr>
      <w:r>
        <w:rPr>
          <w:rFonts w:ascii="Arial" w:cs="Arial" w:eastAsia="Arial" w:hAnsi="Arial"/>
          <w:sz w:val="14"/>
          <w:szCs w:val="14"/>
          <w:color w:val="333333"/>
        </w:rPr>
        <w:t>This column reports the supplemental bonus for outstanding performance with regard to maintaining strong quality and brand control over our legacy Marriott operations while maintaining the brand reputation and managing the successful integration of the Starwood operations and the management team’s success in building stockholder value through the transformative Starwood merger, as explained on page 37 of the CD&amp;A.</w:t>
      </w:r>
    </w:p>
    <w:p>
      <w:pPr>
        <w:spacing w:after="0" w:line="2" w:lineRule="exact"/>
        <w:rPr>
          <w:rFonts w:ascii="Arial" w:cs="Arial" w:eastAsia="Arial" w:hAnsi="Arial"/>
          <w:sz w:val="24"/>
          <w:szCs w:val="24"/>
          <w:color w:val="333333"/>
          <w:vertAlign w:val="superscript"/>
        </w:rPr>
      </w:pPr>
    </w:p>
    <w:p>
      <w:pPr>
        <w:ind w:left="420" w:right="80" w:hanging="210"/>
        <w:spacing w:after="0" w:line="214" w:lineRule="auto"/>
        <w:tabs>
          <w:tab w:leader="none" w:pos="420" w:val="left"/>
        </w:tabs>
        <w:numPr>
          <w:ilvl w:val="0"/>
          <w:numId w:val="103"/>
        </w:numPr>
        <w:rPr>
          <w:rFonts w:ascii="Arial" w:cs="Arial" w:eastAsia="Arial" w:hAnsi="Arial"/>
          <w:sz w:val="24"/>
          <w:szCs w:val="24"/>
          <w:color w:val="333333"/>
          <w:vertAlign w:val="superscript"/>
        </w:rPr>
      </w:pPr>
      <w:r>
        <w:rPr>
          <w:rFonts w:ascii="Arial" w:cs="Arial" w:eastAsia="Arial" w:hAnsi="Arial"/>
          <w:sz w:val="14"/>
          <w:szCs w:val="14"/>
          <w:color w:val="333333"/>
        </w:rPr>
        <w:t>The value reported for Stock Awards and SAR Awards is the aggregate grant date fair value of the awards granted in the fiscal year as determined in accordance with accounting guidance for share-based payments, although the Company recognizes the value of the awards for financial reporting purposes over the service period of the awards. The assumptions for making the valuation determinations are set forth in the footnotes captioned “Share-Based Compensation” to our financial statements in each of the Company’s Forms 10-K for fiscal years 2015 through 2017. For additional information on 2017 awards, see the Grants of Plan-Based Awards for Fiscal 2017 table, below.</w:t>
      </w:r>
    </w:p>
    <w:p>
      <w:pPr>
        <w:spacing w:after="0" w:line="109" w:lineRule="exact"/>
        <w:rPr>
          <w:sz w:val="20"/>
          <w:szCs w:val="20"/>
          <w:color w:val="auto"/>
        </w:rPr>
      </w:pPr>
    </w:p>
    <w:tbl>
      <w:tblPr>
        <w:tblLayout w:type="fixed"/>
        <w:tblInd w:w="9180" w:type="dxa"/>
        <w:tblCellMar>
          <w:top w:w="0" w:type="dxa"/>
          <w:left w:w="0" w:type="dxa"/>
          <w:bottom w:w="0" w:type="dxa"/>
          <w:right w:w="0" w:type="dxa"/>
        </w:tblCellMar>
      </w:tblPr>
      <w:tr>
        <w:trPr>
          <w:trHeight w:val="214"/>
        </w:trPr>
        <w:tc>
          <w:tcPr>
            <w:tcW w:w="1660" w:type="dxa"/>
            <w:vAlign w:val="bottom"/>
          </w:tcPr>
          <w:p>
            <w:pPr>
              <w:spacing w:after="0"/>
              <w:rPr>
                <w:sz w:val="20"/>
                <w:szCs w:val="20"/>
                <w:color w:val="auto"/>
              </w:rPr>
            </w:pPr>
            <w:r>
              <w:rPr>
                <w:rFonts w:ascii="Arial" w:cs="Arial" w:eastAsia="Arial" w:hAnsi="Arial"/>
                <w:sz w:val="15"/>
                <w:szCs w:val="15"/>
                <w:color w:val="998C87"/>
              </w:rPr>
              <w:t>2018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45</w:t>
            </w:r>
          </w:p>
        </w:tc>
      </w:tr>
    </w:tbl>
    <w:p>
      <w:pPr>
        <w:sectPr>
          <w:pgSz w:w="11900" w:h="16838" w:orient="portrait"/>
          <w:cols w:equalWidth="0" w:num="1">
            <w:col w:w="11220"/>
          </w:cols>
          <w:pgMar w:left="240" w:top="455" w:right="4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40" w:lineRule="exact"/>
        <w:rPr>
          <w:sz w:val="20"/>
          <w:szCs w:val="20"/>
          <w:color w:val="auto"/>
        </w:rPr>
      </w:pPr>
    </w:p>
    <w:p>
      <w:pPr>
        <w:ind w:left="420" w:hanging="210"/>
        <w:spacing w:after="0"/>
        <w:tabs>
          <w:tab w:leader="none" w:pos="420" w:val="left"/>
        </w:tabs>
        <w:numPr>
          <w:ilvl w:val="0"/>
          <w:numId w:val="104"/>
        </w:numPr>
        <w:rPr>
          <w:rFonts w:ascii="Arial" w:cs="Arial" w:eastAsia="Arial" w:hAnsi="Arial"/>
          <w:sz w:val="24"/>
          <w:szCs w:val="24"/>
          <w:color w:val="333333"/>
          <w:vertAlign w:val="superscript"/>
        </w:rPr>
      </w:pPr>
      <w:r>
        <w:rPr>
          <w:rFonts w:ascii="Arial" w:cs="Arial" w:eastAsia="Arial" w:hAnsi="Arial"/>
          <w:sz w:val="14"/>
          <w:szCs w:val="14"/>
          <w:color w:val="333333"/>
        </w:rPr>
        <w:t>Approximately two-thirds of the value reported in this column for Mr. Sorenson in 2017, and sixty percent of the value reported for the other NEOs (disregarding</w:t>
      </w:r>
    </w:p>
    <w:p>
      <w:pPr>
        <w:ind w:left="420"/>
        <w:spacing w:after="0" w:line="241" w:lineRule="auto"/>
        <w:rPr>
          <w:rFonts w:ascii="Arial" w:cs="Arial" w:eastAsia="Arial" w:hAnsi="Arial"/>
          <w:sz w:val="24"/>
          <w:szCs w:val="24"/>
          <w:color w:val="333333"/>
          <w:vertAlign w:val="superscript"/>
        </w:rPr>
      </w:pPr>
      <w:r>
        <w:rPr>
          <w:rFonts w:ascii="Arial" w:cs="Arial" w:eastAsia="Arial" w:hAnsi="Arial"/>
          <w:sz w:val="14"/>
          <w:szCs w:val="14"/>
          <w:color w:val="333333"/>
        </w:rPr>
        <w:t>Mr. Capuano’s separate RSU described in the CD&amp;A) represents the value of PSUs at the grant date based upon target performance which is the most probable outcome with respect to performance. Assuming that the highest level of performance conditions will be achieved for all PSUs, the grant date fair values of the PSUs included in the 2017 Stock Awards column for Messrs. Sorenson and Capuano, Ms. Linnartz, Mr. Grissen and Ms. Oberg would be $5,361,419, $1,344,237, $1,630,205, $1,630,205 and $1,487,031, respectively.</w:t>
      </w:r>
    </w:p>
    <w:p>
      <w:pPr>
        <w:ind w:left="420" w:right="260" w:hanging="210"/>
        <w:spacing w:after="0" w:line="182" w:lineRule="auto"/>
        <w:tabs>
          <w:tab w:leader="none" w:pos="420" w:val="left"/>
        </w:tabs>
        <w:numPr>
          <w:ilvl w:val="0"/>
          <w:numId w:val="104"/>
        </w:numPr>
        <w:rPr>
          <w:rFonts w:ascii="Arial" w:cs="Arial" w:eastAsia="Arial" w:hAnsi="Arial"/>
          <w:sz w:val="23"/>
          <w:szCs w:val="23"/>
          <w:color w:val="333333"/>
          <w:vertAlign w:val="superscript"/>
        </w:rPr>
      </w:pPr>
      <w:r>
        <w:rPr>
          <w:rFonts w:ascii="Arial" w:cs="Arial" w:eastAsia="Arial" w:hAnsi="Arial"/>
          <w:sz w:val="14"/>
          <w:szCs w:val="14"/>
          <w:color w:val="333333"/>
        </w:rPr>
        <w:t>This column reports all amounts earned under the Company’s annual cash incentive program during the fiscal year, which were paid in February of the following fiscal year unless deferred under the EDC.</w:t>
      </w:r>
    </w:p>
    <w:p>
      <w:pPr>
        <w:spacing w:after="0" w:line="1" w:lineRule="exact"/>
        <w:rPr>
          <w:rFonts w:ascii="Arial" w:cs="Arial" w:eastAsia="Arial" w:hAnsi="Arial"/>
          <w:sz w:val="23"/>
          <w:szCs w:val="23"/>
          <w:color w:val="333333"/>
          <w:vertAlign w:val="superscript"/>
        </w:rPr>
      </w:pPr>
    </w:p>
    <w:p>
      <w:pPr>
        <w:ind w:left="420" w:right="280" w:hanging="210"/>
        <w:spacing w:after="0" w:line="182" w:lineRule="auto"/>
        <w:tabs>
          <w:tab w:leader="none" w:pos="420" w:val="left"/>
        </w:tabs>
        <w:numPr>
          <w:ilvl w:val="0"/>
          <w:numId w:val="104"/>
        </w:numPr>
        <w:rPr>
          <w:rFonts w:ascii="Arial" w:cs="Arial" w:eastAsia="Arial" w:hAnsi="Arial"/>
          <w:sz w:val="23"/>
          <w:szCs w:val="23"/>
          <w:color w:val="333333"/>
          <w:vertAlign w:val="superscript"/>
        </w:rPr>
      </w:pPr>
      <w:r>
        <w:rPr>
          <w:rFonts w:ascii="Arial" w:cs="Arial" w:eastAsia="Arial" w:hAnsi="Arial"/>
          <w:sz w:val="14"/>
          <w:szCs w:val="14"/>
          <w:color w:val="333333"/>
        </w:rPr>
        <w:t>The values reported equal the earnings credited to accounts in the EDC to the extent they were credited at a rate of interest exceeding 120% of the applicable federal long-term rate, as discussed below under “Nonqualified Deferred Compensation for Fiscal Year 2017.”</w:t>
      </w:r>
    </w:p>
    <w:p>
      <w:pPr>
        <w:spacing w:after="0" w:line="1" w:lineRule="exact"/>
        <w:rPr>
          <w:rFonts w:ascii="Arial" w:cs="Arial" w:eastAsia="Arial" w:hAnsi="Arial"/>
          <w:sz w:val="23"/>
          <w:szCs w:val="23"/>
          <w:color w:val="333333"/>
          <w:vertAlign w:val="superscript"/>
        </w:rPr>
      </w:pPr>
    </w:p>
    <w:p>
      <w:pPr>
        <w:ind w:left="420" w:hanging="210"/>
        <w:spacing w:after="0" w:line="218" w:lineRule="auto"/>
        <w:tabs>
          <w:tab w:leader="none" w:pos="420" w:val="left"/>
        </w:tabs>
        <w:numPr>
          <w:ilvl w:val="0"/>
          <w:numId w:val="104"/>
        </w:numPr>
        <w:rPr>
          <w:rFonts w:ascii="Arial" w:cs="Arial" w:eastAsia="Arial" w:hAnsi="Arial"/>
          <w:sz w:val="24"/>
          <w:szCs w:val="24"/>
          <w:color w:val="333333"/>
          <w:vertAlign w:val="superscript"/>
        </w:rPr>
      </w:pPr>
      <w:r>
        <w:rPr>
          <w:rFonts w:ascii="Arial" w:cs="Arial" w:eastAsia="Arial" w:hAnsi="Arial"/>
          <w:sz w:val="14"/>
          <w:szCs w:val="14"/>
          <w:color w:val="333333"/>
        </w:rPr>
        <w:t>All Other Compensation consists of Company contributions to the Company’s qualified 401(k) plan, Company contributions to the EDC and perquisites and personal benefits including personal use of the Company jet, spousal accompaniment while on business travel and complimentary rooms, food and beverages at Company-owned, operated or franchised hotels and the use of other hotel-related services such as golf and spa facilities while on personal travel. The values in this column do not include perquisites and personal benefits that were less than $10,000 in aggregate for each NEO for the fiscal year. The following table identifies the total amount the Company contributed to each NEO’s qualified 401(k) plan and non-qualified EDC account for fiscal year 2017. It also specifies values for perquisites and personal benefits for each NEO that comprise more than the greater of 10% of the NEO’s aggregate perquisites or personal benefits or $25,000.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144145</wp:posOffset>
            </wp:positionV>
            <wp:extent cx="6818630" cy="13360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18630" cy="1336040"/>
                    </a:xfrm>
                    <a:prstGeom prst="rect">
                      <a:avLst/>
                    </a:prstGeom>
                    <a:noFill/>
                  </pic:spPr>
                </pic:pic>
              </a:graphicData>
            </a:graphic>
          </wp:anchor>
        </w:drawing>
      </w:r>
    </w:p>
    <w:p>
      <w:pPr>
        <w:spacing w:after="0" w:line="193"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3620" w:type="dxa"/>
            <w:vAlign w:val="bottom"/>
            <w:shd w:val="clear" w:color="auto" w:fill="998C87"/>
          </w:tcPr>
          <w:p>
            <w:pPr>
              <w:spacing w:after="0"/>
              <w:rPr>
                <w:sz w:val="14"/>
                <w:szCs w:val="14"/>
                <w:color w:val="auto"/>
              </w:rPr>
            </w:pPr>
          </w:p>
        </w:tc>
        <w:tc>
          <w:tcPr>
            <w:tcW w:w="1580" w:type="dxa"/>
            <w:vAlign w:val="bottom"/>
            <w:shd w:val="clear" w:color="auto" w:fill="998C87"/>
          </w:tcPr>
          <w:p>
            <w:pPr>
              <w:spacing w:after="0"/>
              <w:rPr>
                <w:sz w:val="14"/>
                <w:szCs w:val="14"/>
                <w:color w:val="auto"/>
              </w:rPr>
            </w:pPr>
          </w:p>
        </w:tc>
        <w:tc>
          <w:tcPr>
            <w:tcW w:w="2640" w:type="dxa"/>
            <w:vAlign w:val="bottom"/>
            <w:shd w:val="clear" w:color="auto" w:fill="998C87"/>
          </w:tcPr>
          <w:p>
            <w:pPr>
              <w:jc w:val="center"/>
              <w:ind w:left="268"/>
              <w:spacing w:after="0"/>
              <w:rPr>
                <w:sz w:val="20"/>
                <w:szCs w:val="20"/>
                <w:color w:val="auto"/>
              </w:rPr>
            </w:pPr>
            <w:r>
              <w:rPr>
                <w:rFonts w:ascii="Arial" w:cs="Arial" w:eastAsia="Arial" w:hAnsi="Arial"/>
                <w:sz w:val="14"/>
                <w:szCs w:val="14"/>
                <w:b w:val="1"/>
                <w:bCs w:val="1"/>
                <w:color w:val="FFFFFF"/>
              </w:rPr>
              <w:t>Company</w:t>
            </w:r>
          </w:p>
        </w:tc>
        <w:tc>
          <w:tcPr>
            <w:tcW w:w="1640" w:type="dxa"/>
            <w:vAlign w:val="bottom"/>
            <w:shd w:val="clear" w:color="auto" w:fill="998C87"/>
          </w:tcPr>
          <w:p>
            <w:pPr>
              <w:spacing w:after="0"/>
              <w:rPr>
                <w:sz w:val="14"/>
                <w:szCs w:val="14"/>
                <w:color w:val="auto"/>
              </w:rPr>
            </w:pPr>
          </w:p>
        </w:tc>
        <w:tc>
          <w:tcPr>
            <w:tcW w:w="1260" w:type="dxa"/>
            <w:vAlign w:val="bottom"/>
            <w:shd w:val="clear" w:color="auto" w:fill="998C87"/>
          </w:tcPr>
          <w:p>
            <w:pPr>
              <w:spacing w:after="0"/>
              <w:rPr>
                <w:sz w:val="14"/>
                <w:szCs w:val="14"/>
                <w:color w:val="auto"/>
              </w:rPr>
            </w:pPr>
          </w:p>
        </w:tc>
      </w:tr>
      <w:tr>
        <w:trPr>
          <w:trHeight w:val="162"/>
        </w:trPr>
        <w:tc>
          <w:tcPr>
            <w:tcW w:w="3620" w:type="dxa"/>
            <w:vAlign w:val="bottom"/>
            <w:shd w:val="clear" w:color="auto" w:fill="998C87"/>
          </w:tcPr>
          <w:p>
            <w:pPr>
              <w:spacing w:after="0"/>
              <w:rPr>
                <w:sz w:val="14"/>
                <w:szCs w:val="14"/>
                <w:color w:val="auto"/>
              </w:rPr>
            </w:pPr>
          </w:p>
        </w:tc>
        <w:tc>
          <w:tcPr>
            <w:tcW w:w="1580" w:type="dxa"/>
            <w:vAlign w:val="bottom"/>
            <w:shd w:val="clear" w:color="auto" w:fill="998C87"/>
          </w:tcPr>
          <w:p>
            <w:pPr>
              <w:jc w:val="center"/>
              <w:ind w:left="288"/>
              <w:spacing w:after="0"/>
              <w:rPr>
                <w:sz w:val="20"/>
                <w:szCs w:val="20"/>
                <w:color w:val="auto"/>
              </w:rPr>
            </w:pPr>
            <w:r>
              <w:rPr>
                <w:rFonts w:ascii="Arial" w:cs="Arial" w:eastAsia="Arial" w:hAnsi="Arial"/>
                <w:sz w:val="14"/>
                <w:szCs w:val="14"/>
                <w:b w:val="1"/>
                <w:bCs w:val="1"/>
                <w:color w:val="FFFFFF"/>
              </w:rPr>
              <w:t>Company</w:t>
            </w:r>
          </w:p>
        </w:tc>
        <w:tc>
          <w:tcPr>
            <w:tcW w:w="2640" w:type="dxa"/>
            <w:vAlign w:val="bottom"/>
            <w:shd w:val="clear" w:color="auto" w:fill="998C87"/>
          </w:tcPr>
          <w:p>
            <w:pPr>
              <w:jc w:val="center"/>
              <w:ind w:left="268"/>
              <w:spacing w:after="0"/>
              <w:rPr>
                <w:sz w:val="20"/>
                <w:szCs w:val="20"/>
                <w:color w:val="auto"/>
              </w:rPr>
            </w:pPr>
            <w:r>
              <w:rPr>
                <w:rFonts w:ascii="Arial" w:cs="Arial" w:eastAsia="Arial" w:hAnsi="Arial"/>
                <w:sz w:val="14"/>
                <w:szCs w:val="14"/>
                <w:b w:val="1"/>
                <w:bCs w:val="1"/>
                <w:color w:val="FFFFFF"/>
              </w:rPr>
              <w:t>Contributions</w:t>
            </w:r>
          </w:p>
        </w:tc>
        <w:tc>
          <w:tcPr>
            <w:tcW w:w="164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Personal Use</w:t>
            </w:r>
          </w:p>
        </w:tc>
        <w:tc>
          <w:tcPr>
            <w:tcW w:w="1260" w:type="dxa"/>
            <w:vAlign w:val="bottom"/>
            <w:shd w:val="clear" w:color="auto" w:fill="998C87"/>
          </w:tcPr>
          <w:p>
            <w:pPr>
              <w:spacing w:after="0"/>
              <w:rPr>
                <w:sz w:val="14"/>
                <w:szCs w:val="14"/>
                <w:color w:val="auto"/>
              </w:rPr>
            </w:pPr>
          </w:p>
        </w:tc>
      </w:tr>
      <w:tr>
        <w:trPr>
          <w:trHeight w:val="162"/>
        </w:trPr>
        <w:tc>
          <w:tcPr>
            <w:tcW w:w="3620" w:type="dxa"/>
            <w:vAlign w:val="bottom"/>
            <w:shd w:val="clear" w:color="auto" w:fill="998C87"/>
          </w:tcPr>
          <w:p>
            <w:pPr>
              <w:spacing w:after="0"/>
              <w:rPr>
                <w:sz w:val="14"/>
                <w:szCs w:val="14"/>
                <w:color w:val="auto"/>
              </w:rPr>
            </w:pPr>
          </w:p>
        </w:tc>
        <w:tc>
          <w:tcPr>
            <w:tcW w:w="1580" w:type="dxa"/>
            <w:vAlign w:val="bottom"/>
            <w:shd w:val="clear" w:color="auto" w:fill="998C87"/>
          </w:tcPr>
          <w:p>
            <w:pPr>
              <w:jc w:val="center"/>
              <w:ind w:left="288"/>
              <w:spacing w:after="0"/>
              <w:rPr>
                <w:sz w:val="20"/>
                <w:szCs w:val="20"/>
                <w:color w:val="auto"/>
              </w:rPr>
            </w:pPr>
            <w:r>
              <w:rPr>
                <w:rFonts w:ascii="Arial" w:cs="Arial" w:eastAsia="Arial" w:hAnsi="Arial"/>
                <w:sz w:val="14"/>
                <w:szCs w:val="14"/>
                <w:b w:val="1"/>
                <w:bCs w:val="1"/>
                <w:color w:val="FFFFFF"/>
              </w:rPr>
              <w:t>Contributions</w:t>
            </w:r>
          </w:p>
        </w:tc>
        <w:tc>
          <w:tcPr>
            <w:tcW w:w="2640" w:type="dxa"/>
            <w:vAlign w:val="bottom"/>
            <w:shd w:val="clear" w:color="auto" w:fill="998C87"/>
          </w:tcPr>
          <w:p>
            <w:pPr>
              <w:jc w:val="center"/>
              <w:ind w:left="268"/>
              <w:spacing w:after="0"/>
              <w:rPr>
                <w:sz w:val="20"/>
                <w:szCs w:val="20"/>
                <w:color w:val="auto"/>
              </w:rPr>
            </w:pPr>
            <w:r>
              <w:rPr>
                <w:rFonts w:ascii="Arial" w:cs="Arial" w:eastAsia="Arial" w:hAnsi="Arial"/>
                <w:sz w:val="14"/>
                <w:szCs w:val="14"/>
                <w:b w:val="1"/>
                <w:bCs w:val="1"/>
                <w:color w:val="FFFFFF"/>
              </w:rPr>
              <w:t>to the Executive</w:t>
            </w:r>
          </w:p>
        </w:tc>
        <w:tc>
          <w:tcPr>
            <w:tcW w:w="164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w w:val="99"/>
              </w:rPr>
              <w:t>of the</w:t>
            </w:r>
          </w:p>
        </w:tc>
        <w:tc>
          <w:tcPr>
            <w:tcW w:w="1260" w:type="dxa"/>
            <w:vAlign w:val="bottom"/>
            <w:shd w:val="clear" w:color="auto" w:fill="998C87"/>
          </w:tcPr>
          <w:p>
            <w:pPr>
              <w:spacing w:after="0"/>
              <w:rPr>
                <w:sz w:val="14"/>
                <w:szCs w:val="14"/>
                <w:color w:val="auto"/>
              </w:rPr>
            </w:pPr>
          </w:p>
        </w:tc>
      </w:tr>
      <w:tr>
        <w:trPr>
          <w:trHeight w:val="162"/>
        </w:trPr>
        <w:tc>
          <w:tcPr>
            <w:tcW w:w="3620" w:type="dxa"/>
            <w:vAlign w:val="bottom"/>
            <w:shd w:val="clear" w:color="auto" w:fill="998C87"/>
          </w:tcPr>
          <w:p>
            <w:pPr>
              <w:spacing w:after="0"/>
              <w:rPr>
                <w:sz w:val="14"/>
                <w:szCs w:val="14"/>
                <w:color w:val="auto"/>
              </w:rPr>
            </w:pPr>
          </w:p>
        </w:tc>
        <w:tc>
          <w:tcPr>
            <w:tcW w:w="1580" w:type="dxa"/>
            <w:vAlign w:val="bottom"/>
            <w:shd w:val="clear" w:color="auto" w:fill="998C87"/>
          </w:tcPr>
          <w:p>
            <w:pPr>
              <w:jc w:val="center"/>
              <w:ind w:left="288"/>
              <w:spacing w:after="0"/>
              <w:rPr>
                <w:sz w:val="20"/>
                <w:szCs w:val="20"/>
                <w:color w:val="auto"/>
              </w:rPr>
            </w:pPr>
            <w:r>
              <w:rPr>
                <w:rFonts w:ascii="Arial" w:cs="Arial" w:eastAsia="Arial" w:hAnsi="Arial"/>
                <w:sz w:val="14"/>
                <w:szCs w:val="14"/>
                <w:b w:val="1"/>
                <w:bCs w:val="1"/>
                <w:color w:val="FFFFFF"/>
              </w:rPr>
              <w:t>to the 401(k) Plan</w:t>
            </w:r>
          </w:p>
        </w:tc>
        <w:tc>
          <w:tcPr>
            <w:tcW w:w="2640" w:type="dxa"/>
            <w:vAlign w:val="bottom"/>
            <w:shd w:val="clear" w:color="auto" w:fill="998C87"/>
          </w:tcPr>
          <w:p>
            <w:pPr>
              <w:jc w:val="center"/>
              <w:ind w:left="248"/>
              <w:spacing w:after="0"/>
              <w:rPr>
                <w:sz w:val="20"/>
                <w:szCs w:val="20"/>
                <w:color w:val="auto"/>
              </w:rPr>
            </w:pPr>
            <w:r>
              <w:rPr>
                <w:rFonts w:ascii="Arial" w:cs="Arial" w:eastAsia="Arial" w:hAnsi="Arial"/>
                <w:sz w:val="14"/>
                <w:szCs w:val="14"/>
                <w:b w:val="1"/>
                <w:bCs w:val="1"/>
                <w:color w:val="FFFFFF"/>
              </w:rPr>
              <w:t>Deferred Compensation</w:t>
            </w:r>
          </w:p>
        </w:tc>
        <w:tc>
          <w:tcPr>
            <w:tcW w:w="164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Company Jet</w:t>
            </w:r>
          </w:p>
        </w:tc>
        <w:tc>
          <w:tcPr>
            <w:tcW w:w="1260" w:type="dxa"/>
            <w:vAlign w:val="bottom"/>
            <w:shd w:val="clear" w:color="auto" w:fill="998C87"/>
          </w:tcPr>
          <w:p>
            <w:pPr>
              <w:jc w:val="center"/>
              <w:ind w:right="8"/>
              <w:spacing w:after="0"/>
              <w:rPr>
                <w:sz w:val="20"/>
                <w:szCs w:val="20"/>
                <w:color w:val="auto"/>
              </w:rPr>
            </w:pPr>
            <w:r>
              <w:rPr>
                <w:rFonts w:ascii="Arial" w:cs="Arial" w:eastAsia="Arial" w:hAnsi="Arial"/>
                <w:sz w:val="14"/>
                <w:szCs w:val="14"/>
                <w:b w:val="1"/>
                <w:bCs w:val="1"/>
                <w:color w:val="FFFFFF"/>
              </w:rPr>
              <w:t>Other</w:t>
            </w:r>
          </w:p>
        </w:tc>
      </w:tr>
      <w:tr>
        <w:trPr>
          <w:trHeight w:val="202"/>
        </w:trPr>
        <w:tc>
          <w:tcPr>
            <w:tcW w:w="3620" w:type="dxa"/>
            <w:vAlign w:val="bottom"/>
            <w:shd w:val="clear" w:color="auto" w:fill="998C87"/>
          </w:tcPr>
          <w:p>
            <w:pPr>
              <w:ind w:left="160"/>
              <w:spacing w:after="0"/>
              <w:rPr>
                <w:sz w:val="20"/>
                <w:szCs w:val="20"/>
                <w:color w:val="auto"/>
              </w:rPr>
            </w:pPr>
            <w:r>
              <w:rPr>
                <w:rFonts w:ascii="Arial" w:cs="Arial" w:eastAsia="Arial" w:hAnsi="Arial"/>
                <w:sz w:val="14"/>
                <w:szCs w:val="14"/>
                <w:b w:val="1"/>
                <w:bCs w:val="1"/>
                <w:color w:val="FFFFFF"/>
              </w:rPr>
              <w:t>Name</w:t>
            </w:r>
          </w:p>
        </w:tc>
        <w:tc>
          <w:tcPr>
            <w:tcW w:w="1580" w:type="dxa"/>
            <w:vAlign w:val="bottom"/>
            <w:shd w:val="clear" w:color="auto" w:fill="998C87"/>
          </w:tcPr>
          <w:p>
            <w:pPr>
              <w:jc w:val="center"/>
              <w:ind w:left="288"/>
              <w:spacing w:after="0"/>
              <w:rPr>
                <w:sz w:val="20"/>
                <w:szCs w:val="20"/>
                <w:color w:val="auto"/>
              </w:rPr>
            </w:pPr>
            <w:r>
              <w:rPr>
                <w:rFonts w:ascii="Arial" w:cs="Arial" w:eastAsia="Arial" w:hAnsi="Arial"/>
                <w:sz w:val="14"/>
                <w:szCs w:val="14"/>
                <w:b w:val="1"/>
                <w:bCs w:val="1"/>
                <w:color w:val="FFFFFF"/>
              </w:rPr>
              <w:t>($)</w:t>
            </w:r>
          </w:p>
        </w:tc>
        <w:tc>
          <w:tcPr>
            <w:tcW w:w="2640" w:type="dxa"/>
            <w:vAlign w:val="bottom"/>
            <w:shd w:val="clear" w:color="auto" w:fill="998C87"/>
          </w:tcPr>
          <w:p>
            <w:pPr>
              <w:jc w:val="center"/>
              <w:ind w:left="248"/>
              <w:spacing w:after="0"/>
              <w:rPr>
                <w:sz w:val="20"/>
                <w:szCs w:val="20"/>
                <w:color w:val="auto"/>
              </w:rPr>
            </w:pPr>
            <w:r>
              <w:rPr>
                <w:rFonts w:ascii="Arial" w:cs="Arial" w:eastAsia="Arial" w:hAnsi="Arial"/>
                <w:sz w:val="14"/>
                <w:szCs w:val="14"/>
                <w:b w:val="1"/>
                <w:bCs w:val="1"/>
                <w:color w:val="FFFFFF"/>
              </w:rPr>
              <w:t>Plan ($)</w:t>
            </w:r>
          </w:p>
        </w:tc>
        <w:tc>
          <w:tcPr>
            <w:tcW w:w="164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w:t>
            </w:r>
          </w:p>
        </w:tc>
        <w:tc>
          <w:tcPr>
            <w:tcW w:w="1260" w:type="dxa"/>
            <w:vAlign w:val="bottom"/>
            <w:shd w:val="clear" w:color="auto" w:fill="998C87"/>
          </w:tcPr>
          <w:p>
            <w:pPr>
              <w:jc w:val="center"/>
              <w:ind w:right="8"/>
              <w:spacing w:after="0"/>
              <w:rPr>
                <w:sz w:val="20"/>
                <w:szCs w:val="20"/>
                <w:color w:val="auto"/>
              </w:rPr>
            </w:pPr>
            <w:r>
              <w:rPr>
                <w:rFonts w:ascii="Arial" w:cs="Arial" w:eastAsia="Arial" w:hAnsi="Arial"/>
                <w:sz w:val="14"/>
                <w:szCs w:val="14"/>
                <w:b w:val="1"/>
                <w:bCs w:val="1"/>
                <w:color w:val="FFFFFF"/>
              </w:rPr>
              <w:t>($)</w:t>
            </w:r>
          </w:p>
        </w:tc>
      </w:tr>
      <w:tr>
        <w:trPr>
          <w:trHeight w:val="69"/>
        </w:trPr>
        <w:tc>
          <w:tcPr>
            <w:tcW w:w="3620" w:type="dxa"/>
            <w:vAlign w:val="bottom"/>
            <w:shd w:val="clear" w:color="auto" w:fill="998C87"/>
          </w:tcPr>
          <w:p>
            <w:pPr>
              <w:spacing w:after="0"/>
              <w:rPr>
                <w:sz w:val="6"/>
                <w:szCs w:val="6"/>
                <w:color w:val="auto"/>
              </w:rPr>
            </w:pPr>
          </w:p>
        </w:tc>
        <w:tc>
          <w:tcPr>
            <w:tcW w:w="1580" w:type="dxa"/>
            <w:vAlign w:val="bottom"/>
            <w:shd w:val="clear" w:color="auto" w:fill="998C87"/>
          </w:tcPr>
          <w:p>
            <w:pPr>
              <w:spacing w:after="0"/>
              <w:rPr>
                <w:sz w:val="6"/>
                <w:szCs w:val="6"/>
                <w:color w:val="auto"/>
              </w:rPr>
            </w:pPr>
          </w:p>
        </w:tc>
        <w:tc>
          <w:tcPr>
            <w:tcW w:w="2640" w:type="dxa"/>
            <w:vAlign w:val="bottom"/>
            <w:shd w:val="clear" w:color="auto" w:fill="998C87"/>
          </w:tcPr>
          <w:p>
            <w:pPr>
              <w:spacing w:after="0"/>
              <w:rPr>
                <w:sz w:val="6"/>
                <w:szCs w:val="6"/>
                <w:color w:val="auto"/>
              </w:rPr>
            </w:pPr>
          </w:p>
        </w:tc>
        <w:tc>
          <w:tcPr>
            <w:tcW w:w="1640" w:type="dxa"/>
            <w:vAlign w:val="bottom"/>
            <w:shd w:val="clear" w:color="auto" w:fill="998C87"/>
          </w:tcPr>
          <w:p>
            <w:pPr>
              <w:spacing w:after="0"/>
              <w:rPr>
                <w:sz w:val="6"/>
                <w:szCs w:val="6"/>
                <w:color w:val="auto"/>
              </w:rPr>
            </w:pPr>
          </w:p>
        </w:tc>
        <w:tc>
          <w:tcPr>
            <w:tcW w:w="1260" w:type="dxa"/>
            <w:vAlign w:val="bottom"/>
            <w:shd w:val="clear" w:color="auto" w:fill="998C87"/>
          </w:tcPr>
          <w:p>
            <w:pPr>
              <w:spacing w:after="0"/>
              <w:rPr>
                <w:sz w:val="6"/>
                <w:szCs w:val="6"/>
                <w:color w:val="auto"/>
              </w:rPr>
            </w:pPr>
          </w:p>
        </w:tc>
      </w:tr>
      <w:tr>
        <w:trPr>
          <w:trHeight w:val="243"/>
        </w:trPr>
        <w:tc>
          <w:tcPr>
            <w:tcW w:w="3620" w:type="dxa"/>
            <w:vAlign w:val="bottom"/>
            <w:shd w:val="clear" w:color="auto" w:fill="F4F3F3"/>
          </w:tcPr>
          <w:p>
            <w:pPr>
              <w:ind w:left="160"/>
              <w:spacing w:after="0"/>
              <w:rPr>
                <w:sz w:val="20"/>
                <w:szCs w:val="20"/>
                <w:color w:val="auto"/>
              </w:rPr>
            </w:pPr>
            <w:r>
              <w:rPr>
                <w:rFonts w:ascii="Arial" w:cs="Arial" w:eastAsia="Arial" w:hAnsi="Arial"/>
                <w:sz w:val="14"/>
                <w:szCs w:val="14"/>
                <w:color w:val="998C87"/>
              </w:rPr>
              <w:t>Mr. Marriott</w:t>
            </w:r>
          </w:p>
        </w:tc>
        <w:tc>
          <w:tcPr>
            <w:tcW w:w="1580" w:type="dxa"/>
            <w:vAlign w:val="bottom"/>
            <w:shd w:val="clear" w:color="auto" w:fill="F4F3F3"/>
          </w:tcPr>
          <w:p>
            <w:pPr>
              <w:jc w:val="right"/>
              <w:ind w:right="288"/>
              <w:spacing w:after="0"/>
              <w:rPr>
                <w:sz w:val="20"/>
                <w:szCs w:val="20"/>
                <w:color w:val="auto"/>
              </w:rPr>
            </w:pPr>
            <w:r>
              <w:rPr>
                <w:rFonts w:ascii="Arial" w:cs="Arial" w:eastAsia="Arial" w:hAnsi="Arial"/>
                <w:sz w:val="14"/>
                <w:szCs w:val="14"/>
                <w:color w:val="auto"/>
              </w:rPr>
              <w:t>8,100</w:t>
            </w:r>
          </w:p>
        </w:tc>
        <w:tc>
          <w:tcPr>
            <w:tcW w:w="2640" w:type="dxa"/>
            <w:vAlign w:val="bottom"/>
            <w:shd w:val="clear" w:color="auto" w:fill="F4F3F3"/>
          </w:tcPr>
          <w:p>
            <w:pPr>
              <w:jc w:val="right"/>
              <w:ind w:right="788"/>
              <w:spacing w:after="0"/>
              <w:rPr>
                <w:sz w:val="20"/>
                <w:szCs w:val="20"/>
                <w:color w:val="auto"/>
              </w:rPr>
            </w:pPr>
            <w:r>
              <w:rPr>
                <w:rFonts w:ascii="Arial" w:cs="Arial" w:eastAsia="Arial" w:hAnsi="Arial"/>
                <w:sz w:val="14"/>
                <w:szCs w:val="14"/>
                <w:color w:val="auto"/>
              </w:rPr>
              <w:t>112,500</w:t>
            </w:r>
          </w:p>
        </w:tc>
        <w:tc>
          <w:tcPr>
            <w:tcW w:w="1640" w:type="dxa"/>
            <w:vAlign w:val="bottom"/>
            <w:shd w:val="clear" w:color="auto" w:fill="F4F3F3"/>
          </w:tcPr>
          <w:p>
            <w:pPr>
              <w:ind w:left="620"/>
              <w:spacing w:after="0"/>
              <w:rPr>
                <w:sz w:val="20"/>
                <w:szCs w:val="20"/>
                <w:color w:val="auto"/>
              </w:rPr>
            </w:pPr>
            <w:r>
              <w:rPr>
                <w:rFonts w:ascii="Arial" w:cs="Arial" w:eastAsia="Arial" w:hAnsi="Arial"/>
                <w:sz w:val="14"/>
                <w:szCs w:val="14"/>
                <w:color w:val="auto"/>
              </w:rPr>
              <w:t>50,808</w:t>
            </w:r>
          </w:p>
        </w:tc>
        <w:tc>
          <w:tcPr>
            <w:tcW w:w="1260" w:type="dxa"/>
            <w:vAlign w:val="bottom"/>
            <w:shd w:val="clear" w:color="auto" w:fill="F4F3F3"/>
          </w:tcPr>
          <w:p>
            <w:pPr>
              <w:ind w:left="580"/>
              <w:spacing w:after="0"/>
              <w:rPr>
                <w:sz w:val="20"/>
                <w:szCs w:val="20"/>
                <w:color w:val="auto"/>
              </w:rPr>
            </w:pPr>
            <w:r>
              <w:rPr>
                <w:rFonts w:ascii="Arial" w:cs="Arial" w:eastAsia="Arial" w:hAnsi="Arial"/>
                <w:sz w:val="14"/>
                <w:szCs w:val="14"/>
                <w:color w:val="auto"/>
              </w:rPr>
              <w:t>—</w:t>
            </w:r>
          </w:p>
        </w:tc>
      </w:tr>
      <w:tr>
        <w:trPr>
          <w:trHeight w:val="189"/>
        </w:trPr>
        <w:tc>
          <w:tcPr>
            <w:tcW w:w="3620" w:type="dxa"/>
            <w:vAlign w:val="bottom"/>
            <w:shd w:val="clear" w:color="auto" w:fill="F4F3F3"/>
          </w:tcPr>
          <w:p>
            <w:pPr>
              <w:ind w:left="160"/>
              <w:spacing w:after="0"/>
              <w:rPr>
                <w:sz w:val="20"/>
                <w:szCs w:val="20"/>
                <w:color w:val="auto"/>
              </w:rPr>
            </w:pPr>
            <w:r>
              <w:rPr>
                <w:rFonts w:ascii="Arial" w:cs="Arial" w:eastAsia="Arial" w:hAnsi="Arial"/>
                <w:sz w:val="14"/>
                <w:szCs w:val="14"/>
                <w:color w:val="998C87"/>
              </w:rPr>
              <w:t>Mr. Sorenson</w:t>
            </w:r>
          </w:p>
        </w:tc>
        <w:tc>
          <w:tcPr>
            <w:tcW w:w="1580" w:type="dxa"/>
            <w:vAlign w:val="bottom"/>
            <w:shd w:val="clear" w:color="auto" w:fill="F4F3F3"/>
          </w:tcPr>
          <w:p>
            <w:pPr>
              <w:jc w:val="right"/>
              <w:ind w:right="288"/>
              <w:spacing w:after="0"/>
              <w:rPr>
                <w:sz w:val="20"/>
                <w:szCs w:val="20"/>
                <w:color w:val="auto"/>
              </w:rPr>
            </w:pPr>
            <w:r>
              <w:rPr>
                <w:rFonts w:ascii="Arial" w:cs="Arial" w:eastAsia="Arial" w:hAnsi="Arial"/>
                <w:sz w:val="14"/>
                <w:szCs w:val="14"/>
                <w:color w:val="auto"/>
              </w:rPr>
              <w:t>8,100</w:t>
            </w:r>
          </w:p>
        </w:tc>
        <w:tc>
          <w:tcPr>
            <w:tcW w:w="2640" w:type="dxa"/>
            <w:vAlign w:val="bottom"/>
            <w:shd w:val="clear" w:color="auto" w:fill="F4F3F3"/>
          </w:tcPr>
          <w:p>
            <w:pPr>
              <w:jc w:val="right"/>
              <w:ind w:right="788"/>
              <w:spacing w:after="0"/>
              <w:rPr>
                <w:sz w:val="20"/>
                <w:szCs w:val="20"/>
                <w:color w:val="auto"/>
              </w:rPr>
            </w:pPr>
            <w:r>
              <w:rPr>
                <w:rFonts w:ascii="Arial" w:cs="Arial" w:eastAsia="Arial" w:hAnsi="Arial"/>
                <w:sz w:val="14"/>
                <w:szCs w:val="14"/>
                <w:color w:val="auto"/>
              </w:rPr>
              <w:t>152,120</w:t>
            </w:r>
          </w:p>
        </w:tc>
        <w:tc>
          <w:tcPr>
            <w:tcW w:w="1640" w:type="dxa"/>
            <w:vAlign w:val="bottom"/>
            <w:shd w:val="clear" w:color="auto" w:fill="F4F3F3"/>
          </w:tcPr>
          <w:p>
            <w:pPr>
              <w:ind w:left="840"/>
              <w:spacing w:after="0"/>
              <w:rPr>
                <w:sz w:val="20"/>
                <w:szCs w:val="20"/>
                <w:color w:val="auto"/>
              </w:rPr>
            </w:pPr>
            <w:r>
              <w:rPr>
                <w:rFonts w:ascii="Arial" w:cs="Arial" w:eastAsia="Arial" w:hAnsi="Arial"/>
                <w:sz w:val="14"/>
                <w:szCs w:val="14"/>
                <w:color w:val="auto"/>
              </w:rPr>
              <w:t>—</w:t>
            </w:r>
          </w:p>
        </w:tc>
        <w:tc>
          <w:tcPr>
            <w:tcW w:w="1260" w:type="dxa"/>
            <w:vAlign w:val="bottom"/>
            <w:shd w:val="clear" w:color="auto" w:fill="F4F3F3"/>
          </w:tcPr>
          <w:p>
            <w:pPr>
              <w:jc w:val="center"/>
              <w:ind w:right="28"/>
              <w:spacing w:after="0"/>
              <w:rPr>
                <w:sz w:val="20"/>
                <w:szCs w:val="20"/>
                <w:color w:val="auto"/>
              </w:rPr>
            </w:pPr>
            <w:r>
              <w:rPr>
                <w:rFonts w:ascii="Arial" w:cs="Arial" w:eastAsia="Arial" w:hAnsi="Arial"/>
                <w:sz w:val="14"/>
                <w:szCs w:val="14"/>
                <w:color w:val="auto"/>
              </w:rPr>
              <w:t>27,270</w:t>
            </w:r>
          </w:p>
        </w:tc>
      </w:tr>
      <w:tr>
        <w:trPr>
          <w:trHeight w:val="189"/>
        </w:trPr>
        <w:tc>
          <w:tcPr>
            <w:tcW w:w="3620" w:type="dxa"/>
            <w:vAlign w:val="bottom"/>
            <w:shd w:val="clear" w:color="auto" w:fill="F4F3F3"/>
          </w:tcPr>
          <w:p>
            <w:pPr>
              <w:ind w:left="160"/>
              <w:spacing w:after="0"/>
              <w:rPr>
                <w:sz w:val="20"/>
                <w:szCs w:val="20"/>
                <w:color w:val="auto"/>
              </w:rPr>
            </w:pPr>
            <w:r>
              <w:rPr>
                <w:rFonts w:ascii="Arial" w:cs="Arial" w:eastAsia="Arial" w:hAnsi="Arial"/>
                <w:sz w:val="14"/>
                <w:szCs w:val="14"/>
                <w:color w:val="998C87"/>
              </w:rPr>
              <w:t>Mr. Capuano</w:t>
            </w:r>
          </w:p>
        </w:tc>
        <w:tc>
          <w:tcPr>
            <w:tcW w:w="1580" w:type="dxa"/>
            <w:vAlign w:val="bottom"/>
            <w:shd w:val="clear" w:color="auto" w:fill="F4F3F3"/>
          </w:tcPr>
          <w:p>
            <w:pPr>
              <w:jc w:val="right"/>
              <w:ind w:right="288"/>
              <w:spacing w:after="0"/>
              <w:rPr>
                <w:sz w:val="20"/>
                <w:szCs w:val="20"/>
                <w:color w:val="auto"/>
              </w:rPr>
            </w:pPr>
            <w:r>
              <w:rPr>
                <w:rFonts w:ascii="Arial" w:cs="Arial" w:eastAsia="Arial" w:hAnsi="Arial"/>
                <w:sz w:val="14"/>
                <w:szCs w:val="14"/>
                <w:color w:val="auto"/>
              </w:rPr>
              <w:t>8,100</w:t>
            </w:r>
          </w:p>
        </w:tc>
        <w:tc>
          <w:tcPr>
            <w:tcW w:w="2640" w:type="dxa"/>
            <w:vAlign w:val="bottom"/>
            <w:shd w:val="clear" w:color="auto" w:fill="F4F3F3"/>
          </w:tcPr>
          <w:p>
            <w:pPr>
              <w:jc w:val="right"/>
              <w:ind w:right="788"/>
              <w:spacing w:after="0"/>
              <w:rPr>
                <w:sz w:val="20"/>
                <w:szCs w:val="20"/>
                <w:color w:val="auto"/>
              </w:rPr>
            </w:pPr>
            <w:r>
              <w:rPr>
                <w:rFonts w:ascii="Arial" w:cs="Arial" w:eastAsia="Arial" w:hAnsi="Arial"/>
                <w:sz w:val="14"/>
                <w:szCs w:val="14"/>
                <w:color w:val="auto"/>
              </w:rPr>
              <w:t>18,000</w:t>
            </w:r>
          </w:p>
        </w:tc>
        <w:tc>
          <w:tcPr>
            <w:tcW w:w="1640" w:type="dxa"/>
            <w:vAlign w:val="bottom"/>
            <w:shd w:val="clear" w:color="auto" w:fill="F4F3F3"/>
          </w:tcPr>
          <w:p>
            <w:pPr>
              <w:ind w:left="840"/>
              <w:spacing w:after="0"/>
              <w:rPr>
                <w:sz w:val="20"/>
                <w:szCs w:val="20"/>
                <w:color w:val="auto"/>
              </w:rPr>
            </w:pPr>
            <w:r>
              <w:rPr>
                <w:rFonts w:ascii="Arial" w:cs="Arial" w:eastAsia="Arial" w:hAnsi="Arial"/>
                <w:sz w:val="14"/>
                <w:szCs w:val="14"/>
                <w:color w:val="auto"/>
              </w:rPr>
              <w:t>—</w:t>
            </w:r>
          </w:p>
        </w:tc>
        <w:tc>
          <w:tcPr>
            <w:tcW w:w="1260" w:type="dxa"/>
            <w:vAlign w:val="bottom"/>
            <w:shd w:val="clear" w:color="auto" w:fill="F4F3F3"/>
          </w:tcPr>
          <w:p>
            <w:pPr>
              <w:jc w:val="center"/>
              <w:ind w:right="28"/>
              <w:spacing w:after="0"/>
              <w:rPr>
                <w:sz w:val="20"/>
                <w:szCs w:val="20"/>
                <w:color w:val="auto"/>
              </w:rPr>
            </w:pPr>
            <w:r>
              <w:rPr>
                <w:rFonts w:ascii="Arial" w:cs="Arial" w:eastAsia="Arial" w:hAnsi="Arial"/>
                <w:sz w:val="14"/>
                <w:szCs w:val="14"/>
                <w:color w:val="auto"/>
              </w:rPr>
              <w:t>19,147</w:t>
            </w:r>
          </w:p>
        </w:tc>
      </w:tr>
      <w:tr>
        <w:trPr>
          <w:trHeight w:val="189"/>
        </w:trPr>
        <w:tc>
          <w:tcPr>
            <w:tcW w:w="3620" w:type="dxa"/>
            <w:vAlign w:val="bottom"/>
            <w:shd w:val="clear" w:color="auto" w:fill="F4F3F3"/>
          </w:tcPr>
          <w:p>
            <w:pPr>
              <w:ind w:left="160"/>
              <w:spacing w:after="0"/>
              <w:rPr>
                <w:sz w:val="20"/>
                <w:szCs w:val="20"/>
                <w:color w:val="auto"/>
              </w:rPr>
            </w:pPr>
            <w:r>
              <w:rPr>
                <w:rFonts w:ascii="Arial" w:cs="Arial" w:eastAsia="Arial" w:hAnsi="Arial"/>
                <w:sz w:val="14"/>
                <w:szCs w:val="14"/>
                <w:color w:val="998C87"/>
              </w:rPr>
              <w:t>Ms. Linnartz</w:t>
            </w:r>
          </w:p>
        </w:tc>
        <w:tc>
          <w:tcPr>
            <w:tcW w:w="1580" w:type="dxa"/>
            <w:vAlign w:val="bottom"/>
            <w:shd w:val="clear" w:color="auto" w:fill="F4F3F3"/>
          </w:tcPr>
          <w:p>
            <w:pPr>
              <w:jc w:val="right"/>
              <w:ind w:right="288"/>
              <w:spacing w:after="0"/>
              <w:rPr>
                <w:sz w:val="20"/>
                <w:szCs w:val="20"/>
                <w:color w:val="auto"/>
              </w:rPr>
            </w:pPr>
            <w:r>
              <w:rPr>
                <w:rFonts w:ascii="Arial" w:cs="Arial" w:eastAsia="Arial" w:hAnsi="Arial"/>
                <w:sz w:val="14"/>
                <w:szCs w:val="14"/>
                <w:color w:val="auto"/>
              </w:rPr>
              <w:t>8,100</w:t>
            </w:r>
          </w:p>
        </w:tc>
        <w:tc>
          <w:tcPr>
            <w:tcW w:w="2640" w:type="dxa"/>
            <w:vAlign w:val="bottom"/>
            <w:shd w:val="clear" w:color="auto" w:fill="F4F3F3"/>
          </w:tcPr>
          <w:p>
            <w:pPr>
              <w:jc w:val="right"/>
              <w:ind w:right="788"/>
              <w:spacing w:after="0"/>
              <w:rPr>
                <w:sz w:val="20"/>
                <w:szCs w:val="20"/>
                <w:color w:val="auto"/>
              </w:rPr>
            </w:pPr>
            <w:r>
              <w:rPr>
                <w:rFonts w:ascii="Arial" w:cs="Arial" w:eastAsia="Arial" w:hAnsi="Arial"/>
                <w:sz w:val="14"/>
                <w:szCs w:val="14"/>
                <w:color w:val="auto"/>
              </w:rPr>
              <w:t>34,879</w:t>
            </w:r>
          </w:p>
        </w:tc>
        <w:tc>
          <w:tcPr>
            <w:tcW w:w="1640" w:type="dxa"/>
            <w:vAlign w:val="bottom"/>
            <w:shd w:val="clear" w:color="auto" w:fill="F4F3F3"/>
          </w:tcPr>
          <w:p>
            <w:pPr>
              <w:ind w:left="840"/>
              <w:spacing w:after="0"/>
              <w:rPr>
                <w:sz w:val="20"/>
                <w:szCs w:val="20"/>
                <w:color w:val="auto"/>
              </w:rPr>
            </w:pPr>
            <w:r>
              <w:rPr>
                <w:rFonts w:ascii="Arial" w:cs="Arial" w:eastAsia="Arial" w:hAnsi="Arial"/>
                <w:sz w:val="14"/>
                <w:szCs w:val="14"/>
                <w:color w:val="auto"/>
              </w:rPr>
              <w:t>—</w:t>
            </w:r>
          </w:p>
        </w:tc>
        <w:tc>
          <w:tcPr>
            <w:tcW w:w="1260" w:type="dxa"/>
            <w:vAlign w:val="bottom"/>
            <w:shd w:val="clear" w:color="auto" w:fill="F4F3F3"/>
          </w:tcPr>
          <w:p>
            <w:pPr>
              <w:jc w:val="center"/>
              <w:ind w:right="28"/>
              <w:spacing w:after="0"/>
              <w:rPr>
                <w:sz w:val="20"/>
                <w:szCs w:val="20"/>
                <w:color w:val="auto"/>
              </w:rPr>
            </w:pPr>
            <w:r>
              <w:rPr>
                <w:rFonts w:ascii="Arial" w:cs="Arial" w:eastAsia="Arial" w:hAnsi="Arial"/>
                <w:sz w:val="14"/>
                <w:szCs w:val="14"/>
                <w:color w:val="auto"/>
              </w:rPr>
              <w:t>28,959</w:t>
            </w:r>
          </w:p>
        </w:tc>
      </w:tr>
      <w:tr>
        <w:trPr>
          <w:trHeight w:val="189"/>
        </w:trPr>
        <w:tc>
          <w:tcPr>
            <w:tcW w:w="3620" w:type="dxa"/>
            <w:vAlign w:val="bottom"/>
            <w:shd w:val="clear" w:color="auto" w:fill="F4F3F3"/>
          </w:tcPr>
          <w:p>
            <w:pPr>
              <w:ind w:left="160"/>
              <w:spacing w:after="0"/>
              <w:rPr>
                <w:sz w:val="20"/>
                <w:szCs w:val="20"/>
                <w:color w:val="auto"/>
              </w:rPr>
            </w:pPr>
            <w:r>
              <w:rPr>
                <w:rFonts w:ascii="Arial" w:cs="Arial" w:eastAsia="Arial" w:hAnsi="Arial"/>
                <w:sz w:val="14"/>
                <w:szCs w:val="14"/>
                <w:color w:val="998C87"/>
              </w:rPr>
              <w:t>Mr. Grissen</w:t>
            </w:r>
          </w:p>
        </w:tc>
        <w:tc>
          <w:tcPr>
            <w:tcW w:w="1580" w:type="dxa"/>
            <w:vAlign w:val="bottom"/>
            <w:shd w:val="clear" w:color="auto" w:fill="F4F3F3"/>
          </w:tcPr>
          <w:p>
            <w:pPr>
              <w:jc w:val="right"/>
              <w:ind w:right="288"/>
              <w:spacing w:after="0"/>
              <w:rPr>
                <w:sz w:val="20"/>
                <w:szCs w:val="20"/>
                <w:color w:val="auto"/>
              </w:rPr>
            </w:pPr>
            <w:r>
              <w:rPr>
                <w:rFonts w:ascii="Arial" w:cs="Arial" w:eastAsia="Arial" w:hAnsi="Arial"/>
                <w:sz w:val="14"/>
                <w:szCs w:val="14"/>
                <w:color w:val="auto"/>
              </w:rPr>
              <w:t>8,100</w:t>
            </w:r>
          </w:p>
        </w:tc>
        <w:tc>
          <w:tcPr>
            <w:tcW w:w="2640" w:type="dxa"/>
            <w:vAlign w:val="bottom"/>
            <w:shd w:val="clear" w:color="auto" w:fill="F4F3F3"/>
          </w:tcPr>
          <w:p>
            <w:pPr>
              <w:jc w:val="right"/>
              <w:ind w:right="788"/>
              <w:spacing w:after="0"/>
              <w:rPr>
                <w:sz w:val="20"/>
                <w:szCs w:val="20"/>
                <w:color w:val="auto"/>
              </w:rPr>
            </w:pPr>
            <w:r>
              <w:rPr>
                <w:rFonts w:ascii="Arial" w:cs="Arial" w:eastAsia="Arial" w:hAnsi="Arial"/>
                <w:sz w:val="14"/>
                <w:szCs w:val="14"/>
                <w:color w:val="auto"/>
              </w:rPr>
              <w:t>60,541</w:t>
            </w:r>
          </w:p>
        </w:tc>
        <w:tc>
          <w:tcPr>
            <w:tcW w:w="1640" w:type="dxa"/>
            <w:vAlign w:val="bottom"/>
            <w:shd w:val="clear" w:color="auto" w:fill="F4F3F3"/>
          </w:tcPr>
          <w:p>
            <w:pPr>
              <w:ind w:left="840"/>
              <w:spacing w:after="0"/>
              <w:rPr>
                <w:sz w:val="20"/>
                <w:szCs w:val="20"/>
                <w:color w:val="auto"/>
              </w:rPr>
            </w:pPr>
            <w:r>
              <w:rPr>
                <w:rFonts w:ascii="Arial" w:cs="Arial" w:eastAsia="Arial" w:hAnsi="Arial"/>
                <w:sz w:val="14"/>
                <w:szCs w:val="14"/>
                <w:color w:val="auto"/>
              </w:rPr>
              <w:t>—</w:t>
            </w:r>
          </w:p>
        </w:tc>
        <w:tc>
          <w:tcPr>
            <w:tcW w:w="1260" w:type="dxa"/>
            <w:vAlign w:val="bottom"/>
            <w:shd w:val="clear" w:color="auto" w:fill="F4F3F3"/>
          </w:tcPr>
          <w:p>
            <w:pPr>
              <w:ind w:left="580"/>
              <w:spacing w:after="0"/>
              <w:rPr>
                <w:sz w:val="20"/>
                <w:szCs w:val="20"/>
                <w:color w:val="auto"/>
              </w:rPr>
            </w:pPr>
            <w:r>
              <w:rPr>
                <w:rFonts w:ascii="Arial" w:cs="Arial" w:eastAsia="Arial" w:hAnsi="Arial"/>
                <w:sz w:val="14"/>
                <w:szCs w:val="14"/>
                <w:color w:val="auto"/>
              </w:rPr>
              <w:t>—</w:t>
            </w:r>
          </w:p>
        </w:tc>
      </w:tr>
      <w:tr>
        <w:trPr>
          <w:trHeight w:val="189"/>
        </w:trPr>
        <w:tc>
          <w:tcPr>
            <w:tcW w:w="3620" w:type="dxa"/>
            <w:vAlign w:val="bottom"/>
            <w:shd w:val="clear" w:color="auto" w:fill="F4F3F3"/>
          </w:tcPr>
          <w:p>
            <w:pPr>
              <w:ind w:left="160"/>
              <w:spacing w:after="0"/>
              <w:rPr>
                <w:sz w:val="20"/>
                <w:szCs w:val="20"/>
                <w:color w:val="auto"/>
              </w:rPr>
            </w:pPr>
            <w:r>
              <w:rPr>
                <w:rFonts w:ascii="Arial" w:cs="Arial" w:eastAsia="Arial" w:hAnsi="Arial"/>
                <w:sz w:val="14"/>
                <w:szCs w:val="14"/>
                <w:color w:val="998C87"/>
              </w:rPr>
              <w:t>Ms. Oberg</w:t>
            </w:r>
          </w:p>
        </w:tc>
        <w:tc>
          <w:tcPr>
            <w:tcW w:w="1580" w:type="dxa"/>
            <w:vAlign w:val="bottom"/>
            <w:shd w:val="clear" w:color="auto" w:fill="F4F3F3"/>
          </w:tcPr>
          <w:p>
            <w:pPr>
              <w:jc w:val="right"/>
              <w:ind w:right="288"/>
              <w:spacing w:after="0"/>
              <w:rPr>
                <w:sz w:val="20"/>
                <w:szCs w:val="20"/>
                <w:color w:val="auto"/>
              </w:rPr>
            </w:pPr>
            <w:r>
              <w:rPr>
                <w:rFonts w:ascii="Arial" w:cs="Arial" w:eastAsia="Arial" w:hAnsi="Arial"/>
                <w:sz w:val="14"/>
                <w:szCs w:val="14"/>
                <w:color w:val="auto"/>
              </w:rPr>
              <w:t>8,100</w:t>
            </w:r>
          </w:p>
        </w:tc>
        <w:tc>
          <w:tcPr>
            <w:tcW w:w="2640" w:type="dxa"/>
            <w:vAlign w:val="bottom"/>
            <w:shd w:val="clear" w:color="auto" w:fill="F4F3F3"/>
          </w:tcPr>
          <w:p>
            <w:pPr>
              <w:jc w:val="right"/>
              <w:ind w:right="788"/>
              <w:spacing w:after="0"/>
              <w:rPr>
                <w:sz w:val="20"/>
                <w:szCs w:val="20"/>
                <w:color w:val="auto"/>
              </w:rPr>
            </w:pPr>
            <w:r>
              <w:rPr>
                <w:rFonts w:ascii="Arial" w:cs="Arial" w:eastAsia="Arial" w:hAnsi="Arial"/>
                <w:sz w:val="14"/>
                <w:szCs w:val="14"/>
                <w:color w:val="auto"/>
              </w:rPr>
              <w:t>55,305</w:t>
            </w:r>
          </w:p>
        </w:tc>
        <w:tc>
          <w:tcPr>
            <w:tcW w:w="1640" w:type="dxa"/>
            <w:vAlign w:val="bottom"/>
            <w:shd w:val="clear" w:color="auto" w:fill="F4F3F3"/>
          </w:tcPr>
          <w:p>
            <w:pPr>
              <w:ind w:left="840"/>
              <w:spacing w:after="0"/>
              <w:rPr>
                <w:sz w:val="20"/>
                <w:szCs w:val="20"/>
                <w:color w:val="auto"/>
              </w:rPr>
            </w:pPr>
            <w:r>
              <w:rPr>
                <w:rFonts w:ascii="Arial" w:cs="Arial" w:eastAsia="Arial" w:hAnsi="Arial"/>
                <w:sz w:val="14"/>
                <w:szCs w:val="14"/>
                <w:color w:val="auto"/>
              </w:rPr>
              <w:t>—</w:t>
            </w:r>
          </w:p>
        </w:tc>
        <w:tc>
          <w:tcPr>
            <w:tcW w:w="1260" w:type="dxa"/>
            <w:vAlign w:val="bottom"/>
            <w:shd w:val="clear" w:color="auto" w:fill="F4F3F3"/>
          </w:tcPr>
          <w:p>
            <w:pPr>
              <w:jc w:val="center"/>
              <w:ind w:right="28"/>
              <w:spacing w:after="0"/>
              <w:rPr>
                <w:sz w:val="20"/>
                <w:szCs w:val="20"/>
                <w:color w:val="auto"/>
              </w:rPr>
            </w:pPr>
            <w:r>
              <w:rPr>
                <w:rFonts w:ascii="Arial" w:cs="Arial" w:eastAsia="Arial" w:hAnsi="Arial"/>
                <w:sz w:val="14"/>
                <w:szCs w:val="14"/>
                <w:color w:val="auto"/>
              </w:rPr>
              <w:t>13,762</w:t>
            </w:r>
          </w:p>
        </w:tc>
      </w:tr>
    </w:tbl>
    <w:p>
      <w:pPr>
        <w:spacing w:after="0" w:line="93" w:lineRule="exact"/>
        <w:rPr>
          <w:sz w:val="20"/>
          <w:szCs w:val="20"/>
          <w:color w:val="auto"/>
        </w:rPr>
      </w:pPr>
    </w:p>
    <w:p>
      <w:pPr>
        <w:ind w:left="220" w:right="20"/>
        <w:spacing w:after="0" w:line="239" w:lineRule="auto"/>
        <w:rPr>
          <w:sz w:val="20"/>
          <w:szCs w:val="20"/>
          <w:color w:val="auto"/>
        </w:rPr>
      </w:pPr>
      <w:r>
        <w:rPr>
          <w:rFonts w:ascii="Arial" w:cs="Arial" w:eastAsia="Arial" w:hAnsi="Arial"/>
          <w:sz w:val="17"/>
          <w:szCs w:val="17"/>
          <w:color w:val="auto"/>
        </w:rPr>
        <w:t>The value of the personal use of the Company jet is the sum of allocable flight-specific costs of the personal flights (including, where applicable, return flights with no passengers) such as landing fees, crew costs and other related items, and the product of (i) all other costs of maintaining and flying the jet for the billable year other than certain fixed expenses such as pilot compensation, management fee and hangar rental costs, multiplied by (ii) a fraction the numerator of which is the individual’s personal flight hours on the jet for the billable year and the denominator of which is the total flight hours of the jet for the billable year. Although amounts are reported for aircraft use during the Company’s fiscal year, incremental cost is calculated on the basis of a December 1 through November 30 billable year, which reflects the contract service period used for billing by a third-party aircraft management company.</w:t>
      </w:r>
    </w:p>
    <w:p>
      <w:pPr>
        <w:spacing w:after="0" w:line="112" w:lineRule="exact"/>
        <w:rPr>
          <w:sz w:val="20"/>
          <w:szCs w:val="20"/>
          <w:color w:val="auto"/>
        </w:rPr>
      </w:pPr>
    </w:p>
    <w:p>
      <w:pPr>
        <w:ind w:left="540" w:hanging="330"/>
        <w:spacing w:after="0"/>
        <w:tabs>
          <w:tab w:leader="none" w:pos="540" w:val="left"/>
        </w:tabs>
        <w:numPr>
          <w:ilvl w:val="0"/>
          <w:numId w:val="105"/>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20"/>
          </w:cols>
          <w:pgMar w:left="240" w:top="455" w:right="4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ind w:left="8660"/>
        <w:spacing w:after="0"/>
        <w:rPr>
          <w:sz w:val="20"/>
          <w:szCs w:val="20"/>
          <w:color w:val="auto"/>
        </w:rPr>
      </w:pPr>
      <w:r>
        <w:rPr>
          <w:rFonts w:ascii="Arial" w:cs="Arial" w:eastAsia="Arial" w:hAnsi="Arial"/>
          <w:sz w:val="15"/>
          <w:szCs w:val="15"/>
          <w:color w:val="7F7F7F"/>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Grants of Plan-Based Awards for Fiscal 2017</w:t>
      </w:r>
    </w:p>
    <w:p>
      <w:pPr>
        <w:spacing w:after="0" w:line="10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presents the plan-based awards granted to the NEOs in 2017.</w:t>
      </w:r>
    </w:p>
    <w:p>
      <w:pPr>
        <w:spacing w:after="0" w:line="228"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2400" w:type="dxa"/>
            <w:vAlign w:val="bottom"/>
            <w:shd w:val="clear" w:color="auto" w:fill="998C87"/>
          </w:tcPr>
          <w:p>
            <w:pPr>
              <w:spacing w:after="0"/>
              <w:rPr>
                <w:sz w:val="13"/>
                <w:szCs w:val="13"/>
                <w:color w:val="auto"/>
              </w:rPr>
            </w:pPr>
          </w:p>
        </w:tc>
        <w:tc>
          <w:tcPr>
            <w:tcW w:w="100" w:type="dxa"/>
            <w:vAlign w:val="bottom"/>
            <w:shd w:val="clear" w:color="auto" w:fill="998C87"/>
          </w:tcPr>
          <w:p>
            <w:pPr>
              <w:spacing w:after="0"/>
              <w:rPr>
                <w:sz w:val="13"/>
                <w:szCs w:val="13"/>
                <w:color w:val="auto"/>
              </w:rPr>
            </w:pPr>
          </w:p>
        </w:tc>
        <w:tc>
          <w:tcPr>
            <w:tcW w:w="520" w:type="dxa"/>
            <w:vAlign w:val="bottom"/>
            <w:shd w:val="clear" w:color="auto" w:fill="998C87"/>
          </w:tcPr>
          <w:p>
            <w:pPr>
              <w:spacing w:after="0"/>
              <w:rPr>
                <w:sz w:val="13"/>
                <w:szCs w:val="13"/>
                <w:color w:val="auto"/>
              </w:rPr>
            </w:pPr>
          </w:p>
        </w:tc>
        <w:tc>
          <w:tcPr>
            <w:tcW w:w="100" w:type="dxa"/>
            <w:vAlign w:val="bottom"/>
            <w:shd w:val="clear" w:color="auto" w:fill="998C87"/>
          </w:tcPr>
          <w:p>
            <w:pPr>
              <w:spacing w:after="0"/>
              <w:rPr>
                <w:sz w:val="13"/>
                <w:szCs w:val="13"/>
                <w:color w:val="auto"/>
              </w:rPr>
            </w:pPr>
          </w:p>
        </w:tc>
        <w:tc>
          <w:tcPr>
            <w:tcW w:w="600" w:type="dxa"/>
            <w:vAlign w:val="bottom"/>
            <w:shd w:val="clear" w:color="auto" w:fill="998C87"/>
          </w:tcPr>
          <w:p>
            <w:pPr>
              <w:spacing w:after="0"/>
              <w:rPr>
                <w:sz w:val="13"/>
                <w:szCs w:val="13"/>
                <w:color w:val="auto"/>
              </w:rPr>
            </w:pPr>
          </w:p>
        </w:tc>
        <w:tc>
          <w:tcPr>
            <w:tcW w:w="60" w:type="dxa"/>
            <w:vAlign w:val="bottom"/>
            <w:shd w:val="clear" w:color="auto" w:fill="998C87"/>
          </w:tcPr>
          <w:p>
            <w:pPr>
              <w:spacing w:after="0"/>
              <w:rPr>
                <w:sz w:val="13"/>
                <w:szCs w:val="13"/>
                <w:color w:val="auto"/>
              </w:rPr>
            </w:pPr>
          </w:p>
        </w:tc>
        <w:tc>
          <w:tcPr>
            <w:tcW w:w="40" w:type="dxa"/>
            <w:vAlign w:val="bottom"/>
            <w:shd w:val="clear" w:color="auto" w:fill="998C87"/>
          </w:tcPr>
          <w:p>
            <w:pPr>
              <w:spacing w:after="0"/>
              <w:rPr>
                <w:sz w:val="13"/>
                <w:szCs w:val="13"/>
                <w:color w:val="auto"/>
              </w:rPr>
            </w:pPr>
          </w:p>
        </w:tc>
        <w:tc>
          <w:tcPr>
            <w:tcW w:w="580" w:type="dxa"/>
            <w:vAlign w:val="bottom"/>
            <w:shd w:val="clear" w:color="auto" w:fill="998C87"/>
          </w:tcPr>
          <w:p>
            <w:pPr>
              <w:spacing w:after="0"/>
              <w:rPr>
                <w:sz w:val="13"/>
                <w:szCs w:val="13"/>
                <w:color w:val="auto"/>
              </w:rPr>
            </w:pPr>
          </w:p>
        </w:tc>
        <w:tc>
          <w:tcPr>
            <w:tcW w:w="200" w:type="dxa"/>
            <w:vAlign w:val="bottom"/>
            <w:shd w:val="clear" w:color="auto" w:fill="998C87"/>
          </w:tcPr>
          <w:p>
            <w:pPr>
              <w:spacing w:after="0"/>
              <w:rPr>
                <w:sz w:val="13"/>
                <w:szCs w:val="13"/>
                <w:color w:val="auto"/>
              </w:rPr>
            </w:pPr>
          </w:p>
        </w:tc>
        <w:tc>
          <w:tcPr>
            <w:tcW w:w="720" w:type="dxa"/>
            <w:vAlign w:val="bottom"/>
            <w:shd w:val="clear" w:color="auto" w:fill="998C87"/>
          </w:tcPr>
          <w:p>
            <w:pPr>
              <w:spacing w:after="0"/>
              <w:rPr>
                <w:sz w:val="13"/>
                <w:szCs w:val="13"/>
                <w:color w:val="auto"/>
              </w:rPr>
            </w:pPr>
          </w:p>
        </w:tc>
        <w:tc>
          <w:tcPr>
            <w:tcW w:w="680" w:type="dxa"/>
            <w:vAlign w:val="bottom"/>
            <w:shd w:val="clear" w:color="auto" w:fill="998C87"/>
          </w:tcPr>
          <w:p>
            <w:pPr>
              <w:spacing w:after="0"/>
              <w:rPr>
                <w:sz w:val="13"/>
                <w:szCs w:val="13"/>
                <w:color w:val="auto"/>
              </w:rPr>
            </w:pPr>
          </w:p>
        </w:tc>
        <w:tc>
          <w:tcPr>
            <w:tcW w:w="60" w:type="dxa"/>
            <w:vAlign w:val="bottom"/>
            <w:shd w:val="clear" w:color="auto" w:fill="998C87"/>
          </w:tcPr>
          <w:p>
            <w:pPr>
              <w:spacing w:after="0"/>
              <w:rPr>
                <w:sz w:val="13"/>
                <w:szCs w:val="13"/>
                <w:color w:val="auto"/>
              </w:rPr>
            </w:pPr>
          </w:p>
        </w:tc>
        <w:tc>
          <w:tcPr>
            <w:tcW w:w="60" w:type="dxa"/>
            <w:vAlign w:val="bottom"/>
            <w:shd w:val="clear" w:color="auto" w:fill="998C87"/>
          </w:tcPr>
          <w:p>
            <w:pPr>
              <w:spacing w:after="0"/>
              <w:rPr>
                <w:sz w:val="13"/>
                <w:szCs w:val="13"/>
                <w:color w:val="auto"/>
              </w:rPr>
            </w:pPr>
          </w:p>
        </w:tc>
        <w:tc>
          <w:tcPr>
            <w:tcW w:w="580" w:type="dxa"/>
            <w:vAlign w:val="bottom"/>
            <w:shd w:val="clear" w:color="auto" w:fill="998C87"/>
          </w:tcPr>
          <w:p>
            <w:pPr>
              <w:spacing w:after="0"/>
              <w:rPr>
                <w:sz w:val="13"/>
                <w:szCs w:val="13"/>
                <w:color w:val="auto"/>
              </w:rPr>
            </w:pPr>
          </w:p>
        </w:tc>
        <w:tc>
          <w:tcPr>
            <w:tcW w:w="120" w:type="dxa"/>
            <w:vAlign w:val="bottom"/>
            <w:shd w:val="clear" w:color="auto" w:fill="998C87"/>
          </w:tcPr>
          <w:p>
            <w:pPr>
              <w:spacing w:after="0"/>
              <w:rPr>
                <w:sz w:val="13"/>
                <w:szCs w:val="13"/>
                <w:color w:val="auto"/>
              </w:rPr>
            </w:pPr>
          </w:p>
        </w:tc>
        <w:tc>
          <w:tcPr>
            <w:tcW w:w="560" w:type="dxa"/>
            <w:vAlign w:val="bottom"/>
            <w:shd w:val="clear" w:color="auto" w:fill="998C87"/>
          </w:tcPr>
          <w:p>
            <w:pPr>
              <w:spacing w:after="0"/>
              <w:rPr>
                <w:sz w:val="13"/>
                <w:szCs w:val="13"/>
                <w:color w:val="auto"/>
              </w:rPr>
            </w:pPr>
          </w:p>
        </w:tc>
        <w:tc>
          <w:tcPr>
            <w:tcW w:w="820" w:type="dxa"/>
            <w:vAlign w:val="bottom"/>
            <w:shd w:val="clear" w:color="auto" w:fill="998C87"/>
          </w:tcPr>
          <w:p>
            <w:pPr>
              <w:spacing w:after="0"/>
              <w:rPr>
                <w:sz w:val="13"/>
                <w:szCs w:val="13"/>
                <w:color w:val="auto"/>
              </w:rPr>
            </w:pPr>
          </w:p>
        </w:tc>
        <w:tc>
          <w:tcPr>
            <w:tcW w:w="600" w:type="dxa"/>
            <w:vAlign w:val="bottom"/>
            <w:shd w:val="clear" w:color="auto" w:fill="998C87"/>
          </w:tcPr>
          <w:p>
            <w:pPr>
              <w:jc w:val="center"/>
              <w:ind w:right="17"/>
              <w:spacing w:after="0"/>
              <w:rPr>
                <w:sz w:val="20"/>
                <w:szCs w:val="20"/>
                <w:color w:val="auto"/>
              </w:rPr>
            </w:pPr>
            <w:r>
              <w:rPr>
                <w:rFonts w:ascii="Arial" w:cs="Arial" w:eastAsia="Arial" w:hAnsi="Arial"/>
                <w:sz w:val="13"/>
                <w:szCs w:val="13"/>
                <w:b w:val="1"/>
                <w:bCs w:val="1"/>
                <w:color w:val="FFFFFF"/>
                <w:w w:val="96"/>
              </w:rPr>
              <w:t>All</w:t>
            </w:r>
          </w:p>
        </w:tc>
        <w:tc>
          <w:tcPr>
            <w:tcW w:w="780" w:type="dxa"/>
            <w:vAlign w:val="bottom"/>
            <w:shd w:val="clear" w:color="auto" w:fill="998C87"/>
          </w:tcPr>
          <w:p>
            <w:pPr>
              <w:spacing w:after="0"/>
              <w:rPr>
                <w:sz w:val="13"/>
                <w:szCs w:val="13"/>
                <w:color w:val="auto"/>
              </w:rPr>
            </w:pPr>
          </w:p>
        </w:tc>
        <w:tc>
          <w:tcPr>
            <w:tcW w:w="680" w:type="dxa"/>
            <w:vAlign w:val="bottom"/>
            <w:shd w:val="clear" w:color="auto" w:fill="998C87"/>
          </w:tcPr>
          <w:p>
            <w:pPr>
              <w:spacing w:after="0"/>
              <w:rPr>
                <w:sz w:val="13"/>
                <w:szCs w:val="13"/>
                <w:color w:val="auto"/>
              </w:rPr>
            </w:pPr>
          </w:p>
        </w:tc>
        <w:tc>
          <w:tcPr>
            <w:tcW w:w="740" w:type="dxa"/>
            <w:vAlign w:val="bottom"/>
            <w:shd w:val="clear" w:color="auto" w:fill="998C87"/>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400" w:type="dxa"/>
            <w:vAlign w:val="bottom"/>
            <w:shd w:val="clear" w:color="auto" w:fill="998C87"/>
          </w:tcPr>
          <w:p>
            <w:pPr>
              <w:spacing w:after="0"/>
              <w:rPr>
                <w:sz w:val="11"/>
                <w:szCs w:val="11"/>
                <w:color w:val="auto"/>
              </w:rPr>
            </w:pPr>
          </w:p>
        </w:tc>
        <w:tc>
          <w:tcPr>
            <w:tcW w:w="100" w:type="dxa"/>
            <w:vAlign w:val="bottom"/>
            <w:shd w:val="clear" w:color="auto" w:fill="998C87"/>
          </w:tcPr>
          <w:p>
            <w:pPr>
              <w:spacing w:after="0"/>
              <w:rPr>
                <w:sz w:val="11"/>
                <w:szCs w:val="11"/>
                <w:color w:val="auto"/>
              </w:rPr>
            </w:pPr>
          </w:p>
        </w:tc>
        <w:tc>
          <w:tcPr>
            <w:tcW w:w="520" w:type="dxa"/>
            <w:vAlign w:val="bottom"/>
            <w:shd w:val="clear" w:color="auto" w:fill="998C87"/>
          </w:tcPr>
          <w:p>
            <w:pPr>
              <w:spacing w:after="0"/>
              <w:rPr>
                <w:sz w:val="11"/>
                <w:szCs w:val="11"/>
                <w:color w:val="auto"/>
              </w:rPr>
            </w:pPr>
          </w:p>
        </w:tc>
        <w:tc>
          <w:tcPr>
            <w:tcW w:w="100" w:type="dxa"/>
            <w:vAlign w:val="bottom"/>
            <w:shd w:val="clear" w:color="auto" w:fill="998C87"/>
          </w:tcPr>
          <w:p>
            <w:pPr>
              <w:spacing w:after="0"/>
              <w:rPr>
                <w:sz w:val="11"/>
                <w:szCs w:val="11"/>
                <w:color w:val="auto"/>
              </w:rPr>
            </w:pPr>
          </w:p>
        </w:tc>
        <w:tc>
          <w:tcPr>
            <w:tcW w:w="600" w:type="dxa"/>
            <w:vAlign w:val="bottom"/>
            <w:shd w:val="clear" w:color="auto" w:fill="998C87"/>
          </w:tcPr>
          <w:p>
            <w:pPr>
              <w:spacing w:after="0"/>
              <w:rPr>
                <w:sz w:val="11"/>
                <w:szCs w:val="11"/>
                <w:color w:val="auto"/>
              </w:rPr>
            </w:pPr>
          </w:p>
        </w:tc>
        <w:tc>
          <w:tcPr>
            <w:tcW w:w="60" w:type="dxa"/>
            <w:vAlign w:val="bottom"/>
            <w:shd w:val="clear" w:color="auto" w:fill="998C87"/>
          </w:tcPr>
          <w:p>
            <w:pPr>
              <w:spacing w:after="0"/>
              <w:rPr>
                <w:sz w:val="11"/>
                <w:szCs w:val="11"/>
                <w:color w:val="auto"/>
              </w:rPr>
            </w:pPr>
          </w:p>
        </w:tc>
        <w:tc>
          <w:tcPr>
            <w:tcW w:w="40" w:type="dxa"/>
            <w:vAlign w:val="bottom"/>
            <w:shd w:val="clear" w:color="auto" w:fill="998C87"/>
          </w:tcPr>
          <w:p>
            <w:pPr>
              <w:spacing w:after="0"/>
              <w:rPr>
                <w:sz w:val="11"/>
                <w:szCs w:val="11"/>
                <w:color w:val="auto"/>
              </w:rPr>
            </w:pPr>
          </w:p>
        </w:tc>
        <w:tc>
          <w:tcPr>
            <w:tcW w:w="580" w:type="dxa"/>
            <w:vAlign w:val="bottom"/>
            <w:shd w:val="clear" w:color="auto" w:fill="998C87"/>
          </w:tcPr>
          <w:p>
            <w:pPr>
              <w:spacing w:after="0"/>
              <w:rPr>
                <w:sz w:val="11"/>
                <w:szCs w:val="11"/>
                <w:color w:val="auto"/>
              </w:rPr>
            </w:pPr>
          </w:p>
        </w:tc>
        <w:tc>
          <w:tcPr>
            <w:tcW w:w="200" w:type="dxa"/>
            <w:vAlign w:val="bottom"/>
            <w:shd w:val="clear" w:color="auto" w:fill="998C87"/>
          </w:tcPr>
          <w:p>
            <w:pPr>
              <w:spacing w:after="0"/>
              <w:rPr>
                <w:sz w:val="11"/>
                <w:szCs w:val="11"/>
                <w:color w:val="auto"/>
              </w:rPr>
            </w:pPr>
          </w:p>
        </w:tc>
        <w:tc>
          <w:tcPr>
            <w:tcW w:w="720" w:type="dxa"/>
            <w:vAlign w:val="bottom"/>
            <w:shd w:val="clear" w:color="auto" w:fill="998C87"/>
          </w:tcPr>
          <w:p>
            <w:pPr>
              <w:spacing w:after="0"/>
              <w:rPr>
                <w:sz w:val="11"/>
                <w:szCs w:val="11"/>
                <w:color w:val="auto"/>
              </w:rPr>
            </w:pPr>
          </w:p>
        </w:tc>
        <w:tc>
          <w:tcPr>
            <w:tcW w:w="680" w:type="dxa"/>
            <w:vAlign w:val="bottom"/>
            <w:shd w:val="clear" w:color="auto" w:fill="998C87"/>
          </w:tcPr>
          <w:p>
            <w:pPr>
              <w:spacing w:after="0"/>
              <w:rPr>
                <w:sz w:val="11"/>
                <w:szCs w:val="11"/>
                <w:color w:val="auto"/>
              </w:rPr>
            </w:pPr>
          </w:p>
        </w:tc>
        <w:tc>
          <w:tcPr>
            <w:tcW w:w="60" w:type="dxa"/>
            <w:vAlign w:val="bottom"/>
            <w:shd w:val="clear" w:color="auto" w:fill="998C87"/>
          </w:tcPr>
          <w:p>
            <w:pPr>
              <w:spacing w:after="0"/>
              <w:rPr>
                <w:sz w:val="11"/>
                <w:szCs w:val="11"/>
                <w:color w:val="auto"/>
              </w:rPr>
            </w:pPr>
          </w:p>
        </w:tc>
        <w:tc>
          <w:tcPr>
            <w:tcW w:w="60" w:type="dxa"/>
            <w:vAlign w:val="bottom"/>
            <w:shd w:val="clear" w:color="auto" w:fill="998C87"/>
          </w:tcPr>
          <w:p>
            <w:pPr>
              <w:spacing w:after="0"/>
              <w:rPr>
                <w:sz w:val="11"/>
                <w:szCs w:val="11"/>
                <w:color w:val="auto"/>
              </w:rPr>
            </w:pPr>
          </w:p>
        </w:tc>
        <w:tc>
          <w:tcPr>
            <w:tcW w:w="580" w:type="dxa"/>
            <w:vAlign w:val="bottom"/>
            <w:shd w:val="clear" w:color="auto" w:fill="998C87"/>
          </w:tcPr>
          <w:p>
            <w:pPr>
              <w:spacing w:after="0"/>
              <w:rPr>
                <w:sz w:val="11"/>
                <w:szCs w:val="11"/>
                <w:color w:val="auto"/>
              </w:rPr>
            </w:pPr>
          </w:p>
        </w:tc>
        <w:tc>
          <w:tcPr>
            <w:tcW w:w="120" w:type="dxa"/>
            <w:vAlign w:val="bottom"/>
            <w:shd w:val="clear" w:color="auto" w:fill="998C87"/>
          </w:tcPr>
          <w:p>
            <w:pPr>
              <w:spacing w:after="0"/>
              <w:rPr>
                <w:sz w:val="11"/>
                <w:szCs w:val="11"/>
                <w:color w:val="auto"/>
              </w:rPr>
            </w:pPr>
          </w:p>
        </w:tc>
        <w:tc>
          <w:tcPr>
            <w:tcW w:w="560" w:type="dxa"/>
            <w:vAlign w:val="bottom"/>
            <w:shd w:val="clear" w:color="auto" w:fill="998C87"/>
          </w:tcPr>
          <w:p>
            <w:pPr>
              <w:spacing w:after="0"/>
              <w:rPr>
                <w:sz w:val="11"/>
                <w:szCs w:val="11"/>
                <w:color w:val="auto"/>
              </w:rPr>
            </w:pPr>
          </w:p>
        </w:tc>
        <w:tc>
          <w:tcPr>
            <w:tcW w:w="820" w:type="dxa"/>
            <w:vAlign w:val="bottom"/>
            <w:shd w:val="clear" w:color="auto" w:fill="998C87"/>
          </w:tcPr>
          <w:p>
            <w:pPr>
              <w:spacing w:after="0"/>
              <w:rPr>
                <w:sz w:val="11"/>
                <w:szCs w:val="11"/>
                <w:color w:val="auto"/>
              </w:rPr>
            </w:pPr>
          </w:p>
        </w:tc>
        <w:tc>
          <w:tcPr>
            <w:tcW w:w="600" w:type="dxa"/>
            <w:vAlign w:val="bottom"/>
            <w:shd w:val="clear" w:color="auto" w:fill="998C87"/>
          </w:tcPr>
          <w:p>
            <w:pPr>
              <w:jc w:val="center"/>
              <w:ind w:right="37"/>
              <w:spacing w:after="0" w:line="135" w:lineRule="exact"/>
              <w:rPr>
                <w:sz w:val="20"/>
                <w:szCs w:val="20"/>
                <w:color w:val="auto"/>
              </w:rPr>
            </w:pPr>
            <w:r>
              <w:rPr>
                <w:rFonts w:ascii="Arial" w:cs="Arial" w:eastAsia="Arial" w:hAnsi="Arial"/>
                <w:sz w:val="13"/>
                <w:szCs w:val="13"/>
                <w:b w:val="1"/>
                <w:bCs w:val="1"/>
                <w:color w:val="FFFFFF"/>
                <w:w w:val="97"/>
              </w:rPr>
              <w:t>Other</w:t>
            </w:r>
          </w:p>
        </w:tc>
        <w:tc>
          <w:tcPr>
            <w:tcW w:w="780" w:type="dxa"/>
            <w:vAlign w:val="bottom"/>
            <w:shd w:val="clear" w:color="auto" w:fill="998C87"/>
          </w:tcPr>
          <w:p>
            <w:pPr>
              <w:spacing w:after="0"/>
              <w:rPr>
                <w:sz w:val="11"/>
                <w:szCs w:val="11"/>
                <w:color w:val="auto"/>
              </w:rPr>
            </w:pPr>
          </w:p>
        </w:tc>
        <w:tc>
          <w:tcPr>
            <w:tcW w:w="680" w:type="dxa"/>
            <w:vAlign w:val="bottom"/>
            <w:shd w:val="clear" w:color="auto" w:fill="998C87"/>
          </w:tcPr>
          <w:p>
            <w:pPr>
              <w:spacing w:after="0"/>
              <w:rPr>
                <w:sz w:val="11"/>
                <w:szCs w:val="11"/>
                <w:color w:val="auto"/>
              </w:rPr>
            </w:pPr>
          </w:p>
        </w:tc>
        <w:tc>
          <w:tcPr>
            <w:tcW w:w="740" w:type="dxa"/>
            <w:vAlign w:val="bottom"/>
            <w:vMerge w:val="restart"/>
            <w:shd w:val="clear" w:color="auto" w:fill="998C87"/>
          </w:tcPr>
          <w:p>
            <w:pPr>
              <w:jc w:val="center"/>
              <w:spacing w:after="0"/>
              <w:rPr>
                <w:sz w:val="20"/>
                <w:szCs w:val="20"/>
                <w:color w:val="auto"/>
              </w:rPr>
            </w:pPr>
            <w:r>
              <w:rPr>
                <w:rFonts w:ascii="Arial" w:cs="Arial" w:eastAsia="Arial" w:hAnsi="Arial"/>
                <w:sz w:val="13"/>
                <w:szCs w:val="13"/>
                <w:b w:val="1"/>
                <w:bCs w:val="1"/>
                <w:color w:val="FFFFFF"/>
                <w:w w:val="97"/>
              </w:rPr>
              <w:t>Grant</w:t>
            </w:r>
          </w:p>
        </w:tc>
        <w:tc>
          <w:tcPr>
            <w:tcW w:w="0" w:type="dxa"/>
            <w:vAlign w:val="bottom"/>
          </w:tcPr>
          <w:p>
            <w:pPr>
              <w:spacing w:after="0"/>
              <w:rPr>
                <w:sz w:val="1"/>
                <w:szCs w:val="1"/>
                <w:color w:val="auto"/>
              </w:rPr>
            </w:pPr>
          </w:p>
        </w:tc>
      </w:tr>
      <w:tr>
        <w:trPr>
          <w:trHeight w:val="135"/>
        </w:trPr>
        <w:tc>
          <w:tcPr>
            <w:tcW w:w="2400" w:type="dxa"/>
            <w:vAlign w:val="bottom"/>
            <w:shd w:val="clear" w:color="auto" w:fill="998C87"/>
          </w:tcPr>
          <w:p>
            <w:pPr>
              <w:spacing w:after="0"/>
              <w:rPr>
                <w:sz w:val="11"/>
                <w:szCs w:val="11"/>
                <w:color w:val="auto"/>
              </w:rPr>
            </w:pPr>
          </w:p>
        </w:tc>
        <w:tc>
          <w:tcPr>
            <w:tcW w:w="100" w:type="dxa"/>
            <w:vAlign w:val="bottom"/>
            <w:shd w:val="clear" w:color="auto" w:fill="998C87"/>
          </w:tcPr>
          <w:p>
            <w:pPr>
              <w:spacing w:after="0"/>
              <w:rPr>
                <w:sz w:val="11"/>
                <w:szCs w:val="11"/>
                <w:color w:val="auto"/>
              </w:rPr>
            </w:pPr>
          </w:p>
        </w:tc>
        <w:tc>
          <w:tcPr>
            <w:tcW w:w="520" w:type="dxa"/>
            <w:vAlign w:val="bottom"/>
            <w:shd w:val="clear" w:color="auto" w:fill="998C87"/>
          </w:tcPr>
          <w:p>
            <w:pPr>
              <w:spacing w:after="0"/>
              <w:rPr>
                <w:sz w:val="11"/>
                <w:szCs w:val="11"/>
                <w:color w:val="auto"/>
              </w:rPr>
            </w:pPr>
          </w:p>
        </w:tc>
        <w:tc>
          <w:tcPr>
            <w:tcW w:w="100" w:type="dxa"/>
            <w:vAlign w:val="bottom"/>
            <w:shd w:val="clear" w:color="auto" w:fill="998C87"/>
          </w:tcPr>
          <w:p>
            <w:pPr>
              <w:spacing w:after="0"/>
              <w:rPr>
                <w:sz w:val="11"/>
                <w:szCs w:val="11"/>
                <w:color w:val="auto"/>
              </w:rPr>
            </w:pPr>
          </w:p>
        </w:tc>
        <w:tc>
          <w:tcPr>
            <w:tcW w:w="600" w:type="dxa"/>
            <w:vAlign w:val="bottom"/>
            <w:shd w:val="clear" w:color="auto" w:fill="998C87"/>
          </w:tcPr>
          <w:p>
            <w:pPr>
              <w:spacing w:after="0"/>
              <w:rPr>
                <w:sz w:val="11"/>
                <w:szCs w:val="11"/>
                <w:color w:val="auto"/>
              </w:rPr>
            </w:pPr>
          </w:p>
        </w:tc>
        <w:tc>
          <w:tcPr>
            <w:tcW w:w="60" w:type="dxa"/>
            <w:vAlign w:val="bottom"/>
            <w:shd w:val="clear" w:color="auto" w:fill="998C87"/>
          </w:tcPr>
          <w:p>
            <w:pPr>
              <w:spacing w:after="0"/>
              <w:rPr>
                <w:sz w:val="11"/>
                <w:szCs w:val="11"/>
                <w:color w:val="auto"/>
              </w:rPr>
            </w:pPr>
          </w:p>
        </w:tc>
        <w:tc>
          <w:tcPr>
            <w:tcW w:w="40" w:type="dxa"/>
            <w:vAlign w:val="bottom"/>
            <w:shd w:val="clear" w:color="auto" w:fill="998C87"/>
          </w:tcPr>
          <w:p>
            <w:pPr>
              <w:spacing w:after="0"/>
              <w:rPr>
                <w:sz w:val="11"/>
                <w:szCs w:val="11"/>
                <w:color w:val="auto"/>
              </w:rPr>
            </w:pPr>
          </w:p>
        </w:tc>
        <w:tc>
          <w:tcPr>
            <w:tcW w:w="2180" w:type="dxa"/>
            <w:vAlign w:val="bottom"/>
            <w:gridSpan w:val="4"/>
            <w:vMerge w:val="restart"/>
            <w:shd w:val="clear" w:color="auto" w:fill="998C87"/>
          </w:tcPr>
          <w:p>
            <w:pPr>
              <w:jc w:val="center"/>
              <w:ind w:right="77"/>
              <w:spacing w:after="0"/>
              <w:rPr>
                <w:sz w:val="20"/>
                <w:szCs w:val="20"/>
                <w:color w:val="auto"/>
              </w:rPr>
            </w:pPr>
            <w:r>
              <w:rPr>
                <w:rFonts w:ascii="Arial" w:cs="Arial" w:eastAsia="Arial" w:hAnsi="Arial"/>
                <w:sz w:val="13"/>
                <w:szCs w:val="13"/>
                <w:b w:val="1"/>
                <w:bCs w:val="1"/>
                <w:color w:val="FFFFFF"/>
                <w:w w:val="97"/>
              </w:rPr>
              <w:t>Estimated Possible</w:t>
            </w:r>
          </w:p>
        </w:tc>
        <w:tc>
          <w:tcPr>
            <w:tcW w:w="60" w:type="dxa"/>
            <w:vAlign w:val="bottom"/>
            <w:shd w:val="clear" w:color="auto" w:fill="998C87"/>
          </w:tcPr>
          <w:p>
            <w:pPr>
              <w:spacing w:after="0"/>
              <w:rPr>
                <w:sz w:val="11"/>
                <w:szCs w:val="11"/>
                <w:color w:val="auto"/>
              </w:rPr>
            </w:pPr>
          </w:p>
        </w:tc>
        <w:tc>
          <w:tcPr>
            <w:tcW w:w="60" w:type="dxa"/>
            <w:vAlign w:val="bottom"/>
            <w:shd w:val="clear" w:color="auto" w:fill="998C87"/>
          </w:tcPr>
          <w:p>
            <w:pPr>
              <w:spacing w:after="0"/>
              <w:rPr>
                <w:sz w:val="11"/>
                <w:szCs w:val="11"/>
                <w:color w:val="auto"/>
              </w:rPr>
            </w:pPr>
          </w:p>
        </w:tc>
        <w:tc>
          <w:tcPr>
            <w:tcW w:w="2080" w:type="dxa"/>
            <w:vAlign w:val="bottom"/>
            <w:gridSpan w:val="4"/>
            <w:vMerge w:val="restart"/>
            <w:shd w:val="clear" w:color="auto" w:fill="998C87"/>
          </w:tcPr>
          <w:p>
            <w:pPr>
              <w:jc w:val="center"/>
              <w:ind w:right="197"/>
              <w:spacing w:after="0"/>
              <w:rPr>
                <w:sz w:val="20"/>
                <w:szCs w:val="20"/>
                <w:color w:val="auto"/>
              </w:rPr>
            </w:pPr>
            <w:r>
              <w:rPr>
                <w:rFonts w:ascii="Arial" w:cs="Arial" w:eastAsia="Arial" w:hAnsi="Arial"/>
                <w:sz w:val="13"/>
                <w:szCs w:val="13"/>
                <w:b w:val="1"/>
                <w:bCs w:val="1"/>
                <w:color w:val="FFFFFF"/>
                <w:w w:val="95"/>
              </w:rPr>
              <w:t>Estimated Possible</w:t>
            </w:r>
          </w:p>
        </w:tc>
        <w:tc>
          <w:tcPr>
            <w:tcW w:w="600" w:type="dxa"/>
            <w:vAlign w:val="bottom"/>
            <w:shd w:val="clear" w:color="auto" w:fill="998C87"/>
          </w:tcPr>
          <w:p>
            <w:pPr>
              <w:jc w:val="center"/>
              <w:ind w:right="37"/>
              <w:spacing w:after="0" w:line="135" w:lineRule="exact"/>
              <w:rPr>
                <w:sz w:val="20"/>
                <w:szCs w:val="20"/>
                <w:color w:val="auto"/>
              </w:rPr>
            </w:pPr>
            <w:r>
              <w:rPr>
                <w:rFonts w:ascii="Arial" w:cs="Arial" w:eastAsia="Arial" w:hAnsi="Arial"/>
                <w:sz w:val="13"/>
                <w:szCs w:val="13"/>
                <w:b w:val="1"/>
                <w:bCs w:val="1"/>
                <w:color w:val="FFFFFF"/>
                <w:w w:val="95"/>
              </w:rPr>
              <w:t>Stock</w:t>
            </w:r>
          </w:p>
        </w:tc>
        <w:tc>
          <w:tcPr>
            <w:tcW w:w="780" w:type="dxa"/>
            <w:vAlign w:val="bottom"/>
            <w:shd w:val="clear" w:color="auto" w:fill="998C87"/>
          </w:tcPr>
          <w:p>
            <w:pPr>
              <w:spacing w:after="0"/>
              <w:rPr>
                <w:sz w:val="11"/>
                <w:szCs w:val="11"/>
                <w:color w:val="auto"/>
              </w:rPr>
            </w:pPr>
          </w:p>
        </w:tc>
        <w:tc>
          <w:tcPr>
            <w:tcW w:w="680" w:type="dxa"/>
            <w:vAlign w:val="bottom"/>
            <w:shd w:val="clear" w:color="auto" w:fill="998C87"/>
          </w:tcPr>
          <w:p>
            <w:pPr>
              <w:spacing w:after="0"/>
              <w:rPr>
                <w:sz w:val="11"/>
                <w:szCs w:val="11"/>
                <w:color w:val="auto"/>
              </w:rPr>
            </w:pPr>
          </w:p>
        </w:tc>
        <w:tc>
          <w:tcPr>
            <w:tcW w:w="740" w:type="dxa"/>
            <w:vAlign w:val="bottom"/>
            <w:vMerge w:val="continue"/>
            <w:shd w:val="clear" w:color="auto" w:fill="998C87"/>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2400" w:type="dxa"/>
            <w:vAlign w:val="bottom"/>
            <w:shd w:val="clear" w:color="auto" w:fill="998C87"/>
          </w:tcPr>
          <w:p>
            <w:pPr>
              <w:spacing w:after="0"/>
              <w:rPr>
                <w:sz w:val="5"/>
                <w:szCs w:val="5"/>
                <w:color w:val="auto"/>
              </w:rPr>
            </w:pPr>
          </w:p>
        </w:tc>
        <w:tc>
          <w:tcPr>
            <w:tcW w:w="100" w:type="dxa"/>
            <w:vAlign w:val="bottom"/>
            <w:shd w:val="clear" w:color="auto" w:fill="998C87"/>
          </w:tcPr>
          <w:p>
            <w:pPr>
              <w:spacing w:after="0"/>
              <w:rPr>
                <w:sz w:val="5"/>
                <w:szCs w:val="5"/>
                <w:color w:val="auto"/>
              </w:rPr>
            </w:pPr>
          </w:p>
        </w:tc>
        <w:tc>
          <w:tcPr>
            <w:tcW w:w="520" w:type="dxa"/>
            <w:vAlign w:val="bottom"/>
            <w:shd w:val="clear" w:color="auto" w:fill="998C87"/>
          </w:tcPr>
          <w:p>
            <w:pPr>
              <w:spacing w:after="0"/>
              <w:rPr>
                <w:sz w:val="5"/>
                <w:szCs w:val="5"/>
                <w:color w:val="auto"/>
              </w:rPr>
            </w:pPr>
          </w:p>
        </w:tc>
        <w:tc>
          <w:tcPr>
            <w:tcW w:w="100" w:type="dxa"/>
            <w:vAlign w:val="bottom"/>
            <w:shd w:val="clear" w:color="auto" w:fill="998C87"/>
          </w:tcPr>
          <w:p>
            <w:pPr>
              <w:spacing w:after="0"/>
              <w:rPr>
                <w:sz w:val="5"/>
                <w:szCs w:val="5"/>
                <w:color w:val="auto"/>
              </w:rPr>
            </w:pPr>
          </w:p>
        </w:tc>
        <w:tc>
          <w:tcPr>
            <w:tcW w:w="600" w:type="dxa"/>
            <w:vAlign w:val="bottom"/>
            <w:shd w:val="clear" w:color="auto" w:fill="998C87"/>
          </w:tcPr>
          <w:p>
            <w:pPr>
              <w:spacing w:after="0"/>
              <w:rPr>
                <w:sz w:val="5"/>
                <w:szCs w:val="5"/>
                <w:color w:val="auto"/>
              </w:rPr>
            </w:pPr>
          </w:p>
        </w:tc>
        <w:tc>
          <w:tcPr>
            <w:tcW w:w="60" w:type="dxa"/>
            <w:vAlign w:val="bottom"/>
            <w:shd w:val="clear" w:color="auto" w:fill="998C87"/>
          </w:tcPr>
          <w:p>
            <w:pPr>
              <w:spacing w:after="0"/>
              <w:rPr>
                <w:sz w:val="5"/>
                <w:szCs w:val="5"/>
                <w:color w:val="auto"/>
              </w:rPr>
            </w:pPr>
          </w:p>
        </w:tc>
        <w:tc>
          <w:tcPr>
            <w:tcW w:w="40" w:type="dxa"/>
            <w:vAlign w:val="bottom"/>
            <w:shd w:val="clear" w:color="auto" w:fill="998C87"/>
          </w:tcPr>
          <w:p>
            <w:pPr>
              <w:spacing w:after="0"/>
              <w:rPr>
                <w:sz w:val="5"/>
                <w:szCs w:val="5"/>
                <w:color w:val="auto"/>
              </w:rPr>
            </w:pPr>
          </w:p>
        </w:tc>
        <w:tc>
          <w:tcPr>
            <w:tcW w:w="2180" w:type="dxa"/>
            <w:vAlign w:val="bottom"/>
            <w:gridSpan w:val="4"/>
            <w:vMerge w:val="continue"/>
            <w:shd w:val="clear" w:color="auto" w:fill="998C87"/>
          </w:tcPr>
          <w:p>
            <w:pPr>
              <w:spacing w:after="0"/>
              <w:rPr>
                <w:sz w:val="5"/>
                <w:szCs w:val="5"/>
                <w:color w:val="auto"/>
              </w:rPr>
            </w:pPr>
          </w:p>
        </w:tc>
        <w:tc>
          <w:tcPr>
            <w:tcW w:w="60" w:type="dxa"/>
            <w:vAlign w:val="bottom"/>
            <w:shd w:val="clear" w:color="auto" w:fill="998C87"/>
          </w:tcPr>
          <w:p>
            <w:pPr>
              <w:spacing w:after="0"/>
              <w:rPr>
                <w:sz w:val="5"/>
                <w:szCs w:val="5"/>
                <w:color w:val="auto"/>
              </w:rPr>
            </w:pPr>
          </w:p>
        </w:tc>
        <w:tc>
          <w:tcPr>
            <w:tcW w:w="60" w:type="dxa"/>
            <w:vAlign w:val="bottom"/>
            <w:shd w:val="clear" w:color="auto" w:fill="998C87"/>
          </w:tcPr>
          <w:p>
            <w:pPr>
              <w:spacing w:after="0"/>
              <w:rPr>
                <w:sz w:val="5"/>
                <w:szCs w:val="5"/>
                <w:color w:val="auto"/>
              </w:rPr>
            </w:pPr>
          </w:p>
        </w:tc>
        <w:tc>
          <w:tcPr>
            <w:tcW w:w="2080" w:type="dxa"/>
            <w:vAlign w:val="bottom"/>
            <w:gridSpan w:val="4"/>
            <w:vMerge w:val="continue"/>
            <w:shd w:val="clear" w:color="auto" w:fill="998C87"/>
          </w:tcPr>
          <w:p>
            <w:pPr>
              <w:spacing w:after="0"/>
              <w:rPr>
                <w:sz w:val="5"/>
                <w:szCs w:val="5"/>
                <w:color w:val="auto"/>
              </w:rPr>
            </w:pPr>
          </w:p>
        </w:tc>
        <w:tc>
          <w:tcPr>
            <w:tcW w:w="600" w:type="dxa"/>
            <w:vAlign w:val="bottom"/>
            <w:vMerge w:val="restart"/>
            <w:shd w:val="clear" w:color="auto" w:fill="998C87"/>
          </w:tcPr>
          <w:p>
            <w:pPr>
              <w:jc w:val="center"/>
              <w:ind w:right="37"/>
              <w:spacing w:after="0" w:line="135" w:lineRule="exact"/>
              <w:rPr>
                <w:sz w:val="20"/>
                <w:szCs w:val="20"/>
                <w:color w:val="auto"/>
              </w:rPr>
            </w:pPr>
            <w:r>
              <w:rPr>
                <w:rFonts w:ascii="Arial" w:cs="Arial" w:eastAsia="Arial" w:hAnsi="Arial"/>
                <w:sz w:val="13"/>
                <w:szCs w:val="13"/>
                <w:b w:val="1"/>
                <w:bCs w:val="1"/>
                <w:color w:val="FFFFFF"/>
                <w:w w:val="97"/>
              </w:rPr>
              <w:t>Awards:</w:t>
            </w:r>
          </w:p>
        </w:tc>
        <w:tc>
          <w:tcPr>
            <w:tcW w:w="780" w:type="dxa"/>
            <w:vAlign w:val="bottom"/>
            <w:vMerge w:val="restart"/>
            <w:shd w:val="clear" w:color="auto" w:fill="998C87"/>
          </w:tcPr>
          <w:p>
            <w:pPr>
              <w:jc w:val="right"/>
              <w:ind w:right="57"/>
              <w:spacing w:after="0" w:line="135" w:lineRule="exact"/>
              <w:rPr>
                <w:sz w:val="20"/>
                <w:szCs w:val="20"/>
                <w:color w:val="auto"/>
              </w:rPr>
            </w:pPr>
            <w:r>
              <w:rPr>
                <w:rFonts w:ascii="Arial" w:cs="Arial" w:eastAsia="Arial" w:hAnsi="Arial"/>
                <w:sz w:val="13"/>
                <w:szCs w:val="13"/>
                <w:b w:val="1"/>
                <w:bCs w:val="1"/>
                <w:color w:val="FFFFFF"/>
              </w:rPr>
              <w:t>All Other</w:t>
            </w:r>
          </w:p>
        </w:tc>
        <w:tc>
          <w:tcPr>
            <w:tcW w:w="680" w:type="dxa"/>
            <w:vAlign w:val="bottom"/>
            <w:shd w:val="clear" w:color="auto" w:fill="998C87"/>
          </w:tcPr>
          <w:p>
            <w:pPr>
              <w:spacing w:after="0"/>
              <w:rPr>
                <w:sz w:val="5"/>
                <w:szCs w:val="5"/>
                <w:color w:val="auto"/>
              </w:rPr>
            </w:pPr>
          </w:p>
        </w:tc>
        <w:tc>
          <w:tcPr>
            <w:tcW w:w="740" w:type="dxa"/>
            <w:vAlign w:val="bottom"/>
            <w:vMerge w:val="restart"/>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2"/>
              </w:rPr>
              <w:t>Date</w:t>
            </w:r>
          </w:p>
        </w:tc>
        <w:tc>
          <w:tcPr>
            <w:tcW w:w="0" w:type="dxa"/>
            <w:vAlign w:val="bottom"/>
          </w:tcPr>
          <w:p>
            <w:pPr>
              <w:spacing w:after="0"/>
              <w:rPr>
                <w:sz w:val="1"/>
                <w:szCs w:val="1"/>
                <w:color w:val="auto"/>
              </w:rPr>
            </w:pPr>
          </w:p>
        </w:tc>
      </w:tr>
      <w:tr>
        <w:trPr>
          <w:trHeight w:val="67"/>
        </w:trPr>
        <w:tc>
          <w:tcPr>
            <w:tcW w:w="2400" w:type="dxa"/>
            <w:vAlign w:val="bottom"/>
            <w:shd w:val="clear" w:color="auto" w:fill="998C87"/>
          </w:tcPr>
          <w:p>
            <w:pPr>
              <w:spacing w:after="0"/>
              <w:rPr>
                <w:sz w:val="5"/>
                <w:szCs w:val="5"/>
                <w:color w:val="auto"/>
              </w:rPr>
            </w:pPr>
          </w:p>
        </w:tc>
        <w:tc>
          <w:tcPr>
            <w:tcW w:w="100" w:type="dxa"/>
            <w:vAlign w:val="bottom"/>
            <w:shd w:val="clear" w:color="auto" w:fill="998C87"/>
          </w:tcPr>
          <w:p>
            <w:pPr>
              <w:spacing w:after="0"/>
              <w:rPr>
                <w:sz w:val="5"/>
                <w:szCs w:val="5"/>
                <w:color w:val="auto"/>
              </w:rPr>
            </w:pPr>
          </w:p>
        </w:tc>
        <w:tc>
          <w:tcPr>
            <w:tcW w:w="520" w:type="dxa"/>
            <w:vAlign w:val="bottom"/>
            <w:shd w:val="clear" w:color="auto" w:fill="998C87"/>
          </w:tcPr>
          <w:p>
            <w:pPr>
              <w:spacing w:after="0"/>
              <w:rPr>
                <w:sz w:val="5"/>
                <w:szCs w:val="5"/>
                <w:color w:val="auto"/>
              </w:rPr>
            </w:pPr>
          </w:p>
        </w:tc>
        <w:tc>
          <w:tcPr>
            <w:tcW w:w="100" w:type="dxa"/>
            <w:vAlign w:val="bottom"/>
            <w:shd w:val="clear" w:color="auto" w:fill="998C87"/>
          </w:tcPr>
          <w:p>
            <w:pPr>
              <w:spacing w:after="0"/>
              <w:rPr>
                <w:sz w:val="5"/>
                <w:szCs w:val="5"/>
                <w:color w:val="auto"/>
              </w:rPr>
            </w:pPr>
          </w:p>
        </w:tc>
        <w:tc>
          <w:tcPr>
            <w:tcW w:w="600" w:type="dxa"/>
            <w:vAlign w:val="bottom"/>
            <w:shd w:val="clear" w:color="auto" w:fill="998C87"/>
          </w:tcPr>
          <w:p>
            <w:pPr>
              <w:spacing w:after="0"/>
              <w:rPr>
                <w:sz w:val="5"/>
                <w:szCs w:val="5"/>
                <w:color w:val="auto"/>
              </w:rPr>
            </w:pPr>
          </w:p>
        </w:tc>
        <w:tc>
          <w:tcPr>
            <w:tcW w:w="60" w:type="dxa"/>
            <w:vAlign w:val="bottom"/>
            <w:shd w:val="clear" w:color="auto" w:fill="998C87"/>
          </w:tcPr>
          <w:p>
            <w:pPr>
              <w:spacing w:after="0"/>
              <w:rPr>
                <w:sz w:val="5"/>
                <w:szCs w:val="5"/>
                <w:color w:val="auto"/>
              </w:rPr>
            </w:pPr>
          </w:p>
        </w:tc>
        <w:tc>
          <w:tcPr>
            <w:tcW w:w="40" w:type="dxa"/>
            <w:vAlign w:val="bottom"/>
            <w:shd w:val="clear" w:color="auto" w:fill="998C87"/>
          </w:tcPr>
          <w:p>
            <w:pPr>
              <w:spacing w:after="0"/>
              <w:rPr>
                <w:sz w:val="5"/>
                <w:szCs w:val="5"/>
                <w:color w:val="auto"/>
              </w:rPr>
            </w:pPr>
          </w:p>
        </w:tc>
        <w:tc>
          <w:tcPr>
            <w:tcW w:w="580" w:type="dxa"/>
            <w:vAlign w:val="bottom"/>
            <w:shd w:val="clear" w:color="auto" w:fill="998C87"/>
          </w:tcPr>
          <w:p>
            <w:pPr>
              <w:spacing w:after="0"/>
              <w:rPr>
                <w:sz w:val="5"/>
                <w:szCs w:val="5"/>
                <w:color w:val="auto"/>
              </w:rPr>
            </w:pPr>
          </w:p>
        </w:tc>
        <w:tc>
          <w:tcPr>
            <w:tcW w:w="920" w:type="dxa"/>
            <w:vAlign w:val="bottom"/>
            <w:gridSpan w:val="2"/>
            <w:vMerge w:val="restart"/>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8"/>
              </w:rPr>
              <w:t>Payouts Under</w:t>
            </w:r>
          </w:p>
        </w:tc>
        <w:tc>
          <w:tcPr>
            <w:tcW w:w="680" w:type="dxa"/>
            <w:vAlign w:val="bottom"/>
            <w:shd w:val="clear" w:color="auto" w:fill="998C87"/>
          </w:tcPr>
          <w:p>
            <w:pPr>
              <w:spacing w:after="0"/>
              <w:rPr>
                <w:sz w:val="5"/>
                <w:szCs w:val="5"/>
                <w:color w:val="auto"/>
              </w:rPr>
            </w:pPr>
          </w:p>
        </w:tc>
        <w:tc>
          <w:tcPr>
            <w:tcW w:w="60" w:type="dxa"/>
            <w:vAlign w:val="bottom"/>
            <w:shd w:val="clear" w:color="auto" w:fill="998C87"/>
          </w:tcPr>
          <w:p>
            <w:pPr>
              <w:spacing w:after="0"/>
              <w:rPr>
                <w:sz w:val="5"/>
                <w:szCs w:val="5"/>
                <w:color w:val="auto"/>
              </w:rPr>
            </w:pPr>
          </w:p>
        </w:tc>
        <w:tc>
          <w:tcPr>
            <w:tcW w:w="60" w:type="dxa"/>
            <w:vAlign w:val="bottom"/>
            <w:shd w:val="clear" w:color="auto" w:fill="998C87"/>
          </w:tcPr>
          <w:p>
            <w:pPr>
              <w:spacing w:after="0"/>
              <w:rPr>
                <w:sz w:val="5"/>
                <w:szCs w:val="5"/>
                <w:color w:val="auto"/>
              </w:rPr>
            </w:pPr>
          </w:p>
        </w:tc>
        <w:tc>
          <w:tcPr>
            <w:tcW w:w="2080" w:type="dxa"/>
            <w:vAlign w:val="bottom"/>
            <w:gridSpan w:val="4"/>
            <w:vMerge w:val="restart"/>
            <w:shd w:val="clear" w:color="auto" w:fill="998C87"/>
          </w:tcPr>
          <w:p>
            <w:pPr>
              <w:jc w:val="center"/>
              <w:ind w:right="197"/>
              <w:spacing w:after="0" w:line="135" w:lineRule="exact"/>
              <w:rPr>
                <w:sz w:val="20"/>
                <w:szCs w:val="20"/>
                <w:color w:val="auto"/>
              </w:rPr>
            </w:pPr>
            <w:r>
              <w:rPr>
                <w:rFonts w:ascii="Arial" w:cs="Arial" w:eastAsia="Arial" w:hAnsi="Arial"/>
                <w:sz w:val="13"/>
                <w:szCs w:val="13"/>
                <w:b w:val="1"/>
                <w:bCs w:val="1"/>
                <w:color w:val="FFFFFF"/>
                <w:w w:val="98"/>
              </w:rPr>
              <w:t>Payouts Under</w:t>
            </w:r>
          </w:p>
        </w:tc>
        <w:tc>
          <w:tcPr>
            <w:tcW w:w="600" w:type="dxa"/>
            <w:vAlign w:val="bottom"/>
            <w:vMerge w:val="continue"/>
            <w:shd w:val="clear" w:color="auto" w:fill="998C87"/>
          </w:tcPr>
          <w:p>
            <w:pPr>
              <w:spacing w:after="0"/>
              <w:rPr>
                <w:sz w:val="5"/>
                <w:szCs w:val="5"/>
                <w:color w:val="auto"/>
              </w:rPr>
            </w:pPr>
          </w:p>
        </w:tc>
        <w:tc>
          <w:tcPr>
            <w:tcW w:w="780" w:type="dxa"/>
            <w:vAlign w:val="bottom"/>
            <w:vMerge w:val="continue"/>
            <w:shd w:val="clear" w:color="auto" w:fill="998C87"/>
          </w:tcPr>
          <w:p>
            <w:pPr>
              <w:spacing w:after="0"/>
              <w:rPr>
                <w:sz w:val="5"/>
                <w:szCs w:val="5"/>
                <w:color w:val="auto"/>
              </w:rPr>
            </w:pPr>
          </w:p>
        </w:tc>
        <w:tc>
          <w:tcPr>
            <w:tcW w:w="680" w:type="dxa"/>
            <w:vAlign w:val="bottom"/>
            <w:shd w:val="clear" w:color="auto" w:fill="998C87"/>
          </w:tcPr>
          <w:p>
            <w:pPr>
              <w:spacing w:after="0"/>
              <w:rPr>
                <w:sz w:val="5"/>
                <w:szCs w:val="5"/>
                <w:color w:val="auto"/>
              </w:rPr>
            </w:pPr>
          </w:p>
        </w:tc>
        <w:tc>
          <w:tcPr>
            <w:tcW w:w="740" w:type="dxa"/>
            <w:vAlign w:val="bottom"/>
            <w:vMerge w:val="continue"/>
            <w:shd w:val="clear" w:color="auto" w:fill="998C87"/>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400" w:type="dxa"/>
            <w:vAlign w:val="bottom"/>
            <w:shd w:val="clear" w:color="auto" w:fill="998C87"/>
          </w:tcPr>
          <w:p>
            <w:pPr>
              <w:spacing w:after="0"/>
              <w:rPr>
                <w:sz w:val="5"/>
                <w:szCs w:val="5"/>
                <w:color w:val="auto"/>
              </w:rPr>
            </w:pPr>
          </w:p>
        </w:tc>
        <w:tc>
          <w:tcPr>
            <w:tcW w:w="100" w:type="dxa"/>
            <w:vAlign w:val="bottom"/>
            <w:shd w:val="clear" w:color="auto" w:fill="998C87"/>
          </w:tcPr>
          <w:p>
            <w:pPr>
              <w:spacing w:after="0"/>
              <w:rPr>
                <w:sz w:val="5"/>
                <w:szCs w:val="5"/>
                <w:color w:val="auto"/>
              </w:rPr>
            </w:pPr>
          </w:p>
        </w:tc>
        <w:tc>
          <w:tcPr>
            <w:tcW w:w="520" w:type="dxa"/>
            <w:vAlign w:val="bottom"/>
            <w:shd w:val="clear" w:color="auto" w:fill="998C87"/>
          </w:tcPr>
          <w:p>
            <w:pPr>
              <w:spacing w:after="0"/>
              <w:rPr>
                <w:sz w:val="5"/>
                <w:szCs w:val="5"/>
                <w:color w:val="auto"/>
              </w:rPr>
            </w:pPr>
          </w:p>
        </w:tc>
        <w:tc>
          <w:tcPr>
            <w:tcW w:w="100" w:type="dxa"/>
            <w:vAlign w:val="bottom"/>
            <w:shd w:val="clear" w:color="auto" w:fill="998C87"/>
          </w:tcPr>
          <w:p>
            <w:pPr>
              <w:spacing w:after="0"/>
              <w:rPr>
                <w:sz w:val="5"/>
                <w:szCs w:val="5"/>
                <w:color w:val="auto"/>
              </w:rPr>
            </w:pPr>
          </w:p>
        </w:tc>
        <w:tc>
          <w:tcPr>
            <w:tcW w:w="600" w:type="dxa"/>
            <w:vAlign w:val="bottom"/>
            <w:shd w:val="clear" w:color="auto" w:fill="998C87"/>
          </w:tcPr>
          <w:p>
            <w:pPr>
              <w:spacing w:after="0"/>
              <w:rPr>
                <w:sz w:val="5"/>
                <w:szCs w:val="5"/>
                <w:color w:val="auto"/>
              </w:rPr>
            </w:pPr>
          </w:p>
        </w:tc>
        <w:tc>
          <w:tcPr>
            <w:tcW w:w="60" w:type="dxa"/>
            <w:vAlign w:val="bottom"/>
            <w:shd w:val="clear" w:color="auto" w:fill="998C87"/>
          </w:tcPr>
          <w:p>
            <w:pPr>
              <w:spacing w:after="0"/>
              <w:rPr>
                <w:sz w:val="5"/>
                <w:szCs w:val="5"/>
                <w:color w:val="auto"/>
              </w:rPr>
            </w:pPr>
          </w:p>
        </w:tc>
        <w:tc>
          <w:tcPr>
            <w:tcW w:w="40" w:type="dxa"/>
            <w:vAlign w:val="bottom"/>
            <w:shd w:val="clear" w:color="auto" w:fill="998C87"/>
          </w:tcPr>
          <w:p>
            <w:pPr>
              <w:spacing w:after="0"/>
              <w:rPr>
                <w:sz w:val="5"/>
                <w:szCs w:val="5"/>
                <w:color w:val="auto"/>
              </w:rPr>
            </w:pPr>
          </w:p>
        </w:tc>
        <w:tc>
          <w:tcPr>
            <w:tcW w:w="580" w:type="dxa"/>
            <w:vAlign w:val="bottom"/>
            <w:shd w:val="clear" w:color="auto" w:fill="998C87"/>
          </w:tcPr>
          <w:p>
            <w:pPr>
              <w:spacing w:after="0"/>
              <w:rPr>
                <w:sz w:val="5"/>
                <w:szCs w:val="5"/>
                <w:color w:val="auto"/>
              </w:rPr>
            </w:pPr>
          </w:p>
        </w:tc>
        <w:tc>
          <w:tcPr>
            <w:tcW w:w="920" w:type="dxa"/>
            <w:vAlign w:val="bottom"/>
            <w:gridSpan w:val="2"/>
            <w:vMerge w:val="continue"/>
            <w:shd w:val="clear" w:color="auto" w:fill="998C87"/>
          </w:tcPr>
          <w:p>
            <w:pPr>
              <w:spacing w:after="0"/>
              <w:rPr>
                <w:sz w:val="5"/>
                <w:szCs w:val="5"/>
                <w:color w:val="auto"/>
              </w:rPr>
            </w:pPr>
          </w:p>
        </w:tc>
        <w:tc>
          <w:tcPr>
            <w:tcW w:w="680" w:type="dxa"/>
            <w:vAlign w:val="bottom"/>
            <w:shd w:val="clear" w:color="auto" w:fill="998C87"/>
          </w:tcPr>
          <w:p>
            <w:pPr>
              <w:spacing w:after="0"/>
              <w:rPr>
                <w:sz w:val="5"/>
                <w:szCs w:val="5"/>
                <w:color w:val="auto"/>
              </w:rPr>
            </w:pPr>
          </w:p>
        </w:tc>
        <w:tc>
          <w:tcPr>
            <w:tcW w:w="60" w:type="dxa"/>
            <w:vAlign w:val="bottom"/>
            <w:shd w:val="clear" w:color="auto" w:fill="998C87"/>
          </w:tcPr>
          <w:p>
            <w:pPr>
              <w:spacing w:after="0"/>
              <w:rPr>
                <w:sz w:val="5"/>
                <w:szCs w:val="5"/>
                <w:color w:val="auto"/>
              </w:rPr>
            </w:pPr>
          </w:p>
        </w:tc>
        <w:tc>
          <w:tcPr>
            <w:tcW w:w="60" w:type="dxa"/>
            <w:vAlign w:val="bottom"/>
            <w:shd w:val="clear" w:color="auto" w:fill="998C87"/>
          </w:tcPr>
          <w:p>
            <w:pPr>
              <w:spacing w:after="0"/>
              <w:rPr>
                <w:sz w:val="5"/>
                <w:szCs w:val="5"/>
                <w:color w:val="auto"/>
              </w:rPr>
            </w:pPr>
          </w:p>
        </w:tc>
        <w:tc>
          <w:tcPr>
            <w:tcW w:w="2080" w:type="dxa"/>
            <w:vAlign w:val="bottom"/>
            <w:gridSpan w:val="4"/>
            <w:vMerge w:val="continue"/>
            <w:shd w:val="clear" w:color="auto" w:fill="998C87"/>
          </w:tcPr>
          <w:p>
            <w:pPr>
              <w:spacing w:after="0"/>
              <w:rPr>
                <w:sz w:val="5"/>
                <w:szCs w:val="5"/>
                <w:color w:val="auto"/>
              </w:rPr>
            </w:pPr>
          </w:p>
        </w:tc>
        <w:tc>
          <w:tcPr>
            <w:tcW w:w="600" w:type="dxa"/>
            <w:vAlign w:val="bottom"/>
            <w:vMerge w:val="restart"/>
            <w:shd w:val="clear" w:color="auto" w:fill="998C87"/>
          </w:tcPr>
          <w:p>
            <w:pPr>
              <w:jc w:val="center"/>
              <w:ind w:right="17"/>
              <w:spacing w:after="0" w:line="135" w:lineRule="exact"/>
              <w:rPr>
                <w:sz w:val="20"/>
                <w:szCs w:val="20"/>
                <w:color w:val="auto"/>
              </w:rPr>
            </w:pPr>
            <w:r>
              <w:rPr>
                <w:rFonts w:ascii="Arial" w:cs="Arial" w:eastAsia="Arial" w:hAnsi="Arial"/>
                <w:sz w:val="13"/>
                <w:szCs w:val="13"/>
                <w:b w:val="1"/>
                <w:bCs w:val="1"/>
                <w:color w:val="FFFFFF"/>
                <w:w w:val="97"/>
              </w:rPr>
              <w:t>(Number</w:t>
            </w:r>
          </w:p>
        </w:tc>
        <w:tc>
          <w:tcPr>
            <w:tcW w:w="780" w:type="dxa"/>
            <w:vAlign w:val="bottom"/>
            <w:vMerge w:val="restart"/>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4"/>
              </w:rPr>
              <w:t>SAR</w:t>
            </w:r>
          </w:p>
        </w:tc>
        <w:tc>
          <w:tcPr>
            <w:tcW w:w="680" w:type="dxa"/>
            <w:vAlign w:val="bottom"/>
            <w:shd w:val="clear" w:color="auto" w:fill="998C87"/>
          </w:tcPr>
          <w:p>
            <w:pPr>
              <w:spacing w:after="0"/>
              <w:rPr>
                <w:sz w:val="5"/>
                <w:szCs w:val="5"/>
                <w:color w:val="auto"/>
              </w:rPr>
            </w:pPr>
          </w:p>
        </w:tc>
        <w:tc>
          <w:tcPr>
            <w:tcW w:w="740" w:type="dxa"/>
            <w:vAlign w:val="bottom"/>
            <w:vMerge w:val="restart"/>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2"/>
              </w:rPr>
              <w:t>Fair</w:t>
            </w:r>
          </w:p>
        </w:tc>
        <w:tc>
          <w:tcPr>
            <w:tcW w:w="0" w:type="dxa"/>
            <w:vAlign w:val="bottom"/>
          </w:tcPr>
          <w:p>
            <w:pPr>
              <w:spacing w:after="0"/>
              <w:rPr>
                <w:sz w:val="1"/>
                <w:szCs w:val="1"/>
                <w:color w:val="auto"/>
              </w:rPr>
            </w:pPr>
          </w:p>
        </w:tc>
      </w:tr>
      <w:tr>
        <w:trPr>
          <w:trHeight w:val="67"/>
        </w:trPr>
        <w:tc>
          <w:tcPr>
            <w:tcW w:w="2400" w:type="dxa"/>
            <w:vAlign w:val="bottom"/>
            <w:shd w:val="clear" w:color="auto" w:fill="998C87"/>
          </w:tcPr>
          <w:p>
            <w:pPr>
              <w:spacing w:after="0"/>
              <w:rPr>
                <w:sz w:val="5"/>
                <w:szCs w:val="5"/>
                <w:color w:val="auto"/>
              </w:rPr>
            </w:pPr>
          </w:p>
        </w:tc>
        <w:tc>
          <w:tcPr>
            <w:tcW w:w="100" w:type="dxa"/>
            <w:vAlign w:val="bottom"/>
            <w:shd w:val="clear" w:color="auto" w:fill="998C87"/>
          </w:tcPr>
          <w:p>
            <w:pPr>
              <w:spacing w:after="0"/>
              <w:rPr>
                <w:sz w:val="5"/>
                <w:szCs w:val="5"/>
                <w:color w:val="auto"/>
              </w:rPr>
            </w:pPr>
          </w:p>
        </w:tc>
        <w:tc>
          <w:tcPr>
            <w:tcW w:w="520" w:type="dxa"/>
            <w:vAlign w:val="bottom"/>
            <w:shd w:val="clear" w:color="auto" w:fill="998C87"/>
          </w:tcPr>
          <w:p>
            <w:pPr>
              <w:spacing w:after="0"/>
              <w:rPr>
                <w:sz w:val="5"/>
                <w:szCs w:val="5"/>
                <w:color w:val="auto"/>
              </w:rPr>
            </w:pPr>
          </w:p>
        </w:tc>
        <w:tc>
          <w:tcPr>
            <w:tcW w:w="100" w:type="dxa"/>
            <w:vAlign w:val="bottom"/>
            <w:shd w:val="clear" w:color="auto" w:fill="998C87"/>
          </w:tcPr>
          <w:p>
            <w:pPr>
              <w:spacing w:after="0"/>
              <w:rPr>
                <w:sz w:val="5"/>
                <w:szCs w:val="5"/>
                <w:color w:val="auto"/>
              </w:rPr>
            </w:pPr>
          </w:p>
        </w:tc>
        <w:tc>
          <w:tcPr>
            <w:tcW w:w="600" w:type="dxa"/>
            <w:vAlign w:val="bottom"/>
            <w:shd w:val="clear" w:color="auto" w:fill="998C87"/>
          </w:tcPr>
          <w:p>
            <w:pPr>
              <w:spacing w:after="0"/>
              <w:rPr>
                <w:sz w:val="5"/>
                <w:szCs w:val="5"/>
                <w:color w:val="auto"/>
              </w:rPr>
            </w:pPr>
          </w:p>
        </w:tc>
        <w:tc>
          <w:tcPr>
            <w:tcW w:w="60" w:type="dxa"/>
            <w:vAlign w:val="bottom"/>
            <w:shd w:val="clear" w:color="auto" w:fill="998C87"/>
          </w:tcPr>
          <w:p>
            <w:pPr>
              <w:spacing w:after="0"/>
              <w:rPr>
                <w:sz w:val="5"/>
                <w:szCs w:val="5"/>
                <w:color w:val="auto"/>
              </w:rPr>
            </w:pPr>
          </w:p>
        </w:tc>
        <w:tc>
          <w:tcPr>
            <w:tcW w:w="40" w:type="dxa"/>
            <w:vAlign w:val="bottom"/>
            <w:shd w:val="clear" w:color="auto" w:fill="998C87"/>
          </w:tcPr>
          <w:p>
            <w:pPr>
              <w:spacing w:after="0"/>
              <w:rPr>
                <w:sz w:val="5"/>
                <w:szCs w:val="5"/>
                <w:color w:val="auto"/>
              </w:rPr>
            </w:pPr>
          </w:p>
        </w:tc>
        <w:tc>
          <w:tcPr>
            <w:tcW w:w="2180" w:type="dxa"/>
            <w:vAlign w:val="bottom"/>
            <w:gridSpan w:val="4"/>
            <w:vMerge w:val="restart"/>
            <w:shd w:val="clear" w:color="auto" w:fill="998C87"/>
          </w:tcPr>
          <w:p>
            <w:pPr>
              <w:ind w:left="400"/>
              <w:spacing w:after="0" w:line="135" w:lineRule="exact"/>
              <w:rPr>
                <w:sz w:val="20"/>
                <w:szCs w:val="20"/>
                <w:color w:val="auto"/>
              </w:rPr>
            </w:pPr>
            <w:r>
              <w:rPr>
                <w:rFonts w:ascii="Arial" w:cs="Arial" w:eastAsia="Arial" w:hAnsi="Arial"/>
                <w:sz w:val="13"/>
                <w:szCs w:val="13"/>
                <w:b w:val="1"/>
                <w:bCs w:val="1"/>
                <w:color w:val="FFFFFF"/>
              </w:rPr>
              <w:t>Non-Equity Incentive</w:t>
            </w:r>
          </w:p>
        </w:tc>
        <w:tc>
          <w:tcPr>
            <w:tcW w:w="60" w:type="dxa"/>
            <w:vAlign w:val="bottom"/>
            <w:shd w:val="clear" w:color="auto" w:fill="998C87"/>
          </w:tcPr>
          <w:p>
            <w:pPr>
              <w:spacing w:after="0"/>
              <w:rPr>
                <w:sz w:val="5"/>
                <w:szCs w:val="5"/>
                <w:color w:val="auto"/>
              </w:rPr>
            </w:pPr>
          </w:p>
        </w:tc>
        <w:tc>
          <w:tcPr>
            <w:tcW w:w="60" w:type="dxa"/>
            <w:vAlign w:val="bottom"/>
            <w:shd w:val="clear" w:color="auto" w:fill="998C87"/>
          </w:tcPr>
          <w:p>
            <w:pPr>
              <w:spacing w:after="0"/>
              <w:rPr>
                <w:sz w:val="5"/>
                <w:szCs w:val="5"/>
                <w:color w:val="auto"/>
              </w:rPr>
            </w:pPr>
          </w:p>
        </w:tc>
        <w:tc>
          <w:tcPr>
            <w:tcW w:w="2080" w:type="dxa"/>
            <w:vAlign w:val="bottom"/>
            <w:gridSpan w:val="4"/>
            <w:vMerge w:val="restart"/>
            <w:shd w:val="clear" w:color="auto" w:fill="998C87"/>
          </w:tcPr>
          <w:p>
            <w:pPr>
              <w:jc w:val="center"/>
              <w:ind w:right="197"/>
              <w:spacing w:after="0" w:line="135" w:lineRule="exact"/>
              <w:rPr>
                <w:sz w:val="20"/>
                <w:szCs w:val="20"/>
                <w:color w:val="auto"/>
              </w:rPr>
            </w:pPr>
            <w:r>
              <w:rPr>
                <w:rFonts w:ascii="Arial" w:cs="Arial" w:eastAsia="Arial" w:hAnsi="Arial"/>
                <w:sz w:val="13"/>
                <w:szCs w:val="13"/>
                <w:b w:val="1"/>
                <w:bCs w:val="1"/>
                <w:color w:val="FFFFFF"/>
                <w:w w:val="96"/>
              </w:rPr>
              <w:t>Equity Incentive Plan</w:t>
            </w:r>
          </w:p>
        </w:tc>
        <w:tc>
          <w:tcPr>
            <w:tcW w:w="600" w:type="dxa"/>
            <w:vAlign w:val="bottom"/>
            <w:vMerge w:val="continue"/>
            <w:shd w:val="clear" w:color="auto" w:fill="998C87"/>
          </w:tcPr>
          <w:p>
            <w:pPr>
              <w:spacing w:after="0"/>
              <w:rPr>
                <w:sz w:val="5"/>
                <w:szCs w:val="5"/>
                <w:color w:val="auto"/>
              </w:rPr>
            </w:pPr>
          </w:p>
        </w:tc>
        <w:tc>
          <w:tcPr>
            <w:tcW w:w="780" w:type="dxa"/>
            <w:vAlign w:val="bottom"/>
            <w:vMerge w:val="continue"/>
            <w:shd w:val="clear" w:color="auto" w:fill="998C87"/>
          </w:tcPr>
          <w:p>
            <w:pPr>
              <w:spacing w:after="0"/>
              <w:rPr>
                <w:sz w:val="5"/>
                <w:szCs w:val="5"/>
                <w:color w:val="auto"/>
              </w:rPr>
            </w:pPr>
          </w:p>
        </w:tc>
        <w:tc>
          <w:tcPr>
            <w:tcW w:w="680" w:type="dxa"/>
            <w:vAlign w:val="bottom"/>
            <w:shd w:val="clear" w:color="auto" w:fill="998C87"/>
          </w:tcPr>
          <w:p>
            <w:pPr>
              <w:spacing w:after="0"/>
              <w:rPr>
                <w:sz w:val="5"/>
                <w:szCs w:val="5"/>
                <w:color w:val="auto"/>
              </w:rPr>
            </w:pPr>
          </w:p>
        </w:tc>
        <w:tc>
          <w:tcPr>
            <w:tcW w:w="740" w:type="dxa"/>
            <w:vAlign w:val="bottom"/>
            <w:vMerge w:val="continue"/>
            <w:shd w:val="clear" w:color="auto" w:fill="998C87"/>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400" w:type="dxa"/>
            <w:vAlign w:val="bottom"/>
            <w:shd w:val="clear" w:color="auto" w:fill="998C87"/>
          </w:tcPr>
          <w:p>
            <w:pPr>
              <w:spacing w:after="0"/>
              <w:rPr>
                <w:sz w:val="5"/>
                <w:szCs w:val="5"/>
                <w:color w:val="auto"/>
              </w:rPr>
            </w:pPr>
          </w:p>
        </w:tc>
        <w:tc>
          <w:tcPr>
            <w:tcW w:w="100" w:type="dxa"/>
            <w:vAlign w:val="bottom"/>
            <w:shd w:val="clear" w:color="auto" w:fill="998C87"/>
          </w:tcPr>
          <w:p>
            <w:pPr>
              <w:spacing w:after="0"/>
              <w:rPr>
                <w:sz w:val="5"/>
                <w:szCs w:val="5"/>
                <w:color w:val="auto"/>
              </w:rPr>
            </w:pPr>
          </w:p>
        </w:tc>
        <w:tc>
          <w:tcPr>
            <w:tcW w:w="520" w:type="dxa"/>
            <w:vAlign w:val="bottom"/>
            <w:shd w:val="clear" w:color="auto" w:fill="998C87"/>
          </w:tcPr>
          <w:p>
            <w:pPr>
              <w:spacing w:after="0"/>
              <w:rPr>
                <w:sz w:val="5"/>
                <w:szCs w:val="5"/>
                <w:color w:val="auto"/>
              </w:rPr>
            </w:pPr>
          </w:p>
        </w:tc>
        <w:tc>
          <w:tcPr>
            <w:tcW w:w="100" w:type="dxa"/>
            <w:vAlign w:val="bottom"/>
            <w:shd w:val="clear" w:color="auto" w:fill="998C87"/>
          </w:tcPr>
          <w:p>
            <w:pPr>
              <w:spacing w:after="0"/>
              <w:rPr>
                <w:sz w:val="5"/>
                <w:szCs w:val="5"/>
                <w:color w:val="auto"/>
              </w:rPr>
            </w:pPr>
          </w:p>
        </w:tc>
        <w:tc>
          <w:tcPr>
            <w:tcW w:w="600" w:type="dxa"/>
            <w:vAlign w:val="bottom"/>
            <w:shd w:val="clear" w:color="auto" w:fill="998C87"/>
          </w:tcPr>
          <w:p>
            <w:pPr>
              <w:spacing w:after="0"/>
              <w:rPr>
                <w:sz w:val="5"/>
                <w:szCs w:val="5"/>
                <w:color w:val="auto"/>
              </w:rPr>
            </w:pPr>
          </w:p>
        </w:tc>
        <w:tc>
          <w:tcPr>
            <w:tcW w:w="60" w:type="dxa"/>
            <w:vAlign w:val="bottom"/>
            <w:shd w:val="clear" w:color="auto" w:fill="998C87"/>
          </w:tcPr>
          <w:p>
            <w:pPr>
              <w:spacing w:after="0"/>
              <w:rPr>
                <w:sz w:val="5"/>
                <w:szCs w:val="5"/>
                <w:color w:val="auto"/>
              </w:rPr>
            </w:pPr>
          </w:p>
        </w:tc>
        <w:tc>
          <w:tcPr>
            <w:tcW w:w="40" w:type="dxa"/>
            <w:vAlign w:val="bottom"/>
            <w:shd w:val="clear" w:color="auto" w:fill="998C87"/>
          </w:tcPr>
          <w:p>
            <w:pPr>
              <w:spacing w:after="0"/>
              <w:rPr>
                <w:sz w:val="5"/>
                <w:szCs w:val="5"/>
                <w:color w:val="auto"/>
              </w:rPr>
            </w:pPr>
          </w:p>
        </w:tc>
        <w:tc>
          <w:tcPr>
            <w:tcW w:w="2180" w:type="dxa"/>
            <w:vAlign w:val="bottom"/>
            <w:gridSpan w:val="4"/>
            <w:vMerge w:val="continue"/>
            <w:shd w:val="clear" w:color="auto" w:fill="998C87"/>
          </w:tcPr>
          <w:p>
            <w:pPr>
              <w:spacing w:after="0"/>
              <w:rPr>
                <w:sz w:val="5"/>
                <w:szCs w:val="5"/>
                <w:color w:val="auto"/>
              </w:rPr>
            </w:pPr>
          </w:p>
        </w:tc>
        <w:tc>
          <w:tcPr>
            <w:tcW w:w="60" w:type="dxa"/>
            <w:vAlign w:val="bottom"/>
            <w:shd w:val="clear" w:color="auto" w:fill="998C87"/>
          </w:tcPr>
          <w:p>
            <w:pPr>
              <w:spacing w:after="0"/>
              <w:rPr>
                <w:sz w:val="5"/>
                <w:szCs w:val="5"/>
                <w:color w:val="auto"/>
              </w:rPr>
            </w:pPr>
          </w:p>
        </w:tc>
        <w:tc>
          <w:tcPr>
            <w:tcW w:w="60" w:type="dxa"/>
            <w:vAlign w:val="bottom"/>
            <w:shd w:val="clear" w:color="auto" w:fill="998C87"/>
          </w:tcPr>
          <w:p>
            <w:pPr>
              <w:spacing w:after="0"/>
              <w:rPr>
                <w:sz w:val="5"/>
                <w:szCs w:val="5"/>
                <w:color w:val="auto"/>
              </w:rPr>
            </w:pPr>
          </w:p>
        </w:tc>
        <w:tc>
          <w:tcPr>
            <w:tcW w:w="2080" w:type="dxa"/>
            <w:vAlign w:val="bottom"/>
            <w:gridSpan w:val="4"/>
            <w:vMerge w:val="continue"/>
            <w:shd w:val="clear" w:color="auto" w:fill="998C87"/>
          </w:tcPr>
          <w:p>
            <w:pPr>
              <w:spacing w:after="0"/>
              <w:rPr>
                <w:sz w:val="5"/>
                <w:szCs w:val="5"/>
                <w:color w:val="auto"/>
              </w:rPr>
            </w:pPr>
          </w:p>
        </w:tc>
        <w:tc>
          <w:tcPr>
            <w:tcW w:w="600" w:type="dxa"/>
            <w:vAlign w:val="bottom"/>
            <w:vMerge w:val="restart"/>
            <w:shd w:val="clear" w:color="auto" w:fill="998C87"/>
          </w:tcPr>
          <w:p>
            <w:pPr>
              <w:jc w:val="center"/>
              <w:ind w:right="17"/>
              <w:spacing w:after="0" w:line="135" w:lineRule="exact"/>
              <w:rPr>
                <w:sz w:val="20"/>
                <w:szCs w:val="20"/>
                <w:color w:val="auto"/>
              </w:rPr>
            </w:pPr>
            <w:r>
              <w:rPr>
                <w:rFonts w:ascii="Arial" w:cs="Arial" w:eastAsia="Arial" w:hAnsi="Arial"/>
                <w:sz w:val="13"/>
                <w:szCs w:val="13"/>
                <w:b w:val="1"/>
                <w:bCs w:val="1"/>
                <w:color w:val="FFFFFF"/>
                <w:w w:val="97"/>
              </w:rPr>
              <w:t>of</w:t>
            </w:r>
          </w:p>
        </w:tc>
        <w:tc>
          <w:tcPr>
            <w:tcW w:w="780" w:type="dxa"/>
            <w:vAlign w:val="bottom"/>
            <w:vMerge w:val="restart"/>
            <w:shd w:val="clear" w:color="auto" w:fill="998C87"/>
          </w:tcPr>
          <w:p>
            <w:pPr>
              <w:jc w:val="right"/>
              <w:ind w:right="77"/>
              <w:spacing w:after="0" w:line="135" w:lineRule="exact"/>
              <w:rPr>
                <w:sz w:val="20"/>
                <w:szCs w:val="20"/>
                <w:color w:val="auto"/>
              </w:rPr>
            </w:pPr>
            <w:r>
              <w:rPr>
                <w:rFonts w:ascii="Arial" w:cs="Arial" w:eastAsia="Arial" w:hAnsi="Arial"/>
                <w:sz w:val="13"/>
                <w:szCs w:val="13"/>
                <w:b w:val="1"/>
                <w:bCs w:val="1"/>
                <w:color w:val="FFFFFF"/>
              </w:rPr>
              <w:t>Awards:</w:t>
            </w:r>
          </w:p>
        </w:tc>
        <w:tc>
          <w:tcPr>
            <w:tcW w:w="680" w:type="dxa"/>
            <w:vAlign w:val="bottom"/>
            <w:shd w:val="clear" w:color="auto" w:fill="998C87"/>
          </w:tcPr>
          <w:p>
            <w:pPr>
              <w:spacing w:after="0"/>
              <w:rPr>
                <w:sz w:val="5"/>
                <w:szCs w:val="5"/>
                <w:color w:val="auto"/>
              </w:rPr>
            </w:pPr>
          </w:p>
        </w:tc>
        <w:tc>
          <w:tcPr>
            <w:tcW w:w="740" w:type="dxa"/>
            <w:vAlign w:val="bottom"/>
            <w:vMerge w:val="restart"/>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7"/>
              </w:rPr>
              <w:t>Value</w:t>
            </w:r>
          </w:p>
        </w:tc>
        <w:tc>
          <w:tcPr>
            <w:tcW w:w="0" w:type="dxa"/>
            <w:vAlign w:val="bottom"/>
          </w:tcPr>
          <w:p>
            <w:pPr>
              <w:spacing w:after="0"/>
              <w:rPr>
                <w:sz w:val="1"/>
                <w:szCs w:val="1"/>
                <w:color w:val="auto"/>
              </w:rPr>
            </w:pPr>
          </w:p>
        </w:tc>
      </w:tr>
      <w:tr>
        <w:trPr>
          <w:trHeight w:val="67"/>
        </w:trPr>
        <w:tc>
          <w:tcPr>
            <w:tcW w:w="2400" w:type="dxa"/>
            <w:vAlign w:val="bottom"/>
            <w:shd w:val="clear" w:color="auto" w:fill="998C87"/>
          </w:tcPr>
          <w:p>
            <w:pPr>
              <w:spacing w:after="0"/>
              <w:rPr>
                <w:sz w:val="5"/>
                <w:szCs w:val="5"/>
                <w:color w:val="auto"/>
              </w:rPr>
            </w:pPr>
          </w:p>
        </w:tc>
        <w:tc>
          <w:tcPr>
            <w:tcW w:w="100" w:type="dxa"/>
            <w:vAlign w:val="bottom"/>
            <w:shd w:val="clear" w:color="auto" w:fill="998C87"/>
          </w:tcPr>
          <w:p>
            <w:pPr>
              <w:spacing w:after="0"/>
              <w:rPr>
                <w:sz w:val="5"/>
                <w:szCs w:val="5"/>
                <w:color w:val="auto"/>
              </w:rPr>
            </w:pPr>
          </w:p>
        </w:tc>
        <w:tc>
          <w:tcPr>
            <w:tcW w:w="520" w:type="dxa"/>
            <w:vAlign w:val="bottom"/>
            <w:shd w:val="clear" w:color="auto" w:fill="998C87"/>
          </w:tcPr>
          <w:p>
            <w:pPr>
              <w:spacing w:after="0"/>
              <w:rPr>
                <w:sz w:val="5"/>
                <w:szCs w:val="5"/>
                <w:color w:val="auto"/>
              </w:rPr>
            </w:pPr>
          </w:p>
        </w:tc>
        <w:tc>
          <w:tcPr>
            <w:tcW w:w="100" w:type="dxa"/>
            <w:vAlign w:val="bottom"/>
            <w:shd w:val="clear" w:color="auto" w:fill="998C87"/>
          </w:tcPr>
          <w:p>
            <w:pPr>
              <w:spacing w:after="0"/>
              <w:rPr>
                <w:sz w:val="5"/>
                <w:szCs w:val="5"/>
                <w:color w:val="auto"/>
              </w:rPr>
            </w:pPr>
          </w:p>
        </w:tc>
        <w:tc>
          <w:tcPr>
            <w:tcW w:w="600" w:type="dxa"/>
            <w:vAlign w:val="bottom"/>
            <w:shd w:val="clear" w:color="auto" w:fill="998C87"/>
          </w:tcPr>
          <w:p>
            <w:pPr>
              <w:spacing w:after="0"/>
              <w:rPr>
                <w:sz w:val="5"/>
                <w:szCs w:val="5"/>
                <w:color w:val="auto"/>
              </w:rPr>
            </w:pPr>
          </w:p>
        </w:tc>
        <w:tc>
          <w:tcPr>
            <w:tcW w:w="60" w:type="dxa"/>
            <w:vAlign w:val="bottom"/>
            <w:shd w:val="clear" w:color="auto" w:fill="998C87"/>
          </w:tcPr>
          <w:p>
            <w:pPr>
              <w:spacing w:after="0"/>
              <w:rPr>
                <w:sz w:val="5"/>
                <w:szCs w:val="5"/>
                <w:color w:val="auto"/>
              </w:rPr>
            </w:pPr>
          </w:p>
        </w:tc>
        <w:tc>
          <w:tcPr>
            <w:tcW w:w="40" w:type="dxa"/>
            <w:vAlign w:val="bottom"/>
            <w:shd w:val="clear" w:color="auto" w:fill="998C87"/>
          </w:tcPr>
          <w:p>
            <w:pPr>
              <w:spacing w:after="0"/>
              <w:rPr>
                <w:sz w:val="5"/>
                <w:szCs w:val="5"/>
                <w:color w:val="auto"/>
              </w:rPr>
            </w:pPr>
          </w:p>
        </w:tc>
        <w:tc>
          <w:tcPr>
            <w:tcW w:w="1500" w:type="dxa"/>
            <w:vAlign w:val="bottom"/>
            <w:gridSpan w:val="3"/>
            <w:vMerge w:val="restart"/>
            <w:shd w:val="clear" w:color="auto" w:fill="998C87"/>
          </w:tcPr>
          <w:p>
            <w:pPr>
              <w:jc w:val="center"/>
              <w:ind w:left="497"/>
              <w:spacing w:after="0"/>
              <w:rPr>
                <w:sz w:val="20"/>
                <w:szCs w:val="20"/>
                <w:color w:val="auto"/>
              </w:rPr>
            </w:pPr>
            <w:r>
              <w:rPr>
                <w:rFonts w:ascii="Arial" w:cs="Arial" w:eastAsia="Arial" w:hAnsi="Arial"/>
                <w:sz w:val="13"/>
                <w:szCs w:val="13"/>
                <w:b w:val="1"/>
                <w:bCs w:val="1"/>
                <w:color w:val="FFFFFF"/>
              </w:rPr>
              <w:t>Plan Awards(2)</w:t>
            </w:r>
          </w:p>
        </w:tc>
        <w:tc>
          <w:tcPr>
            <w:tcW w:w="680" w:type="dxa"/>
            <w:vAlign w:val="bottom"/>
            <w:shd w:val="clear" w:color="auto" w:fill="998C87"/>
          </w:tcPr>
          <w:p>
            <w:pPr>
              <w:spacing w:after="0"/>
              <w:rPr>
                <w:sz w:val="5"/>
                <w:szCs w:val="5"/>
                <w:color w:val="auto"/>
              </w:rPr>
            </w:pPr>
          </w:p>
        </w:tc>
        <w:tc>
          <w:tcPr>
            <w:tcW w:w="60" w:type="dxa"/>
            <w:vAlign w:val="bottom"/>
            <w:shd w:val="clear" w:color="auto" w:fill="998C87"/>
          </w:tcPr>
          <w:p>
            <w:pPr>
              <w:spacing w:after="0"/>
              <w:rPr>
                <w:sz w:val="5"/>
                <w:szCs w:val="5"/>
                <w:color w:val="auto"/>
              </w:rPr>
            </w:pPr>
          </w:p>
        </w:tc>
        <w:tc>
          <w:tcPr>
            <w:tcW w:w="60" w:type="dxa"/>
            <w:vAlign w:val="bottom"/>
            <w:shd w:val="clear" w:color="auto" w:fill="998C87"/>
          </w:tcPr>
          <w:p>
            <w:pPr>
              <w:spacing w:after="0"/>
              <w:rPr>
                <w:sz w:val="5"/>
                <w:szCs w:val="5"/>
                <w:color w:val="auto"/>
              </w:rPr>
            </w:pPr>
          </w:p>
        </w:tc>
        <w:tc>
          <w:tcPr>
            <w:tcW w:w="580" w:type="dxa"/>
            <w:vAlign w:val="bottom"/>
            <w:shd w:val="clear" w:color="auto" w:fill="998C87"/>
          </w:tcPr>
          <w:p>
            <w:pPr>
              <w:spacing w:after="0"/>
              <w:rPr>
                <w:sz w:val="5"/>
                <w:szCs w:val="5"/>
                <w:color w:val="auto"/>
              </w:rPr>
            </w:pPr>
          </w:p>
        </w:tc>
        <w:tc>
          <w:tcPr>
            <w:tcW w:w="680" w:type="dxa"/>
            <w:vAlign w:val="bottom"/>
            <w:gridSpan w:val="2"/>
            <w:vMerge w:val="restart"/>
            <w:shd w:val="clear" w:color="auto" w:fill="998C87"/>
          </w:tcPr>
          <w:p>
            <w:pPr>
              <w:jc w:val="center"/>
              <w:spacing w:after="0"/>
              <w:rPr>
                <w:sz w:val="20"/>
                <w:szCs w:val="20"/>
                <w:color w:val="auto"/>
              </w:rPr>
            </w:pPr>
            <w:r>
              <w:rPr>
                <w:rFonts w:ascii="Arial" w:cs="Arial" w:eastAsia="Arial" w:hAnsi="Arial"/>
                <w:sz w:val="13"/>
                <w:szCs w:val="13"/>
                <w:b w:val="1"/>
                <w:bCs w:val="1"/>
                <w:color w:val="FFFFFF"/>
                <w:w w:val="98"/>
              </w:rPr>
              <w:t>Awards(3)</w:t>
            </w:r>
          </w:p>
        </w:tc>
        <w:tc>
          <w:tcPr>
            <w:tcW w:w="820" w:type="dxa"/>
            <w:vAlign w:val="bottom"/>
            <w:shd w:val="clear" w:color="auto" w:fill="998C87"/>
          </w:tcPr>
          <w:p>
            <w:pPr>
              <w:spacing w:after="0"/>
              <w:rPr>
                <w:sz w:val="5"/>
                <w:szCs w:val="5"/>
                <w:color w:val="auto"/>
              </w:rPr>
            </w:pPr>
          </w:p>
        </w:tc>
        <w:tc>
          <w:tcPr>
            <w:tcW w:w="600" w:type="dxa"/>
            <w:vAlign w:val="bottom"/>
            <w:vMerge w:val="continue"/>
            <w:shd w:val="clear" w:color="auto" w:fill="998C87"/>
          </w:tcPr>
          <w:p>
            <w:pPr>
              <w:spacing w:after="0"/>
              <w:rPr>
                <w:sz w:val="5"/>
                <w:szCs w:val="5"/>
                <w:color w:val="auto"/>
              </w:rPr>
            </w:pPr>
          </w:p>
        </w:tc>
        <w:tc>
          <w:tcPr>
            <w:tcW w:w="780" w:type="dxa"/>
            <w:vAlign w:val="bottom"/>
            <w:vMerge w:val="continue"/>
            <w:shd w:val="clear" w:color="auto" w:fill="998C87"/>
          </w:tcPr>
          <w:p>
            <w:pPr>
              <w:spacing w:after="0"/>
              <w:rPr>
                <w:sz w:val="5"/>
                <w:szCs w:val="5"/>
                <w:color w:val="auto"/>
              </w:rPr>
            </w:pPr>
          </w:p>
        </w:tc>
        <w:tc>
          <w:tcPr>
            <w:tcW w:w="680" w:type="dxa"/>
            <w:vAlign w:val="bottom"/>
            <w:shd w:val="clear" w:color="auto" w:fill="998C87"/>
          </w:tcPr>
          <w:p>
            <w:pPr>
              <w:spacing w:after="0"/>
              <w:rPr>
                <w:sz w:val="5"/>
                <w:szCs w:val="5"/>
                <w:color w:val="auto"/>
              </w:rPr>
            </w:pPr>
          </w:p>
        </w:tc>
        <w:tc>
          <w:tcPr>
            <w:tcW w:w="740" w:type="dxa"/>
            <w:vAlign w:val="bottom"/>
            <w:vMerge w:val="continue"/>
            <w:shd w:val="clear" w:color="auto" w:fill="998C87"/>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400" w:type="dxa"/>
            <w:vAlign w:val="bottom"/>
            <w:shd w:val="clear" w:color="auto" w:fill="998C87"/>
          </w:tcPr>
          <w:p>
            <w:pPr>
              <w:spacing w:after="0"/>
              <w:rPr>
                <w:sz w:val="9"/>
                <w:szCs w:val="9"/>
                <w:color w:val="auto"/>
              </w:rPr>
            </w:pPr>
          </w:p>
        </w:tc>
        <w:tc>
          <w:tcPr>
            <w:tcW w:w="100" w:type="dxa"/>
            <w:vAlign w:val="bottom"/>
            <w:shd w:val="clear" w:color="auto" w:fill="998C87"/>
          </w:tcPr>
          <w:p>
            <w:pPr>
              <w:spacing w:after="0"/>
              <w:rPr>
                <w:sz w:val="9"/>
                <w:szCs w:val="9"/>
                <w:color w:val="auto"/>
              </w:rPr>
            </w:pPr>
          </w:p>
        </w:tc>
        <w:tc>
          <w:tcPr>
            <w:tcW w:w="520" w:type="dxa"/>
            <w:vAlign w:val="bottom"/>
            <w:shd w:val="clear" w:color="auto" w:fill="998C87"/>
          </w:tcPr>
          <w:p>
            <w:pPr>
              <w:spacing w:after="0"/>
              <w:rPr>
                <w:sz w:val="9"/>
                <w:szCs w:val="9"/>
                <w:color w:val="auto"/>
              </w:rPr>
            </w:pPr>
          </w:p>
        </w:tc>
        <w:tc>
          <w:tcPr>
            <w:tcW w:w="100" w:type="dxa"/>
            <w:vAlign w:val="bottom"/>
            <w:shd w:val="clear" w:color="auto" w:fill="998C87"/>
          </w:tcPr>
          <w:p>
            <w:pPr>
              <w:spacing w:after="0"/>
              <w:rPr>
                <w:sz w:val="9"/>
                <w:szCs w:val="9"/>
                <w:color w:val="auto"/>
              </w:rPr>
            </w:pPr>
          </w:p>
        </w:tc>
        <w:tc>
          <w:tcPr>
            <w:tcW w:w="600" w:type="dxa"/>
            <w:vAlign w:val="bottom"/>
            <w:shd w:val="clear" w:color="auto" w:fill="998C87"/>
          </w:tcPr>
          <w:p>
            <w:pPr>
              <w:spacing w:after="0"/>
              <w:rPr>
                <w:sz w:val="9"/>
                <w:szCs w:val="9"/>
                <w:color w:val="auto"/>
              </w:rPr>
            </w:pPr>
          </w:p>
        </w:tc>
        <w:tc>
          <w:tcPr>
            <w:tcW w:w="60" w:type="dxa"/>
            <w:vAlign w:val="bottom"/>
            <w:shd w:val="clear" w:color="auto" w:fill="998C87"/>
          </w:tcPr>
          <w:p>
            <w:pPr>
              <w:spacing w:after="0"/>
              <w:rPr>
                <w:sz w:val="9"/>
                <w:szCs w:val="9"/>
                <w:color w:val="auto"/>
              </w:rPr>
            </w:pPr>
          </w:p>
        </w:tc>
        <w:tc>
          <w:tcPr>
            <w:tcW w:w="40" w:type="dxa"/>
            <w:vAlign w:val="bottom"/>
            <w:shd w:val="clear" w:color="auto" w:fill="998C87"/>
          </w:tcPr>
          <w:p>
            <w:pPr>
              <w:spacing w:after="0"/>
              <w:rPr>
                <w:sz w:val="9"/>
                <w:szCs w:val="9"/>
                <w:color w:val="auto"/>
              </w:rPr>
            </w:pPr>
          </w:p>
        </w:tc>
        <w:tc>
          <w:tcPr>
            <w:tcW w:w="1500" w:type="dxa"/>
            <w:vAlign w:val="bottom"/>
            <w:gridSpan w:val="3"/>
            <w:vMerge w:val="continue"/>
            <w:shd w:val="clear" w:color="auto" w:fill="998C87"/>
          </w:tcPr>
          <w:p>
            <w:pPr>
              <w:spacing w:after="0"/>
              <w:rPr>
                <w:sz w:val="9"/>
                <w:szCs w:val="9"/>
                <w:color w:val="auto"/>
              </w:rPr>
            </w:pPr>
          </w:p>
        </w:tc>
        <w:tc>
          <w:tcPr>
            <w:tcW w:w="680" w:type="dxa"/>
            <w:vAlign w:val="bottom"/>
            <w:shd w:val="clear" w:color="auto" w:fill="998C87"/>
          </w:tcPr>
          <w:p>
            <w:pPr>
              <w:spacing w:after="0"/>
              <w:rPr>
                <w:sz w:val="9"/>
                <w:szCs w:val="9"/>
                <w:color w:val="auto"/>
              </w:rPr>
            </w:pPr>
          </w:p>
        </w:tc>
        <w:tc>
          <w:tcPr>
            <w:tcW w:w="60" w:type="dxa"/>
            <w:vAlign w:val="bottom"/>
            <w:shd w:val="clear" w:color="auto" w:fill="998C87"/>
          </w:tcPr>
          <w:p>
            <w:pPr>
              <w:spacing w:after="0"/>
              <w:rPr>
                <w:sz w:val="9"/>
                <w:szCs w:val="9"/>
                <w:color w:val="auto"/>
              </w:rPr>
            </w:pPr>
          </w:p>
        </w:tc>
        <w:tc>
          <w:tcPr>
            <w:tcW w:w="60" w:type="dxa"/>
            <w:vAlign w:val="bottom"/>
            <w:shd w:val="clear" w:color="auto" w:fill="998C87"/>
          </w:tcPr>
          <w:p>
            <w:pPr>
              <w:spacing w:after="0"/>
              <w:rPr>
                <w:sz w:val="9"/>
                <w:szCs w:val="9"/>
                <w:color w:val="auto"/>
              </w:rPr>
            </w:pPr>
          </w:p>
        </w:tc>
        <w:tc>
          <w:tcPr>
            <w:tcW w:w="580" w:type="dxa"/>
            <w:vAlign w:val="bottom"/>
            <w:shd w:val="clear" w:color="auto" w:fill="998C87"/>
          </w:tcPr>
          <w:p>
            <w:pPr>
              <w:spacing w:after="0"/>
              <w:rPr>
                <w:sz w:val="9"/>
                <w:szCs w:val="9"/>
                <w:color w:val="auto"/>
              </w:rPr>
            </w:pPr>
          </w:p>
        </w:tc>
        <w:tc>
          <w:tcPr>
            <w:tcW w:w="680" w:type="dxa"/>
            <w:vAlign w:val="bottom"/>
            <w:gridSpan w:val="2"/>
            <w:vMerge w:val="continue"/>
            <w:shd w:val="clear" w:color="auto" w:fill="998C87"/>
          </w:tcPr>
          <w:p>
            <w:pPr>
              <w:spacing w:after="0"/>
              <w:rPr>
                <w:sz w:val="9"/>
                <w:szCs w:val="9"/>
                <w:color w:val="auto"/>
              </w:rPr>
            </w:pPr>
          </w:p>
        </w:tc>
        <w:tc>
          <w:tcPr>
            <w:tcW w:w="820" w:type="dxa"/>
            <w:vAlign w:val="bottom"/>
            <w:shd w:val="clear" w:color="auto" w:fill="998C87"/>
          </w:tcPr>
          <w:p>
            <w:pPr>
              <w:spacing w:after="0"/>
              <w:rPr>
                <w:sz w:val="9"/>
                <w:szCs w:val="9"/>
                <w:color w:val="auto"/>
              </w:rPr>
            </w:pPr>
          </w:p>
        </w:tc>
        <w:tc>
          <w:tcPr>
            <w:tcW w:w="600" w:type="dxa"/>
            <w:vAlign w:val="bottom"/>
            <w:vMerge w:val="restart"/>
            <w:shd w:val="clear" w:color="auto" w:fill="998C87"/>
          </w:tcPr>
          <w:p>
            <w:pPr>
              <w:jc w:val="center"/>
              <w:ind w:right="37"/>
              <w:spacing w:after="0" w:line="135" w:lineRule="exact"/>
              <w:rPr>
                <w:sz w:val="20"/>
                <w:szCs w:val="20"/>
                <w:color w:val="auto"/>
              </w:rPr>
            </w:pPr>
            <w:r>
              <w:rPr>
                <w:rFonts w:ascii="Arial" w:cs="Arial" w:eastAsia="Arial" w:hAnsi="Arial"/>
                <w:sz w:val="13"/>
                <w:szCs w:val="13"/>
                <w:b w:val="1"/>
                <w:bCs w:val="1"/>
                <w:color w:val="FFFFFF"/>
                <w:w w:val="96"/>
              </w:rPr>
              <w:t>Shares</w:t>
            </w:r>
          </w:p>
        </w:tc>
        <w:tc>
          <w:tcPr>
            <w:tcW w:w="780" w:type="dxa"/>
            <w:vAlign w:val="bottom"/>
            <w:vMerge w:val="restart"/>
            <w:shd w:val="clear" w:color="auto" w:fill="998C87"/>
          </w:tcPr>
          <w:p>
            <w:pPr>
              <w:jc w:val="right"/>
              <w:ind w:right="57"/>
              <w:spacing w:after="0" w:line="135" w:lineRule="exact"/>
              <w:rPr>
                <w:sz w:val="20"/>
                <w:szCs w:val="20"/>
                <w:color w:val="auto"/>
              </w:rPr>
            </w:pPr>
            <w:r>
              <w:rPr>
                <w:rFonts w:ascii="Arial" w:cs="Arial" w:eastAsia="Arial" w:hAnsi="Arial"/>
                <w:sz w:val="13"/>
                <w:szCs w:val="13"/>
                <w:b w:val="1"/>
                <w:bCs w:val="1"/>
                <w:color w:val="FFFFFF"/>
              </w:rPr>
              <w:t>(Number</w:t>
            </w:r>
          </w:p>
        </w:tc>
        <w:tc>
          <w:tcPr>
            <w:tcW w:w="680" w:type="dxa"/>
            <w:vAlign w:val="bottom"/>
            <w:vMerge w:val="restart"/>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7"/>
              </w:rPr>
              <w:t>Exercise</w:t>
            </w:r>
          </w:p>
        </w:tc>
        <w:tc>
          <w:tcPr>
            <w:tcW w:w="740" w:type="dxa"/>
            <w:vAlign w:val="bottom"/>
            <w:vMerge w:val="restart"/>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7"/>
              </w:rPr>
              <w:t>of</w:t>
            </w:r>
          </w:p>
        </w:tc>
        <w:tc>
          <w:tcPr>
            <w:tcW w:w="0" w:type="dxa"/>
            <w:vAlign w:val="bottom"/>
          </w:tcPr>
          <w:p>
            <w:pPr>
              <w:spacing w:after="0"/>
              <w:rPr>
                <w:sz w:val="1"/>
                <w:szCs w:val="1"/>
                <w:color w:val="auto"/>
              </w:rPr>
            </w:pPr>
          </w:p>
        </w:tc>
      </w:tr>
      <w:tr>
        <w:trPr>
          <w:trHeight w:val="26"/>
        </w:trPr>
        <w:tc>
          <w:tcPr>
            <w:tcW w:w="2400" w:type="dxa"/>
            <w:vAlign w:val="bottom"/>
            <w:shd w:val="clear" w:color="auto" w:fill="998C87"/>
          </w:tcPr>
          <w:p>
            <w:pPr>
              <w:spacing w:after="0"/>
              <w:rPr>
                <w:sz w:val="2"/>
                <w:szCs w:val="2"/>
                <w:color w:val="auto"/>
              </w:rPr>
            </w:pPr>
          </w:p>
        </w:tc>
        <w:tc>
          <w:tcPr>
            <w:tcW w:w="100" w:type="dxa"/>
            <w:vAlign w:val="bottom"/>
            <w:shd w:val="clear" w:color="auto" w:fill="998C87"/>
          </w:tcPr>
          <w:p>
            <w:pPr>
              <w:spacing w:after="0"/>
              <w:rPr>
                <w:sz w:val="2"/>
                <w:szCs w:val="2"/>
                <w:color w:val="auto"/>
              </w:rPr>
            </w:pPr>
          </w:p>
        </w:tc>
        <w:tc>
          <w:tcPr>
            <w:tcW w:w="520" w:type="dxa"/>
            <w:vAlign w:val="bottom"/>
            <w:shd w:val="clear" w:color="auto" w:fill="998C87"/>
          </w:tcPr>
          <w:p>
            <w:pPr>
              <w:spacing w:after="0"/>
              <w:rPr>
                <w:sz w:val="2"/>
                <w:szCs w:val="2"/>
                <w:color w:val="auto"/>
              </w:rPr>
            </w:pPr>
          </w:p>
        </w:tc>
        <w:tc>
          <w:tcPr>
            <w:tcW w:w="100" w:type="dxa"/>
            <w:vAlign w:val="bottom"/>
            <w:shd w:val="clear" w:color="auto" w:fill="998C87"/>
          </w:tcPr>
          <w:p>
            <w:pPr>
              <w:spacing w:after="0"/>
              <w:rPr>
                <w:sz w:val="2"/>
                <w:szCs w:val="2"/>
                <w:color w:val="auto"/>
              </w:rPr>
            </w:pPr>
          </w:p>
        </w:tc>
        <w:tc>
          <w:tcPr>
            <w:tcW w:w="600" w:type="dxa"/>
            <w:vAlign w:val="bottom"/>
            <w:shd w:val="clear" w:color="auto" w:fill="998C87"/>
          </w:tcPr>
          <w:p>
            <w:pPr>
              <w:spacing w:after="0"/>
              <w:rPr>
                <w:sz w:val="2"/>
                <w:szCs w:val="2"/>
                <w:color w:val="auto"/>
              </w:rPr>
            </w:pPr>
          </w:p>
        </w:tc>
        <w:tc>
          <w:tcPr>
            <w:tcW w:w="60" w:type="dxa"/>
            <w:vAlign w:val="bottom"/>
            <w:shd w:val="clear" w:color="auto" w:fill="998C87"/>
          </w:tcPr>
          <w:p>
            <w:pPr>
              <w:spacing w:after="0"/>
              <w:rPr>
                <w:sz w:val="2"/>
                <w:szCs w:val="2"/>
                <w:color w:val="auto"/>
              </w:rPr>
            </w:pPr>
          </w:p>
        </w:tc>
        <w:tc>
          <w:tcPr>
            <w:tcW w:w="40" w:type="dxa"/>
            <w:vAlign w:val="bottom"/>
            <w:shd w:val="clear" w:color="auto" w:fill="998C87"/>
          </w:tcPr>
          <w:p>
            <w:pPr>
              <w:spacing w:after="0"/>
              <w:rPr>
                <w:sz w:val="2"/>
                <w:szCs w:val="2"/>
                <w:color w:val="auto"/>
              </w:rPr>
            </w:pPr>
          </w:p>
        </w:tc>
        <w:tc>
          <w:tcPr>
            <w:tcW w:w="580" w:type="dxa"/>
            <w:vAlign w:val="bottom"/>
            <w:shd w:val="clear" w:color="auto" w:fill="998C87"/>
          </w:tcPr>
          <w:p>
            <w:pPr>
              <w:spacing w:after="0"/>
              <w:rPr>
                <w:sz w:val="2"/>
                <w:szCs w:val="2"/>
                <w:color w:val="auto"/>
              </w:rPr>
            </w:pPr>
          </w:p>
        </w:tc>
        <w:tc>
          <w:tcPr>
            <w:tcW w:w="200" w:type="dxa"/>
            <w:vAlign w:val="bottom"/>
            <w:shd w:val="clear" w:color="auto" w:fill="998C87"/>
          </w:tcPr>
          <w:p>
            <w:pPr>
              <w:spacing w:after="0"/>
              <w:rPr>
                <w:sz w:val="2"/>
                <w:szCs w:val="2"/>
                <w:color w:val="auto"/>
              </w:rPr>
            </w:pPr>
          </w:p>
        </w:tc>
        <w:tc>
          <w:tcPr>
            <w:tcW w:w="720" w:type="dxa"/>
            <w:vAlign w:val="bottom"/>
            <w:shd w:val="clear" w:color="auto" w:fill="998C87"/>
          </w:tcPr>
          <w:p>
            <w:pPr>
              <w:spacing w:after="0"/>
              <w:rPr>
                <w:sz w:val="2"/>
                <w:szCs w:val="2"/>
                <w:color w:val="auto"/>
              </w:rPr>
            </w:pPr>
          </w:p>
        </w:tc>
        <w:tc>
          <w:tcPr>
            <w:tcW w:w="680" w:type="dxa"/>
            <w:vAlign w:val="bottom"/>
            <w:shd w:val="clear" w:color="auto" w:fill="998C87"/>
          </w:tcPr>
          <w:p>
            <w:pPr>
              <w:spacing w:after="0"/>
              <w:rPr>
                <w:sz w:val="2"/>
                <w:szCs w:val="2"/>
                <w:color w:val="auto"/>
              </w:rPr>
            </w:pPr>
          </w:p>
        </w:tc>
        <w:tc>
          <w:tcPr>
            <w:tcW w:w="60" w:type="dxa"/>
            <w:vAlign w:val="bottom"/>
            <w:shd w:val="clear" w:color="auto" w:fill="998C87"/>
          </w:tcPr>
          <w:p>
            <w:pPr>
              <w:spacing w:after="0"/>
              <w:rPr>
                <w:sz w:val="2"/>
                <w:szCs w:val="2"/>
                <w:color w:val="auto"/>
              </w:rPr>
            </w:pPr>
          </w:p>
        </w:tc>
        <w:tc>
          <w:tcPr>
            <w:tcW w:w="60" w:type="dxa"/>
            <w:vAlign w:val="bottom"/>
            <w:shd w:val="clear" w:color="auto" w:fill="998C87"/>
          </w:tcPr>
          <w:p>
            <w:pPr>
              <w:spacing w:after="0"/>
              <w:rPr>
                <w:sz w:val="2"/>
                <w:szCs w:val="2"/>
                <w:color w:val="auto"/>
              </w:rPr>
            </w:pPr>
          </w:p>
        </w:tc>
        <w:tc>
          <w:tcPr>
            <w:tcW w:w="580" w:type="dxa"/>
            <w:vAlign w:val="bottom"/>
            <w:shd w:val="clear" w:color="auto" w:fill="998C87"/>
          </w:tcPr>
          <w:p>
            <w:pPr>
              <w:spacing w:after="0"/>
              <w:rPr>
                <w:sz w:val="2"/>
                <w:szCs w:val="2"/>
                <w:color w:val="auto"/>
              </w:rPr>
            </w:pPr>
          </w:p>
        </w:tc>
        <w:tc>
          <w:tcPr>
            <w:tcW w:w="120" w:type="dxa"/>
            <w:vAlign w:val="bottom"/>
            <w:shd w:val="clear" w:color="auto" w:fill="998C87"/>
          </w:tcPr>
          <w:p>
            <w:pPr>
              <w:spacing w:after="0"/>
              <w:rPr>
                <w:sz w:val="2"/>
                <w:szCs w:val="2"/>
                <w:color w:val="auto"/>
              </w:rPr>
            </w:pPr>
          </w:p>
        </w:tc>
        <w:tc>
          <w:tcPr>
            <w:tcW w:w="560" w:type="dxa"/>
            <w:vAlign w:val="bottom"/>
            <w:shd w:val="clear" w:color="auto" w:fill="998C87"/>
          </w:tcPr>
          <w:p>
            <w:pPr>
              <w:spacing w:after="0"/>
              <w:rPr>
                <w:sz w:val="2"/>
                <w:szCs w:val="2"/>
                <w:color w:val="auto"/>
              </w:rPr>
            </w:pPr>
          </w:p>
        </w:tc>
        <w:tc>
          <w:tcPr>
            <w:tcW w:w="820" w:type="dxa"/>
            <w:vAlign w:val="bottom"/>
            <w:shd w:val="clear" w:color="auto" w:fill="998C87"/>
          </w:tcPr>
          <w:p>
            <w:pPr>
              <w:spacing w:after="0"/>
              <w:rPr>
                <w:sz w:val="2"/>
                <w:szCs w:val="2"/>
                <w:color w:val="auto"/>
              </w:rPr>
            </w:pPr>
          </w:p>
        </w:tc>
        <w:tc>
          <w:tcPr>
            <w:tcW w:w="600" w:type="dxa"/>
            <w:vAlign w:val="bottom"/>
            <w:vMerge w:val="continue"/>
            <w:shd w:val="clear" w:color="auto" w:fill="998C87"/>
          </w:tcPr>
          <w:p>
            <w:pPr>
              <w:spacing w:after="0"/>
              <w:rPr>
                <w:sz w:val="2"/>
                <w:szCs w:val="2"/>
                <w:color w:val="auto"/>
              </w:rPr>
            </w:pPr>
          </w:p>
        </w:tc>
        <w:tc>
          <w:tcPr>
            <w:tcW w:w="780" w:type="dxa"/>
            <w:vAlign w:val="bottom"/>
            <w:vMerge w:val="continue"/>
            <w:shd w:val="clear" w:color="auto" w:fill="998C87"/>
          </w:tcPr>
          <w:p>
            <w:pPr>
              <w:spacing w:after="0"/>
              <w:rPr>
                <w:sz w:val="2"/>
                <w:szCs w:val="2"/>
                <w:color w:val="auto"/>
              </w:rPr>
            </w:pPr>
          </w:p>
        </w:tc>
        <w:tc>
          <w:tcPr>
            <w:tcW w:w="680" w:type="dxa"/>
            <w:vAlign w:val="bottom"/>
            <w:vMerge w:val="continue"/>
            <w:shd w:val="clear" w:color="auto" w:fill="998C87"/>
          </w:tcPr>
          <w:p>
            <w:pPr>
              <w:spacing w:after="0"/>
              <w:rPr>
                <w:sz w:val="2"/>
                <w:szCs w:val="2"/>
                <w:color w:val="auto"/>
              </w:rPr>
            </w:pPr>
          </w:p>
        </w:tc>
        <w:tc>
          <w:tcPr>
            <w:tcW w:w="740" w:type="dxa"/>
            <w:vAlign w:val="bottom"/>
            <w:vMerge w:val="continue"/>
            <w:shd w:val="clear" w:color="auto" w:fill="998C87"/>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400" w:type="dxa"/>
            <w:vAlign w:val="bottom"/>
            <w:shd w:val="clear" w:color="auto" w:fill="998C87"/>
          </w:tcPr>
          <w:p>
            <w:pPr>
              <w:spacing w:after="0"/>
              <w:rPr>
                <w:sz w:val="11"/>
                <w:szCs w:val="11"/>
                <w:color w:val="auto"/>
              </w:rPr>
            </w:pPr>
          </w:p>
        </w:tc>
        <w:tc>
          <w:tcPr>
            <w:tcW w:w="100" w:type="dxa"/>
            <w:vAlign w:val="bottom"/>
            <w:shd w:val="clear" w:color="auto" w:fill="998C87"/>
          </w:tcPr>
          <w:p>
            <w:pPr>
              <w:spacing w:after="0"/>
              <w:rPr>
                <w:sz w:val="11"/>
                <w:szCs w:val="11"/>
                <w:color w:val="auto"/>
              </w:rPr>
            </w:pPr>
          </w:p>
        </w:tc>
        <w:tc>
          <w:tcPr>
            <w:tcW w:w="520" w:type="dxa"/>
            <w:vAlign w:val="bottom"/>
            <w:shd w:val="clear" w:color="auto" w:fill="998C87"/>
          </w:tcPr>
          <w:p>
            <w:pPr>
              <w:spacing w:after="0"/>
              <w:rPr>
                <w:sz w:val="11"/>
                <w:szCs w:val="11"/>
                <w:color w:val="auto"/>
              </w:rPr>
            </w:pPr>
          </w:p>
        </w:tc>
        <w:tc>
          <w:tcPr>
            <w:tcW w:w="100" w:type="dxa"/>
            <w:vAlign w:val="bottom"/>
            <w:shd w:val="clear" w:color="auto" w:fill="998C87"/>
          </w:tcPr>
          <w:p>
            <w:pPr>
              <w:spacing w:after="0"/>
              <w:rPr>
                <w:sz w:val="11"/>
                <w:szCs w:val="11"/>
                <w:color w:val="auto"/>
              </w:rPr>
            </w:pPr>
          </w:p>
        </w:tc>
        <w:tc>
          <w:tcPr>
            <w:tcW w:w="600" w:type="dxa"/>
            <w:vAlign w:val="bottom"/>
            <w:vMerge w:val="restart"/>
            <w:shd w:val="clear" w:color="auto" w:fill="998C87"/>
          </w:tcPr>
          <w:p>
            <w:pPr>
              <w:jc w:val="center"/>
              <w:ind w:right="57"/>
              <w:spacing w:after="0"/>
              <w:rPr>
                <w:sz w:val="20"/>
                <w:szCs w:val="20"/>
                <w:color w:val="auto"/>
              </w:rPr>
            </w:pPr>
            <w:r>
              <w:rPr>
                <w:rFonts w:ascii="Arial" w:cs="Arial" w:eastAsia="Arial" w:hAnsi="Arial"/>
                <w:sz w:val="13"/>
                <w:szCs w:val="13"/>
                <w:b w:val="1"/>
                <w:bCs w:val="1"/>
                <w:color w:val="FFFFFF"/>
                <w:w w:val="95"/>
              </w:rPr>
              <w:t>Board</w:t>
            </w:r>
          </w:p>
        </w:tc>
        <w:tc>
          <w:tcPr>
            <w:tcW w:w="60" w:type="dxa"/>
            <w:vAlign w:val="bottom"/>
            <w:shd w:val="clear" w:color="auto" w:fill="998C87"/>
          </w:tcPr>
          <w:p>
            <w:pPr>
              <w:spacing w:after="0"/>
              <w:rPr>
                <w:sz w:val="11"/>
                <w:szCs w:val="11"/>
                <w:color w:val="auto"/>
              </w:rPr>
            </w:pPr>
          </w:p>
        </w:tc>
        <w:tc>
          <w:tcPr>
            <w:tcW w:w="40" w:type="dxa"/>
            <w:vAlign w:val="bottom"/>
            <w:shd w:val="clear" w:color="auto" w:fill="998C87"/>
          </w:tcPr>
          <w:p>
            <w:pPr>
              <w:spacing w:after="0"/>
              <w:rPr>
                <w:sz w:val="11"/>
                <w:szCs w:val="11"/>
                <w:color w:val="auto"/>
              </w:rPr>
            </w:pPr>
          </w:p>
        </w:tc>
        <w:tc>
          <w:tcPr>
            <w:tcW w:w="580" w:type="dxa"/>
            <w:vAlign w:val="bottom"/>
            <w:shd w:val="clear" w:color="auto" w:fill="998C87"/>
          </w:tcPr>
          <w:p>
            <w:pPr>
              <w:spacing w:after="0"/>
              <w:rPr>
                <w:sz w:val="11"/>
                <w:szCs w:val="11"/>
                <w:color w:val="auto"/>
              </w:rPr>
            </w:pPr>
          </w:p>
        </w:tc>
        <w:tc>
          <w:tcPr>
            <w:tcW w:w="200" w:type="dxa"/>
            <w:vAlign w:val="bottom"/>
            <w:shd w:val="clear" w:color="auto" w:fill="998C87"/>
          </w:tcPr>
          <w:p>
            <w:pPr>
              <w:spacing w:after="0"/>
              <w:rPr>
                <w:sz w:val="11"/>
                <w:szCs w:val="11"/>
                <w:color w:val="auto"/>
              </w:rPr>
            </w:pPr>
          </w:p>
        </w:tc>
        <w:tc>
          <w:tcPr>
            <w:tcW w:w="720" w:type="dxa"/>
            <w:vAlign w:val="bottom"/>
            <w:shd w:val="clear" w:color="auto" w:fill="998C87"/>
          </w:tcPr>
          <w:p>
            <w:pPr>
              <w:spacing w:after="0"/>
              <w:rPr>
                <w:sz w:val="11"/>
                <w:szCs w:val="11"/>
                <w:color w:val="auto"/>
              </w:rPr>
            </w:pPr>
          </w:p>
        </w:tc>
        <w:tc>
          <w:tcPr>
            <w:tcW w:w="680" w:type="dxa"/>
            <w:vAlign w:val="bottom"/>
            <w:shd w:val="clear" w:color="auto" w:fill="998C87"/>
          </w:tcPr>
          <w:p>
            <w:pPr>
              <w:spacing w:after="0"/>
              <w:rPr>
                <w:sz w:val="11"/>
                <w:szCs w:val="11"/>
                <w:color w:val="auto"/>
              </w:rPr>
            </w:pPr>
          </w:p>
        </w:tc>
        <w:tc>
          <w:tcPr>
            <w:tcW w:w="60" w:type="dxa"/>
            <w:vAlign w:val="bottom"/>
            <w:shd w:val="clear" w:color="auto" w:fill="998C87"/>
          </w:tcPr>
          <w:p>
            <w:pPr>
              <w:spacing w:after="0"/>
              <w:rPr>
                <w:sz w:val="11"/>
                <w:szCs w:val="11"/>
                <w:color w:val="auto"/>
              </w:rPr>
            </w:pPr>
          </w:p>
        </w:tc>
        <w:tc>
          <w:tcPr>
            <w:tcW w:w="60" w:type="dxa"/>
            <w:vAlign w:val="bottom"/>
            <w:shd w:val="clear" w:color="auto" w:fill="998C87"/>
          </w:tcPr>
          <w:p>
            <w:pPr>
              <w:spacing w:after="0"/>
              <w:rPr>
                <w:sz w:val="11"/>
                <w:szCs w:val="11"/>
                <w:color w:val="auto"/>
              </w:rPr>
            </w:pPr>
          </w:p>
        </w:tc>
        <w:tc>
          <w:tcPr>
            <w:tcW w:w="580" w:type="dxa"/>
            <w:vAlign w:val="bottom"/>
            <w:shd w:val="clear" w:color="auto" w:fill="998C87"/>
          </w:tcPr>
          <w:p>
            <w:pPr>
              <w:spacing w:after="0"/>
              <w:rPr>
                <w:sz w:val="11"/>
                <w:szCs w:val="11"/>
                <w:color w:val="auto"/>
              </w:rPr>
            </w:pPr>
          </w:p>
        </w:tc>
        <w:tc>
          <w:tcPr>
            <w:tcW w:w="120" w:type="dxa"/>
            <w:vAlign w:val="bottom"/>
            <w:shd w:val="clear" w:color="auto" w:fill="998C87"/>
          </w:tcPr>
          <w:p>
            <w:pPr>
              <w:spacing w:after="0"/>
              <w:rPr>
                <w:sz w:val="11"/>
                <w:szCs w:val="11"/>
                <w:color w:val="auto"/>
              </w:rPr>
            </w:pPr>
          </w:p>
        </w:tc>
        <w:tc>
          <w:tcPr>
            <w:tcW w:w="560" w:type="dxa"/>
            <w:vAlign w:val="bottom"/>
            <w:shd w:val="clear" w:color="auto" w:fill="998C87"/>
          </w:tcPr>
          <w:p>
            <w:pPr>
              <w:spacing w:after="0"/>
              <w:rPr>
                <w:sz w:val="11"/>
                <w:szCs w:val="11"/>
                <w:color w:val="auto"/>
              </w:rPr>
            </w:pPr>
          </w:p>
        </w:tc>
        <w:tc>
          <w:tcPr>
            <w:tcW w:w="820" w:type="dxa"/>
            <w:vAlign w:val="bottom"/>
            <w:shd w:val="clear" w:color="auto" w:fill="998C87"/>
          </w:tcPr>
          <w:p>
            <w:pPr>
              <w:spacing w:after="0"/>
              <w:rPr>
                <w:sz w:val="11"/>
                <w:szCs w:val="11"/>
                <w:color w:val="auto"/>
              </w:rPr>
            </w:pPr>
          </w:p>
        </w:tc>
        <w:tc>
          <w:tcPr>
            <w:tcW w:w="600" w:type="dxa"/>
            <w:vAlign w:val="bottom"/>
            <w:shd w:val="clear" w:color="auto" w:fill="998C87"/>
          </w:tcPr>
          <w:p>
            <w:pPr>
              <w:jc w:val="center"/>
              <w:ind w:right="37"/>
              <w:spacing w:after="0" w:line="135" w:lineRule="exact"/>
              <w:rPr>
                <w:sz w:val="20"/>
                <w:szCs w:val="20"/>
                <w:color w:val="auto"/>
              </w:rPr>
            </w:pPr>
            <w:r>
              <w:rPr>
                <w:rFonts w:ascii="Arial" w:cs="Arial" w:eastAsia="Arial" w:hAnsi="Arial"/>
                <w:sz w:val="13"/>
                <w:szCs w:val="13"/>
                <w:b w:val="1"/>
                <w:bCs w:val="1"/>
                <w:color w:val="FFFFFF"/>
                <w:w w:val="97"/>
              </w:rPr>
              <w:t>of Stock</w:t>
            </w:r>
          </w:p>
        </w:tc>
        <w:tc>
          <w:tcPr>
            <w:tcW w:w="78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7"/>
              </w:rPr>
              <w:t>of</w:t>
            </w:r>
          </w:p>
        </w:tc>
        <w:tc>
          <w:tcPr>
            <w:tcW w:w="68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6"/>
              </w:rPr>
              <w:t>or Base</w:t>
            </w:r>
          </w:p>
        </w:tc>
        <w:tc>
          <w:tcPr>
            <w:tcW w:w="74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7"/>
              </w:rPr>
              <w:t>Stock/</w:t>
            </w:r>
          </w:p>
        </w:tc>
        <w:tc>
          <w:tcPr>
            <w:tcW w:w="0" w:type="dxa"/>
            <w:vAlign w:val="bottom"/>
          </w:tcPr>
          <w:p>
            <w:pPr>
              <w:spacing w:after="0"/>
              <w:rPr>
                <w:sz w:val="1"/>
                <w:szCs w:val="1"/>
                <w:color w:val="auto"/>
              </w:rPr>
            </w:pPr>
          </w:p>
        </w:tc>
      </w:tr>
      <w:tr>
        <w:trPr>
          <w:trHeight w:val="135"/>
        </w:trPr>
        <w:tc>
          <w:tcPr>
            <w:tcW w:w="2400" w:type="dxa"/>
            <w:vAlign w:val="bottom"/>
            <w:shd w:val="clear" w:color="auto" w:fill="998C87"/>
          </w:tcPr>
          <w:p>
            <w:pPr>
              <w:spacing w:after="0"/>
              <w:rPr>
                <w:sz w:val="11"/>
                <w:szCs w:val="11"/>
                <w:color w:val="auto"/>
              </w:rPr>
            </w:pPr>
          </w:p>
        </w:tc>
        <w:tc>
          <w:tcPr>
            <w:tcW w:w="100" w:type="dxa"/>
            <w:vAlign w:val="bottom"/>
            <w:shd w:val="clear" w:color="auto" w:fill="998C87"/>
          </w:tcPr>
          <w:p>
            <w:pPr>
              <w:spacing w:after="0"/>
              <w:rPr>
                <w:sz w:val="11"/>
                <w:szCs w:val="11"/>
                <w:color w:val="auto"/>
              </w:rPr>
            </w:pPr>
          </w:p>
        </w:tc>
        <w:tc>
          <w:tcPr>
            <w:tcW w:w="520" w:type="dxa"/>
            <w:vAlign w:val="bottom"/>
            <w:vMerge w:val="restart"/>
            <w:shd w:val="clear" w:color="auto" w:fill="998C87"/>
          </w:tcPr>
          <w:p>
            <w:pPr>
              <w:ind w:left="20"/>
              <w:spacing w:after="0"/>
              <w:rPr>
                <w:sz w:val="20"/>
                <w:szCs w:val="20"/>
                <w:color w:val="auto"/>
              </w:rPr>
            </w:pPr>
            <w:r>
              <w:rPr>
                <w:rFonts w:ascii="Arial" w:cs="Arial" w:eastAsia="Arial" w:hAnsi="Arial"/>
                <w:sz w:val="13"/>
                <w:szCs w:val="13"/>
                <w:b w:val="1"/>
                <w:bCs w:val="1"/>
                <w:color w:val="FFFFFF"/>
              </w:rPr>
              <w:t>Grant</w:t>
            </w:r>
          </w:p>
        </w:tc>
        <w:tc>
          <w:tcPr>
            <w:tcW w:w="100" w:type="dxa"/>
            <w:vAlign w:val="bottom"/>
            <w:shd w:val="clear" w:color="auto" w:fill="998C87"/>
          </w:tcPr>
          <w:p>
            <w:pPr>
              <w:spacing w:after="0"/>
              <w:rPr>
                <w:sz w:val="11"/>
                <w:szCs w:val="11"/>
                <w:color w:val="auto"/>
              </w:rPr>
            </w:pPr>
          </w:p>
        </w:tc>
        <w:tc>
          <w:tcPr>
            <w:tcW w:w="600" w:type="dxa"/>
            <w:vAlign w:val="bottom"/>
            <w:vMerge w:val="continue"/>
            <w:shd w:val="clear" w:color="auto" w:fill="998C87"/>
          </w:tcPr>
          <w:p>
            <w:pPr>
              <w:spacing w:after="0"/>
              <w:rPr>
                <w:sz w:val="11"/>
                <w:szCs w:val="11"/>
                <w:color w:val="auto"/>
              </w:rPr>
            </w:pPr>
          </w:p>
        </w:tc>
        <w:tc>
          <w:tcPr>
            <w:tcW w:w="60" w:type="dxa"/>
            <w:vAlign w:val="bottom"/>
            <w:shd w:val="clear" w:color="auto" w:fill="998C87"/>
          </w:tcPr>
          <w:p>
            <w:pPr>
              <w:spacing w:after="0"/>
              <w:rPr>
                <w:sz w:val="11"/>
                <w:szCs w:val="11"/>
                <w:color w:val="auto"/>
              </w:rPr>
            </w:pPr>
          </w:p>
        </w:tc>
        <w:tc>
          <w:tcPr>
            <w:tcW w:w="620" w:type="dxa"/>
            <w:vAlign w:val="bottom"/>
            <w:gridSpan w:val="2"/>
            <w:vMerge w:val="restart"/>
            <w:shd w:val="clear" w:color="auto" w:fill="998C87"/>
          </w:tcPr>
          <w:p>
            <w:pPr>
              <w:jc w:val="right"/>
              <w:spacing w:after="0"/>
              <w:rPr>
                <w:sz w:val="20"/>
                <w:szCs w:val="20"/>
                <w:color w:val="auto"/>
              </w:rPr>
            </w:pPr>
            <w:r>
              <w:rPr>
                <w:rFonts w:ascii="Arial" w:cs="Arial" w:eastAsia="Arial" w:hAnsi="Arial"/>
                <w:sz w:val="13"/>
                <w:szCs w:val="13"/>
                <w:b w:val="1"/>
                <w:bCs w:val="1"/>
                <w:color w:val="FFFFFF"/>
                <w:w w:val="95"/>
              </w:rPr>
              <w:t>Threshold</w:t>
            </w:r>
          </w:p>
        </w:tc>
        <w:tc>
          <w:tcPr>
            <w:tcW w:w="200" w:type="dxa"/>
            <w:vAlign w:val="bottom"/>
            <w:shd w:val="clear" w:color="auto" w:fill="998C87"/>
          </w:tcPr>
          <w:p>
            <w:pPr>
              <w:spacing w:after="0"/>
              <w:rPr>
                <w:sz w:val="11"/>
                <w:szCs w:val="11"/>
                <w:color w:val="auto"/>
              </w:rPr>
            </w:pPr>
          </w:p>
        </w:tc>
        <w:tc>
          <w:tcPr>
            <w:tcW w:w="720" w:type="dxa"/>
            <w:vAlign w:val="bottom"/>
            <w:vMerge w:val="restart"/>
            <w:shd w:val="clear" w:color="auto" w:fill="998C87"/>
          </w:tcPr>
          <w:p>
            <w:pPr>
              <w:jc w:val="center"/>
              <w:ind w:right="157"/>
              <w:spacing w:after="0"/>
              <w:rPr>
                <w:sz w:val="20"/>
                <w:szCs w:val="20"/>
                <w:color w:val="auto"/>
              </w:rPr>
            </w:pPr>
            <w:r>
              <w:rPr>
                <w:rFonts w:ascii="Arial" w:cs="Arial" w:eastAsia="Arial" w:hAnsi="Arial"/>
                <w:sz w:val="13"/>
                <w:szCs w:val="13"/>
                <w:b w:val="1"/>
                <w:bCs w:val="1"/>
                <w:color w:val="FFFFFF"/>
                <w:w w:val="95"/>
              </w:rPr>
              <w:t>Target</w:t>
            </w:r>
          </w:p>
        </w:tc>
        <w:tc>
          <w:tcPr>
            <w:tcW w:w="680" w:type="dxa"/>
            <w:vAlign w:val="bottom"/>
            <w:vMerge w:val="restart"/>
            <w:shd w:val="clear" w:color="auto" w:fill="998C87"/>
          </w:tcPr>
          <w:p>
            <w:pPr>
              <w:jc w:val="center"/>
              <w:ind w:right="37"/>
              <w:spacing w:after="0"/>
              <w:rPr>
                <w:sz w:val="20"/>
                <w:szCs w:val="20"/>
                <w:color w:val="auto"/>
              </w:rPr>
            </w:pPr>
            <w:r>
              <w:rPr>
                <w:rFonts w:ascii="Arial" w:cs="Arial" w:eastAsia="Arial" w:hAnsi="Arial"/>
                <w:sz w:val="13"/>
                <w:szCs w:val="13"/>
                <w:b w:val="1"/>
                <w:bCs w:val="1"/>
                <w:color w:val="FFFFFF"/>
                <w:w w:val="96"/>
              </w:rPr>
              <w:t>Maximum</w:t>
            </w:r>
          </w:p>
        </w:tc>
        <w:tc>
          <w:tcPr>
            <w:tcW w:w="60" w:type="dxa"/>
            <w:vAlign w:val="bottom"/>
            <w:shd w:val="clear" w:color="auto" w:fill="998C87"/>
          </w:tcPr>
          <w:p>
            <w:pPr>
              <w:spacing w:after="0"/>
              <w:rPr>
                <w:sz w:val="11"/>
                <w:szCs w:val="11"/>
                <w:color w:val="auto"/>
              </w:rPr>
            </w:pPr>
          </w:p>
        </w:tc>
        <w:tc>
          <w:tcPr>
            <w:tcW w:w="640" w:type="dxa"/>
            <w:vAlign w:val="bottom"/>
            <w:gridSpan w:val="2"/>
            <w:vMerge w:val="restart"/>
            <w:shd w:val="clear" w:color="auto" w:fill="998C87"/>
          </w:tcPr>
          <w:p>
            <w:pPr>
              <w:jc w:val="right"/>
              <w:spacing w:after="0"/>
              <w:rPr>
                <w:sz w:val="20"/>
                <w:szCs w:val="20"/>
                <w:color w:val="auto"/>
              </w:rPr>
            </w:pPr>
            <w:r>
              <w:rPr>
                <w:rFonts w:ascii="Arial" w:cs="Arial" w:eastAsia="Arial" w:hAnsi="Arial"/>
                <w:sz w:val="13"/>
                <w:szCs w:val="13"/>
                <w:b w:val="1"/>
                <w:bCs w:val="1"/>
                <w:color w:val="FFFFFF"/>
                <w:w w:val="95"/>
              </w:rPr>
              <w:t>Threshold</w:t>
            </w:r>
          </w:p>
        </w:tc>
        <w:tc>
          <w:tcPr>
            <w:tcW w:w="120" w:type="dxa"/>
            <w:vAlign w:val="bottom"/>
            <w:shd w:val="clear" w:color="auto" w:fill="998C87"/>
          </w:tcPr>
          <w:p>
            <w:pPr>
              <w:spacing w:after="0"/>
              <w:rPr>
                <w:sz w:val="11"/>
                <w:szCs w:val="11"/>
                <w:color w:val="auto"/>
              </w:rPr>
            </w:pPr>
          </w:p>
        </w:tc>
        <w:tc>
          <w:tcPr>
            <w:tcW w:w="560" w:type="dxa"/>
            <w:vAlign w:val="bottom"/>
            <w:vMerge w:val="restart"/>
            <w:shd w:val="clear" w:color="auto" w:fill="998C87"/>
          </w:tcPr>
          <w:p>
            <w:pPr>
              <w:jc w:val="center"/>
              <w:ind w:right="37"/>
              <w:spacing w:after="0"/>
              <w:rPr>
                <w:sz w:val="20"/>
                <w:szCs w:val="20"/>
                <w:color w:val="auto"/>
              </w:rPr>
            </w:pPr>
            <w:r>
              <w:rPr>
                <w:rFonts w:ascii="Arial" w:cs="Arial" w:eastAsia="Arial" w:hAnsi="Arial"/>
                <w:sz w:val="13"/>
                <w:szCs w:val="13"/>
                <w:b w:val="1"/>
                <w:bCs w:val="1"/>
                <w:color w:val="FFFFFF"/>
                <w:w w:val="95"/>
              </w:rPr>
              <w:t>Target</w:t>
            </w:r>
          </w:p>
        </w:tc>
        <w:tc>
          <w:tcPr>
            <w:tcW w:w="820" w:type="dxa"/>
            <w:vAlign w:val="bottom"/>
            <w:vMerge w:val="restart"/>
            <w:shd w:val="clear" w:color="auto" w:fill="998C87"/>
          </w:tcPr>
          <w:p>
            <w:pPr>
              <w:jc w:val="right"/>
              <w:ind w:right="137"/>
              <w:spacing w:after="0"/>
              <w:rPr>
                <w:sz w:val="20"/>
                <w:szCs w:val="20"/>
                <w:color w:val="auto"/>
              </w:rPr>
            </w:pPr>
            <w:r>
              <w:rPr>
                <w:rFonts w:ascii="Arial" w:cs="Arial" w:eastAsia="Arial" w:hAnsi="Arial"/>
                <w:sz w:val="13"/>
                <w:szCs w:val="13"/>
                <w:b w:val="1"/>
                <w:bCs w:val="1"/>
                <w:color w:val="FFFFFF"/>
                <w:w w:val="99"/>
              </w:rPr>
              <w:t>Maximum</w:t>
            </w:r>
          </w:p>
        </w:tc>
        <w:tc>
          <w:tcPr>
            <w:tcW w:w="600" w:type="dxa"/>
            <w:vAlign w:val="bottom"/>
            <w:shd w:val="clear" w:color="auto" w:fill="998C87"/>
          </w:tcPr>
          <w:p>
            <w:pPr>
              <w:jc w:val="center"/>
              <w:ind w:right="17"/>
              <w:spacing w:after="0" w:line="135" w:lineRule="exact"/>
              <w:rPr>
                <w:sz w:val="20"/>
                <w:szCs w:val="20"/>
                <w:color w:val="auto"/>
              </w:rPr>
            </w:pPr>
            <w:r>
              <w:rPr>
                <w:rFonts w:ascii="Arial" w:cs="Arial" w:eastAsia="Arial" w:hAnsi="Arial"/>
                <w:sz w:val="13"/>
                <w:szCs w:val="13"/>
                <w:b w:val="1"/>
                <w:bCs w:val="1"/>
                <w:color w:val="FFFFFF"/>
                <w:w w:val="91"/>
              </w:rPr>
              <w:t>or</w:t>
            </w:r>
          </w:p>
        </w:tc>
        <w:tc>
          <w:tcPr>
            <w:tcW w:w="78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6"/>
              </w:rPr>
              <w:t>Securities</w:t>
            </w:r>
          </w:p>
        </w:tc>
        <w:tc>
          <w:tcPr>
            <w:tcW w:w="68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6"/>
              </w:rPr>
              <w:t>Price of</w:t>
            </w:r>
          </w:p>
        </w:tc>
        <w:tc>
          <w:tcPr>
            <w:tcW w:w="74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4"/>
              </w:rPr>
              <w:t>SAR</w:t>
            </w:r>
          </w:p>
        </w:tc>
        <w:tc>
          <w:tcPr>
            <w:tcW w:w="0" w:type="dxa"/>
            <w:vAlign w:val="bottom"/>
          </w:tcPr>
          <w:p>
            <w:pPr>
              <w:spacing w:after="0"/>
              <w:rPr>
                <w:sz w:val="1"/>
                <w:szCs w:val="1"/>
                <w:color w:val="auto"/>
              </w:rPr>
            </w:pPr>
          </w:p>
        </w:tc>
      </w:tr>
      <w:tr>
        <w:trPr>
          <w:trHeight w:val="135"/>
        </w:trPr>
        <w:tc>
          <w:tcPr>
            <w:tcW w:w="2400" w:type="dxa"/>
            <w:vAlign w:val="bottom"/>
            <w:vMerge w:val="restart"/>
            <w:shd w:val="clear" w:color="auto" w:fill="998C87"/>
          </w:tcPr>
          <w:p>
            <w:pPr>
              <w:ind w:left="60"/>
              <w:spacing w:after="0"/>
              <w:rPr>
                <w:sz w:val="20"/>
                <w:szCs w:val="20"/>
                <w:color w:val="auto"/>
              </w:rPr>
            </w:pPr>
            <w:r>
              <w:rPr>
                <w:rFonts w:ascii="Arial" w:cs="Arial" w:eastAsia="Arial" w:hAnsi="Arial"/>
                <w:sz w:val="13"/>
                <w:szCs w:val="13"/>
                <w:b w:val="1"/>
                <w:bCs w:val="1"/>
                <w:color w:val="FFFFFF"/>
              </w:rPr>
              <w:t>Name</w:t>
            </w:r>
          </w:p>
        </w:tc>
        <w:tc>
          <w:tcPr>
            <w:tcW w:w="100" w:type="dxa"/>
            <w:vAlign w:val="bottom"/>
            <w:shd w:val="clear" w:color="auto" w:fill="998C87"/>
          </w:tcPr>
          <w:p>
            <w:pPr>
              <w:spacing w:after="0"/>
              <w:rPr>
                <w:sz w:val="11"/>
                <w:szCs w:val="11"/>
                <w:color w:val="auto"/>
              </w:rPr>
            </w:pPr>
          </w:p>
        </w:tc>
        <w:tc>
          <w:tcPr>
            <w:tcW w:w="520" w:type="dxa"/>
            <w:vAlign w:val="bottom"/>
            <w:vMerge w:val="continue"/>
            <w:shd w:val="clear" w:color="auto" w:fill="998C87"/>
          </w:tcPr>
          <w:p>
            <w:pPr>
              <w:spacing w:after="0"/>
              <w:rPr>
                <w:sz w:val="11"/>
                <w:szCs w:val="11"/>
                <w:color w:val="auto"/>
              </w:rPr>
            </w:pPr>
          </w:p>
        </w:tc>
        <w:tc>
          <w:tcPr>
            <w:tcW w:w="700" w:type="dxa"/>
            <w:vAlign w:val="bottom"/>
            <w:gridSpan w:val="2"/>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5"/>
              </w:rPr>
              <w:t>Approval</w:t>
            </w:r>
          </w:p>
        </w:tc>
        <w:tc>
          <w:tcPr>
            <w:tcW w:w="60" w:type="dxa"/>
            <w:vAlign w:val="bottom"/>
            <w:shd w:val="clear" w:color="auto" w:fill="998C87"/>
          </w:tcPr>
          <w:p>
            <w:pPr>
              <w:spacing w:after="0"/>
              <w:rPr>
                <w:sz w:val="11"/>
                <w:szCs w:val="11"/>
                <w:color w:val="auto"/>
              </w:rPr>
            </w:pPr>
          </w:p>
        </w:tc>
        <w:tc>
          <w:tcPr>
            <w:tcW w:w="620" w:type="dxa"/>
            <w:vAlign w:val="bottom"/>
            <w:gridSpan w:val="2"/>
            <w:vMerge w:val="continue"/>
            <w:shd w:val="clear" w:color="auto" w:fill="998C87"/>
          </w:tcPr>
          <w:p>
            <w:pPr>
              <w:spacing w:after="0"/>
              <w:rPr>
                <w:sz w:val="11"/>
                <w:szCs w:val="11"/>
                <w:color w:val="auto"/>
              </w:rPr>
            </w:pPr>
          </w:p>
        </w:tc>
        <w:tc>
          <w:tcPr>
            <w:tcW w:w="200" w:type="dxa"/>
            <w:vAlign w:val="bottom"/>
            <w:shd w:val="clear" w:color="auto" w:fill="998C87"/>
          </w:tcPr>
          <w:p>
            <w:pPr>
              <w:spacing w:after="0"/>
              <w:rPr>
                <w:sz w:val="11"/>
                <w:szCs w:val="11"/>
                <w:color w:val="auto"/>
              </w:rPr>
            </w:pPr>
          </w:p>
        </w:tc>
        <w:tc>
          <w:tcPr>
            <w:tcW w:w="720" w:type="dxa"/>
            <w:vAlign w:val="bottom"/>
            <w:vMerge w:val="continue"/>
            <w:shd w:val="clear" w:color="auto" w:fill="998C87"/>
          </w:tcPr>
          <w:p>
            <w:pPr>
              <w:spacing w:after="0"/>
              <w:rPr>
                <w:sz w:val="11"/>
                <w:szCs w:val="11"/>
                <w:color w:val="auto"/>
              </w:rPr>
            </w:pPr>
          </w:p>
        </w:tc>
        <w:tc>
          <w:tcPr>
            <w:tcW w:w="680" w:type="dxa"/>
            <w:vAlign w:val="bottom"/>
            <w:vMerge w:val="continue"/>
            <w:shd w:val="clear" w:color="auto" w:fill="998C87"/>
          </w:tcPr>
          <w:p>
            <w:pPr>
              <w:spacing w:after="0"/>
              <w:rPr>
                <w:sz w:val="11"/>
                <w:szCs w:val="11"/>
                <w:color w:val="auto"/>
              </w:rPr>
            </w:pPr>
          </w:p>
        </w:tc>
        <w:tc>
          <w:tcPr>
            <w:tcW w:w="60" w:type="dxa"/>
            <w:vAlign w:val="bottom"/>
            <w:shd w:val="clear" w:color="auto" w:fill="998C87"/>
          </w:tcPr>
          <w:p>
            <w:pPr>
              <w:spacing w:after="0"/>
              <w:rPr>
                <w:sz w:val="11"/>
                <w:szCs w:val="11"/>
                <w:color w:val="auto"/>
              </w:rPr>
            </w:pPr>
          </w:p>
        </w:tc>
        <w:tc>
          <w:tcPr>
            <w:tcW w:w="640" w:type="dxa"/>
            <w:vAlign w:val="bottom"/>
            <w:gridSpan w:val="2"/>
            <w:vMerge w:val="continue"/>
            <w:shd w:val="clear" w:color="auto" w:fill="998C87"/>
          </w:tcPr>
          <w:p>
            <w:pPr>
              <w:spacing w:after="0"/>
              <w:rPr>
                <w:sz w:val="11"/>
                <w:szCs w:val="11"/>
                <w:color w:val="auto"/>
              </w:rPr>
            </w:pPr>
          </w:p>
        </w:tc>
        <w:tc>
          <w:tcPr>
            <w:tcW w:w="120" w:type="dxa"/>
            <w:vAlign w:val="bottom"/>
            <w:shd w:val="clear" w:color="auto" w:fill="998C87"/>
          </w:tcPr>
          <w:p>
            <w:pPr>
              <w:spacing w:after="0"/>
              <w:rPr>
                <w:sz w:val="11"/>
                <w:szCs w:val="11"/>
                <w:color w:val="auto"/>
              </w:rPr>
            </w:pPr>
          </w:p>
        </w:tc>
        <w:tc>
          <w:tcPr>
            <w:tcW w:w="560" w:type="dxa"/>
            <w:vAlign w:val="bottom"/>
            <w:vMerge w:val="continue"/>
            <w:shd w:val="clear" w:color="auto" w:fill="998C87"/>
          </w:tcPr>
          <w:p>
            <w:pPr>
              <w:spacing w:after="0"/>
              <w:rPr>
                <w:sz w:val="11"/>
                <w:szCs w:val="11"/>
                <w:color w:val="auto"/>
              </w:rPr>
            </w:pPr>
          </w:p>
        </w:tc>
        <w:tc>
          <w:tcPr>
            <w:tcW w:w="820" w:type="dxa"/>
            <w:vAlign w:val="bottom"/>
            <w:vMerge w:val="continue"/>
            <w:shd w:val="clear" w:color="auto" w:fill="998C87"/>
          </w:tcPr>
          <w:p>
            <w:pPr>
              <w:spacing w:after="0"/>
              <w:rPr>
                <w:sz w:val="11"/>
                <w:szCs w:val="11"/>
                <w:color w:val="auto"/>
              </w:rPr>
            </w:pPr>
          </w:p>
        </w:tc>
        <w:tc>
          <w:tcPr>
            <w:tcW w:w="600" w:type="dxa"/>
            <w:vAlign w:val="bottom"/>
            <w:shd w:val="clear" w:color="auto" w:fill="998C87"/>
          </w:tcPr>
          <w:p>
            <w:pPr>
              <w:jc w:val="center"/>
              <w:ind w:right="17"/>
              <w:spacing w:after="0" w:line="135" w:lineRule="exact"/>
              <w:rPr>
                <w:sz w:val="20"/>
                <w:szCs w:val="20"/>
                <w:color w:val="auto"/>
              </w:rPr>
            </w:pPr>
            <w:r>
              <w:rPr>
                <w:rFonts w:ascii="Arial" w:cs="Arial" w:eastAsia="Arial" w:hAnsi="Arial"/>
                <w:sz w:val="13"/>
                <w:szCs w:val="13"/>
                <w:b w:val="1"/>
                <w:bCs w:val="1"/>
                <w:color w:val="FFFFFF"/>
                <w:w w:val="97"/>
              </w:rPr>
              <w:t>Units)</w:t>
            </w:r>
          </w:p>
        </w:tc>
        <w:tc>
          <w:tcPr>
            <w:tcW w:w="780" w:type="dxa"/>
            <w:vAlign w:val="bottom"/>
            <w:shd w:val="clear" w:color="auto" w:fill="998C87"/>
          </w:tcPr>
          <w:p>
            <w:pPr>
              <w:jc w:val="right"/>
              <w:spacing w:after="0" w:line="135" w:lineRule="exact"/>
              <w:rPr>
                <w:sz w:val="20"/>
                <w:szCs w:val="20"/>
                <w:color w:val="auto"/>
              </w:rPr>
            </w:pPr>
            <w:r>
              <w:rPr>
                <w:rFonts w:ascii="Arial" w:cs="Arial" w:eastAsia="Arial" w:hAnsi="Arial"/>
                <w:sz w:val="13"/>
                <w:szCs w:val="13"/>
                <w:b w:val="1"/>
                <w:bCs w:val="1"/>
                <w:color w:val="FFFFFF"/>
              </w:rPr>
              <w:t>Underlying</w:t>
            </w:r>
          </w:p>
        </w:tc>
        <w:tc>
          <w:tcPr>
            <w:tcW w:w="68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2"/>
              </w:rPr>
              <w:t>SARs</w:t>
            </w:r>
          </w:p>
        </w:tc>
        <w:tc>
          <w:tcPr>
            <w:tcW w:w="74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7"/>
              </w:rPr>
              <w:t>Awards</w:t>
            </w:r>
          </w:p>
        </w:tc>
        <w:tc>
          <w:tcPr>
            <w:tcW w:w="0" w:type="dxa"/>
            <w:vAlign w:val="bottom"/>
          </w:tcPr>
          <w:p>
            <w:pPr>
              <w:spacing w:after="0"/>
              <w:rPr>
                <w:sz w:val="1"/>
                <w:szCs w:val="1"/>
                <w:color w:val="auto"/>
              </w:rPr>
            </w:pPr>
          </w:p>
        </w:tc>
      </w:tr>
      <w:tr>
        <w:trPr>
          <w:trHeight w:val="176"/>
        </w:trPr>
        <w:tc>
          <w:tcPr>
            <w:tcW w:w="2400" w:type="dxa"/>
            <w:vAlign w:val="bottom"/>
            <w:vMerge w:val="continue"/>
            <w:shd w:val="clear" w:color="auto" w:fill="998C87"/>
          </w:tcPr>
          <w:p>
            <w:pPr>
              <w:spacing w:after="0"/>
              <w:rPr>
                <w:sz w:val="15"/>
                <w:szCs w:val="15"/>
                <w:color w:val="auto"/>
              </w:rPr>
            </w:pPr>
          </w:p>
        </w:tc>
        <w:tc>
          <w:tcPr>
            <w:tcW w:w="620" w:type="dxa"/>
            <w:vAlign w:val="bottom"/>
            <w:gridSpan w:val="2"/>
            <w:shd w:val="clear" w:color="auto" w:fill="998C87"/>
          </w:tcPr>
          <w:p>
            <w:pPr>
              <w:ind w:left="80"/>
              <w:spacing w:after="0"/>
              <w:rPr>
                <w:sz w:val="20"/>
                <w:szCs w:val="20"/>
                <w:color w:val="auto"/>
              </w:rPr>
            </w:pPr>
            <w:r>
              <w:rPr>
                <w:rFonts w:ascii="Arial" w:cs="Arial" w:eastAsia="Arial" w:hAnsi="Arial"/>
                <w:sz w:val="13"/>
                <w:szCs w:val="13"/>
                <w:b w:val="1"/>
                <w:bCs w:val="1"/>
                <w:color w:val="FFFFFF"/>
              </w:rPr>
              <w:t>Date(1)</w:t>
            </w:r>
          </w:p>
        </w:tc>
        <w:tc>
          <w:tcPr>
            <w:tcW w:w="100" w:type="dxa"/>
            <w:vAlign w:val="bottom"/>
            <w:shd w:val="clear" w:color="auto" w:fill="998C87"/>
          </w:tcPr>
          <w:p>
            <w:pPr>
              <w:spacing w:after="0"/>
              <w:rPr>
                <w:sz w:val="15"/>
                <w:szCs w:val="15"/>
                <w:color w:val="auto"/>
              </w:rPr>
            </w:pPr>
          </w:p>
        </w:tc>
        <w:tc>
          <w:tcPr>
            <w:tcW w:w="600" w:type="dxa"/>
            <w:vAlign w:val="bottom"/>
            <w:shd w:val="clear" w:color="auto" w:fill="998C87"/>
          </w:tcPr>
          <w:p>
            <w:pPr>
              <w:jc w:val="center"/>
              <w:ind w:right="77"/>
              <w:spacing w:after="0"/>
              <w:rPr>
                <w:sz w:val="20"/>
                <w:szCs w:val="20"/>
                <w:color w:val="auto"/>
              </w:rPr>
            </w:pPr>
            <w:r>
              <w:rPr>
                <w:rFonts w:ascii="Arial" w:cs="Arial" w:eastAsia="Arial" w:hAnsi="Arial"/>
                <w:sz w:val="13"/>
                <w:szCs w:val="13"/>
                <w:b w:val="1"/>
                <w:bCs w:val="1"/>
                <w:color w:val="FFFFFF"/>
                <w:w w:val="95"/>
              </w:rPr>
              <w:t>Date(1)</w:t>
            </w:r>
          </w:p>
        </w:tc>
        <w:tc>
          <w:tcPr>
            <w:tcW w:w="60" w:type="dxa"/>
            <w:vAlign w:val="bottom"/>
            <w:shd w:val="clear" w:color="auto" w:fill="998C87"/>
          </w:tcPr>
          <w:p>
            <w:pPr>
              <w:spacing w:after="0"/>
              <w:rPr>
                <w:sz w:val="15"/>
                <w:szCs w:val="15"/>
                <w:color w:val="auto"/>
              </w:rPr>
            </w:pPr>
          </w:p>
        </w:tc>
        <w:tc>
          <w:tcPr>
            <w:tcW w:w="620" w:type="dxa"/>
            <w:vAlign w:val="bottom"/>
            <w:gridSpan w:val="2"/>
            <w:shd w:val="clear" w:color="auto" w:fill="998C87"/>
          </w:tcPr>
          <w:p>
            <w:pPr>
              <w:jc w:val="right"/>
              <w:ind w:right="177"/>
              <w:spacing w:after="0"/>
              <w:rPr>
                <w:sz w:val="20"/>
                <w:szCs w:val="20"/>
                <w:color w:val="auto"/>
              </w:rPr>
            </w:pPr>
            <w:r>
              <w:rPr>
                <w:rFonts w:ascii="Arial" w:cs="Arial" w:eastAsia="Arial" w:hAnsi="Arial"/>
                <w:sz w:val="13"/>
                <w:szCs w:val="13"/>
                <w:b w:val="1"/>
                <w:bCs w:val="1"/>
                <w:color w:val="FFFFFF"/>
              </w:rPr>
              <w:t>($)</w:t>
            </w:r>
          </w:p>
        </w:tc>
        <w:tc>
          <w:tcPr>
            <w:tcW w:w="920" w:type="dxa"/>
            <w:vAlign w:val="bottom"/>
            <w:gridSpan w:val="2"/>
            <w:shd w:val="clear" w:color="auto" w:fill="998C87"/>
          </w:tcPr>
          <w:p>
            <w:pPr>
              <w:jc w:val="center"/>
              <w:spacing w:after="0"/>
              <w:rPr>
                <w:sz w:val="20"/>
                <w:szCs w:val="20"/>
                <w:color w:val="auto"/>
              </w:rPr>
            </w:pPr>
            <w:r>
              <w:rPr>
                <w:rFonts w:ascii="Arial" w:cs="Arial" w:eastAsia="Arial" w:hAnsi="Arial"/>
                <w:sz w:val="13"/>
                <w:szCs w:val="13"/>
                <w:b w:val="1"/>
                <w:bCs w:val="1"/>
                <w:color w:val="FFFFFF"/>
              </w:rPr>
              <w:t>($)</w:t>
            </w:r>
          </w:p>
        </w:tc>
        <w:tc>
          <w:tcPr>
            <w:tcW w:w="680" w:type="dxa"/>
            <w:vAlign w:val="bottom"/>
            <w:shd w:val="clear" w:color="auto" w:fill="998C87"/>
          </w:tcPr>
          <w:p>
            <w:pPr>
              <w:jc w:val="center"/>
              <w:ind w:right="37"/>
              <w:spacing w:after="0"/>
              <w:rPr>
                <w:sz w:val="20"/>
                <w:szCs w:val="20"/>
                <w:color w:val="auto"/>
              </w:rPr>
            </w:pPr>
            <w:r>
              <w:rPr>
                <w:rFonts w:ascii="Arial" w:cs="Arial" w:eastAsia="Arial" w:hAnsi="Arial"/>
                <w:sz w:val="13"/>
                <w:szCs w:val="13"/>
                <w:b w:val="1"/>
                <w:bCs w:val="1"/>
                <w:color w:val="FFFFFF"/>
                <w:w w:val="87"/>
              </w:rPr>
              <w:t>($)</w:t>
            </w:r>
          </w:p>
        </w:tc>
        <w:tc>
          <w:tcPr>
            <w:tcW w:w="700" w:type="dxa"/>
            <w:vAlign w:val="bottom"/>
            <w:gridSpan w:val="3"/>
            <w:shd w:val="clear" w:color="auto" w:fill="998C87"/>
          </w:tcPr>
          <w:p>
            <w:pPr>
              <w:jc w:val="right"/>
              <w:ind w:right="197"/>
              <w:spacing w:after="0"/>
              <w:rPr>
                <w:sz w:val="20"/>
                <w:szCs w:val="20"/>
                <w:color w:val="auto"/>
              </w:rPr>
            </w:pPr>
            <w:r>
              <w:rPr>
                <w:rFonts w:ascii="Arial" w:cs="Arial" w:eastAsia="Arial" w:hAnsi="Arial"/>
                <w:sz w:val="13"/>
                <w:szCs w:val="13"/>
                <w:b w:val="1"/>
                <w:bCs w:val="1"/>
                <w:color w:val="FFFFFF"/>
              </w:rPr>
              <w:t>(#)</w:t>
            </w:r>
          </w:p>
        </w:tc>
        <w:tc>
          <w:tcPr>
            <w:tcW w:w="680" w:type="dxa"/>
            <w:vAlign w:val="bottom"/>
            <w:gridSpan w:val="2"/>
            <w:shd w:val="clear" w:color="auto" w:fill="998C87"/>
          </w:tcPr>
          <w:p>
            <w:pPr>
              <w:jc w:val="center"/>
              <w:spacing w:after="0"/>
              <w:rPr>
                <w:sz w:val="20"/>
                <w:szCs w:val="20"/>
                <w:color w:val="auto"/>
              </w:rPr>
            </w:pPr>
            <w:r>
              <w:rPr>
                <w:rFonts w:ascii="Arial" w:cs="Arial" w:eastAsia="Arial" w:hAnsi="Arial"/>
                <w:sz w:val="13"/>
                <w:szCs w:val="13"/>
                <w:b w:val="1"/>
                <w:bCs w:val="1"/>
                <w:color w:val="FFFFFF"/>
              </w:rPr>
              <w:t>(#)</w:t>
            </w:r>
          </w:p>
        </w:tc>
        <w:tc>
          <w:tcPr>
            <w:tcW w:w="820" w:type="dxa"/>
            <w:vAlign w:val="bottom"/>
            <w:shd w:val="clear" w:color="auto" w:fill="998C87"/>
          </w:tcPr>
          <w:p>
            <w:pPr>
              <w:ind w:left="240"/>
              <w:spacing w:after="0"/>
              <w:rPr>
                <w:sz w:val="20"/>
                <w:szCs w:val="20"/>
                <w:color w:val="auto"/>
              </w:rPr>
            </w:pPr>
            <w:r>
              <w:rPr>
                <w:rFonts w:ascii="Arial" w:cs="Arial" w:eastAsia="Arial" w:hAnsi="Arial"/>
                <w:sz w:val="13"/>
                <w:szCs w:val="13"/>
                <w:b w:val="1"/>
                <w:bCs w:val="1"/>
                <w:color w:val="FFFFFF"/>
              </w:rPr>
              <w:t>(#)</w:t>
            </w:r>
          </w:p>
        </w:tc>
        <w:tc>
          <w:tcPr>
            <w:tcW w:w="600" w:type="dxa"/>
            <w:vAlign w:val="bottom"/>
            <w:shd w:val="clear" w:color="auto" w:fill="998C87"/>
          </w:tcPr>
          <w:p>
            <w:pPr>
              <w:jc w:val="center"/>
              <w:ind w:right="17"/>
              <w:spacing w:after="0"/>
              <w:rPr>
                <w:sz w:val="20"/>
                <w:szCs w:val="20"/>
                <w:color w:val="auto"/>
              </w:rPr>
            </w:pPr>
            <w:r>
              <w:rPr>
                <w:rFonts w:ascii="Arial" w:cs="Arial" w:eastAsia="Arial" w:hAnsi="Arial"/>
                <w:sz w:val="13"/>
                <w:szCs w:val="13"/>
                <w:b w:val="1"/>
                <w:bCs w:val="1"/>
                <w:color w:val="FFFFFF"/>
              </w:rPr>
              <w:t>(#)</w:t>
            </w:r>
          </w:p>
        </w:tc>
        <w:tc>
          <w:tcPr>
            <w:tcW w:w="780" w:type="dxa"/>
            <w:vAlign w:val="bottom"/>
            <w:shd w:val="clear" w:color="auto" w:fill="998C87"/>
          </w:tcPr>
          <w:p>
            <w:pPr>
              <w:jc w:val="right"/>
              <w:ind w:right="37"/>
              <w:spacing w:after="0"/>
              <w:rPr>
                <w:sz w:val="20"/>
                <w:szCs w:val="20"/>
                <w:color w:val="auto"/>
              </w:rPr>
            </w:pPr>
            <w:r>
              <w:rPr>
                <w:rFonts w:ascii="Arial" w:cs="Arial" w:eastAsia="Arial" w:hAnsi="Arial"/>
                <w:sz w:val="13"/>
                <w:szCs w:val="13"/>
                <w:b w:val="1"/>
                <w:bCs w:val="1"/>
                <w:color w:val="FFFFFF"/>
              </w:rPr>
              <w:t>SARs) (#)</w:t>
            </w:r>
          </w:p>
        </w:tc>
        <w:tc>
          <w:tcPr>
            <w:tcW w:w="680" w:type="dxa"/>
            <w:vAlign w:val="bottom"/>
            <w:shd w:val="clear" w:color="auto" w:fill="998C87"/>
          </w:tcPr>
          <w:p>
            <w:pPr>
              <w:jc w:val="center"/>
              <w:spacing w:after="0"/>
              <w:rPr>
                <w:sz w:val="20"/>
                <w:szCs w:val="20"/>
                <w:color w:val="auto"/>
              </w:rPr>
            </w:pPr>
            <w:r>
              <w:rPr>
                <w:rFonts w:ascii="Arial" w:cs="Arial" w:eastAsia="Arial" w:hAnsi="Arial"/>
                <w:sz w:val="13"/>
                <w:szCs w:val="13"/>
                <w:b w:val="1"/>
                <w:bCs w:val="1"/>
                <w:color w:val="FFFFFF"/>
                <w:w w:val="92"/>
              </w:rPr>
              <w:t>($/sh)</w:t>
            </w:r>
          </w:p>
        </w:tc>
        <w:tc>
          <w:tcPr>
            <w:tcW w:w="740" w:type="dxa"/>
            <w:vAlign w:val="bottom"/>
            <w:shd w:val="clear" w:color="auto" w:fill="998C87"/>
          </w:tcPr>
          <w:p>
            <w:pPr>
              <w:jc w:val="center"/>
              <w:spacing w:after="0"/>
              <w:rPr>
                <w:sz w:val="20"/>
                <w:szCs w:val="20"/>
                <w:color w:val="auto"/>
              </w:rPr>
            </w:pPr>
            <w:r>
              <w:rPr>
                <w:rFonts w:ascii="Arial" w:cs="Arial" w:eastAsia="Arial" w:hAnsi="Arial"/>
                <w:sz w:val="13"/>
                <w:szCs w:val="13"/>
                <w:b w:val="1"/>
                <w:bCs w:val="1"/>
                <w:color w:val="FFFFFF"/>
                <w:w w:val="94"/>
              </w:rPr>
              <w:t>($)(4)</w:t>
            </w:r>
          </w:p>
        </w:tc>
        <w:tc>
          <w:tcPr>
            <w:tcW w:w="0" w:type="dxa"/>
            <w:vAlign w:val="bottom"/>
          </w:tcPr>
          <w:p>
            <w:pPr>
              <w:spacing w:after="0"/>
              <w:rPr>
                <w:sz w:val="1"/>
                <w:szCs w:val="1"/>
                <w:color w:val="auto"/>
              </w:rPr>
            </w:pPr>
          </w:p>
        </w:tc>
      </w:tr>
      <w:tr>
        <w:trPr>
          <w:trHeight w:val="75"/>
        </w:trPr>
        <w:tc>
          <w:tcPr>
            <w:tcW w:w="2400" w:type="dxa"/>
            <w:vAlign w:val="bottom"/>
            <w:shd w:val="clear" w:color="auto" w:fill="998C87"/>
          </w:tcPr>
          <w:p>
            <w:pPr>
              <w:spacing w:after="0"/>
              <w:rPr>
                <w:sz w:val="6"/>
                <w:szCs w:val="6"/>
                <w:color w:val="auto"/>
              </w:rPr>
            </w:pPr>
          </w:p>
        </w:tc>
        <w:tc>
          <w:tcPr>
            <w:tcW w:w="100" w:type="dxa"/>
            <w:vAlign w:val="bottom"/>
            <w:shd w:val="clear" w:color="auto" w:fill="998C87"/>
          </w:tcPr>
          <w:p>
            <w:pPr>
              <w:spacing w:after="0"/>
              <w:rPr>
                <w:sz w:val="6"/>
                <w:szCs w:val="6"/>
                <w:color w:val="auto"/>
              </w:rPr>
            </w:pPr>
          </w:p>
        </w:tc>
        <w:tc>
          <w:tcPr>
            <w:tcW w:w="520" w:type="dxa"/>
            <w:vAlign w:val="bottom"/>
            <w:shd w:val="clear" w:color="auto" w:fill="998C87"/>
          </w:tcPr>
          <w:p>
            <w:pPr>
              <w:spacing w:after="0"/>
              <w:rPr>
                <w:sz w:val="6"/>
                <w:szCs w:val="6"/>
                <w:color w:val="auto"/>
              </w:rPr>
            </w:pPr>
          </w:p>
        </w:tc>
        <w:tc>
          <w:tcPr>
            <w:tcW w:w="100" w:type="dxa"/>
            <w:vAlign w:val="bottom"/>
            <w:shd w:val="clear" w:color="auto" w:fill="998C87"/>
          </w:tcPr>
          <w:p>
            <w:pPr>
              <w:spacing w:after="0"/>
              <w:rPr>
                <w:sz w:val="6"/>
                <w:szCs w:val="6"/>
                <w:color w:val="auto"/>
              </w:rPr>
            </w:pPr>
          </w:p>
        </w:tc>
        <w:tc>
          <w:tcPr>
            <w:tcW w:w="600" w:type="dxa"/>
            <w:vAlign w:val="bottom"/>
            <w:shd w:val="clear" w:color="auto" w:fill="998C87"/>
          </w:tcPr>
          <w:p>
            <w:pPr>
              <w:spacing w:after="0"/>
              <w:rPr>
                <w:sz w:val="6"/>
                <w:szCs w:val="6"/>
                <w:color w:val="auto"/>
              </w:rPr>
            </w:pPr>
          </w:p>
        </w:tc>
        <w:tc>
          <w:tcPr>
            <w:tcW w:w="60" w:type="dxa"/>
            <w:vAlign w:val="bottom"/>
            <w:shd w:val="clear" w:color="auto" w:fill="998C87"/>
          </w:tcPr>
          <w:p>
            <w:pPr>
              <w:spacing w:after="0"/>
              <w:rPr>
                <w:sz w:val="6"/>
                <w:szCs w:val="6"/>
                <w:color w:val="auto"/>
              </w:rPr>
            </w:pPr>
          </w:p>
        </w:tc>
        <w:tc>
          <w:tcPr>
            <w:tcW w:w="40" w:type="dxa"/>
            <w:vAlign w:val="bottom"/>
            <w:shd w:val="clear" w:color="auto" w:fill="998C87"/>
          </w:tcPr>
          <w:p>
            <w:pPr>
              <w:spacing w:after="0"/>
              <w:rPr>
                <w:sz w:val="6"/>
                <w:szCs w:val="6"/>
                <w:color w:val="auto"/>
              </w:rPr>
            </w:pPr>
          </w:p>
        </w:tc>
        <w:tc>
          <w:tcPr>
            <w:tcW w:w="580" w:type="dxa"/>
            <w:vAlign w:val="bottom"/>
            <w:shd w:val="clear" w:color="auto" w:fill="998C87"/>
          </w:tcPr>
          <w:p>
            <w:pPr>
              <w:spacing w:after="0"/>
              <w:rPr>
                <w:sz w:val="6"/>
                <w:szCs w:val="6"/>
                <w:color w:val="auto"/>
              </w:rPr>
            </w:pPr>
          </w:p>
        </w:tc>
        <w:tc>
          <w:tcPr>
            <w:tcW w:w="200" w:type="dxa"/>
            <w:vAlign w:val="bottom"/>
            <w:shd w:val="clear" w:color="auto" w:fill="998C87"/>
          </w:tcPr>
          <w:p>
            <w:pPr>
              <w:spacing w:after="0"/>
              <w:rPr>
                <w:sz w:val="6"/>
                <w:szCs w:val="6"/>
                <w:color w:val="auto"/>
              </w:rPr>
            </w:pPr>
          </w:p>
        </w:tc>
        <w:tc>
          <w:tcPr>
            <w:tcW w:w="720" w:type="dxa"/>
            <w:vAlign w:val="bottom"/>
            <w:shd w:val="clear" w:color="auto" w:fill="998C87"/>
          </w:tcPr>
          <w:p>
            <w:pPr>
              <w:spacing w:after="0"/>
              <w:rPr>
                <w:sz w:val="6"/>
                <w:szCs w:val="6"/>
                <w:color w:val="auto"/>
              </w:rPr>
            </w:pPr>
          </w:p>
        </w:tc>
        <w:tc>
          <w:tcPr>
            <w:tcW w:w="680" w:type="dxa"/>
            <w:vAlign w:val="bottom"/>
            <w:shd w:val="clear" w:color="auto" w:fill="998C87"/>
          </w:tcPr>
          <w:p>
            <w:pPr>
              <w:spacing w:after="0"/>
              <w:rPr>
                <w:sz w:val="6"/>
                <w:szCs w:val="6"/>
                <w:color w:val="auto"/>
              </w:rPr>
            </w:pPr>
          </w:p>
        </w:tc>
        <w:tc>
          <w:tcPr>
            <w:tcW w:w="60" w:type="dxa"/>
            <w:vAlign w:val="bottom"/>
            <w:shd w:val="clear" w:color="auto" w:fill="998C87"/>
          </w:tcPr>
          <w:p>
            <w:pPr>
              <w:spacing w:after="0"/>
              <w:rPr>
                <w:sz w:val="6"/>
                <w:szCs w:val="6"/>
                <w:color w:val="auto"/>
              </w:rPr>
            </w:pPr>
          </w:p>
        </w:tc>
        <w:tc>
          <w:tcPr>
            <w:tcW w:w="60" w:type="dxa"/>
            <w:vAlign w:val="bottom"/>
            <w:shd w:val="clear" w:color="auto" w:fill="998C87"/>
          </w:tcPr>
          <w:p>
            <w:pPr>
              <w:spacing w:after="0"/>
              <w:rPr>
                <w:sz w:val="6"/>
                <w:szCs w:val="6"/>
                <w:color w:val="auto"/>
              </w:rPr>
            </w:pPr>
          </w:p>
        </w:tc>
        <w:tc>
          <w:tcPr>
            <w:tcW w:w="580" w:type="dxa"/>
            <w:vAlign w:val="bottom"/>
            <w:shd w:val="clear" w:color="auto" w:fill="998C87"/>
          </w:tcPr>
          <w:p>
            <w:pPr>
              <w:spacing w:after="0"/>
              <w:rPr>
                <w:sz w:val="6"/>
                <w:szCs w:val="6"/>
                <w:color w:val="auto"/>
              </w:rPr>
            </w:pPr>
          </w:p>
        </w:tc>
        <w:tc>
          <w:tcPr>
            <w:tcW w:w="120" w:type="dxa"/>
            <w:vAlign w:val="bottom"/>
            <w:shd w:val="clear" w:color="auto" w:fill="998C87"/>
          </w:tcPr>
          <w:p>
            <w:pPr>
              <w:spacing w:after="0"/>
              <w:rPr>
                <w:sz w:val="6"/>
                <w:szCs w:val="6"/>
                <w:color w:val="auto"/>
              </w:rPr>
            </w:pPr>
          </w:p>
        </w:tc>
        <w:tc>
          <w:tcPr>
            <w:tcW w:w="560" w:type="dxa"/>
            <w:vAlign w:val="bottom"/>
            <w:shd w:val="clear" w:color="auto" w:fill="998C87"/>
          </w:tcPr>
          <w:p>
            <w:pPr>
              <w:spacing w:after="0"/>
              <w:rPr>
                <w:sz w:val="6"/>
                <w:szCs w:val="6"/>
                <w:color w:val="auto"/>
              </w:rPr>
            </w:pPr>
          </w:p>
        </w:tc>
        <w:tc>
          <w:tcPr>
            <w:tcW w:w="820" w:type="dxa"/>
            <w:vAlign w:val="bottom"/>
            <w:shd w:val="clear" w:color="auto" w:fill="998C87"/>
          </w:tcPr>
          <w:p>
            <w:pPr>
              <w:spacing w:after="0"/>
              <w:rPr>
                <w:sz w:val="6"/>
                <w:szCs w:val="6"/>
                <w:color w:val="auto"/>
              </w:rPr>
            </w:pPr>
          </w:p>
        </w:tc>
        <w:tc>
          <w:tcPr>
            <w:tcW w:w="600" w:type="dxa"/>
            <w:vAlign w:val="bottom"/>
            <w:shd w:val="clear" w:color="auto" w:fill="998C87"/>
          </w:tcPr>
          <w:p>
            <w:pPr>
              <w:spacing w:after="0"/>
              <w:rPr>
                <w:sz w:val="6"/>
                <w:szCs w:val="6"/>
                <w:color w:val="auto"/>
              </w:rPr>
            </w:pPr>
          </w:p>
        </w:tc>
        <w:tc>
          <w:tcPr>
            <w:tcW w:w="780" w:type="dxa"/>
            <w:vAlign w:val="bottom"/>
            <w:shd w:val="clear" w:color="auto" w:fill="998C87"/>
          </w:tcPr>
          <w:p>
            <w:pPr>
              <w:spacing w:after="0"/>
              <w:rPr>
                <w:sz w:val="6"/>
                <w:szCs w:val="6"/>
                <w:color w:val="auto"/>
              </w:rPr>
            </w:pPr>
          </w:p>
        </w:tc>
        <w:tc>
          <w:tcPr>
            <w:tcW w:w="680" w:type="dxa"/>
            <w:vAlign w:val="bottom"/>
            <w:shd w:val="clear" w:color="auto" w:fill="998C87"/>
          </w:tcPr>
          <w:p>
            <w:pPr>
              <w:spacing w:after="0"/>
              <w:rPr>
                <w:sz w:val="6"/>
                <w:szCs w:val="6"/>
                <w:color w:val="auto"/>
              </w:rPr>
            </w:pPr>
          </w:p>
        </w:tc>
        <w:tc>
          <w:tcPr>
            <w:tcW w:w="740" w:type="dxa"/>
            <w:vAlign w:val="bottom"/>
            <w:shd w:val="clear" w:color="auto" w:fill="998C87"/>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F4F3F3"/>
          </w:tcPr>
          <w:p>
            <w:pPr>
              <w:ind w:left="60"/>
              <w:spacing w:after="0" w:line="149" w:lineRule="exact"/>
              <w:rPr>
                <w:sz w:val="20"/>
                <w:szCs w:val="20"/>
                <w:color w:val="auto"/>
              </w:rPr>
            </w:pPr>
            <w:r>
              <w:rPr>
                <w:rFonts w:ascii="Arial" w:cs="Arial" w:eastAsia="Arial" w:hAnsi="Arial"/>
                <w:sz w:val="13"/>
                <w:szCs w:val="13"/>
                <w:color w:val="998C87"/>
              </w:rPr>
              <w:t>Mr. Marriott</w:t>
            </w:r>
          </w:p>
        </w:tc>
        <w:tc>
          <w:tcPr>
            <w:tcW w:w="100" w:type="dxa"/>
            <w:vAlign w:val="bottom"/>
            <w:shd w:val="clear" w:color="auto" w:fill="F4F3F3"/>
          </w:tcPr>
          <w:p>
            <w:pPr>
              <w:spacing w:after="0"/>
              <w:rPr>
                <w:sz w:val="12"/>
                <w:szCs w:val="12"/>
                <w:color w:val="auto"/>
              </w:rPr>
            </w:pPr>
          </w:p>
        </w:tc>
        <w:tc>
          <w:tcPr>
            <w:tcW w:w="520" w:type="dxa"/>
            <w:vAlign w:val="bottom"/>
            <w:shd w:val="clear" w:color="auto" w:fill="F4F3F3"/>
          </w:tcPr>
          <w:p>
            <w:pPr>
              <w:spacing w:after="0"/>
              <w:rPr>
                <w:sz w:val="12"/>
                <w:szCs w:val="12"/>
                <w:color w:val="auto"/>
              </w:rPr>
            </w:pPr>
          </w:p>
        </w:tc>
        <w:tc>
          <w:tcPr>
            <w:tcW w:w="100" w:type="dxa"/>
            <w:vAlign w:val="bottom"/>
            <w:shd w:val="clear" w:color="auto" w:fill="F4F3F3"/>
          </w:tcPr>
          <w:p>
            <w:pPr>
              <w:spacing w:after="0"/>
              <w:rPr>
                <w:sz w:val="12"/>
                <w:szCs w:val="12"/>
                <w:color w:val="auto"/>
              </w:rPr>
            </w:pPr>
          </w:p>
        </w:tc>
        <w:tc>
          <w:tcPr>
            <w:tcW w:w="600" w:type="dxa"/>
            <w:vAlign w:val="bottom"/>
            <w:shd w:val="clear" w:color="auto" w:fill="F4F3F3"/>
          </w:tcPr>
          <w:p>
            <w:pPr>
              <w:spacing w:after="0"/>
              <w:rPr>
                <w:sz w:val="12"/>
                <w:szCs w:val="12"/>
                <w:color w:val="auto"/>
              </w:rPr>
            </w:pPr>
          </w:p>
        </w:tc>
        <w:tc>
          <w:tcPr>
            <w:tcW w:w="60" w:type="dxa"/>
            <w:vAlign w:val="bottom"/>
            <w:shd w:val="clear" w:color="auto" w:fill="F4F3F3"/>
          </w:tcPr>
          <w:p>
            <w:pPr>
              <w:spacing w:after="0"/>
              <w:rPr>
                <w:sz w:val="12"/>
                <w:szCs w:val="12"/>
                <w:color w:val="auto"/>
              </w:rPr>
            </w:pPr>
          </w:p>
        </w:tc>
        <w:tc>
          <w:tcPr>
            <w:tcW w:w="40" w:type="dxa"/>
            <w:vAlign w:val="bottom"/>
            <w:shd w:val="clear" w:color="auto" w:fill="F4F3F3"/>
          </w:tcPr>
          <w:p>
            <w:pPr>
              <w:spacing w:after="0"/>
              <w:rPr>
                <w:sz w:val="12"/>
                <w:szCs w:val="12"/>
                <w:color w:val="auto"/>
              </w:rPr>
            </w:pPr>
          </w:p>
        </w:tc>
        <w:tc>
          <w:tcPr>
            <w:tcW w:w="580" w:type="dxa"/>
            <w:vAlign w:val="bottom"/>
            <w:shd w:val="clear" w:color="auto" w:fill="F4F3F3"/>
          </w:tcPr>
          <w:p>
            <w:pPr>
              <w:ind w:left="400"/>
              <w:spacing w:after="0" w:line="149" w:lineRule="exact"/>
              <w:rPr>
                <w:sz w:val="20"/>
                <w:szCs w:val="20"/>
                <w:color w:val="auto"/>
              </w:rPr>
            </w:pPr>
            <w:r>
              <w:rPr>
                <w:rFonts w:ascii="Arial" w:cs="Arial" w:eastAsia="Arial" w:hAnsi="Arial"/>
                <w:sz w:val="13"/>
                <w:szCs w:val="13"/>
                <w:color w:val="auto"/>
                <w:w w:val="88"/>
              </w:rPr>
              <w:t>n/a</w:t>
            </w:r>
          </w:p>
        </w:tc>
        <w:tc>
          <w:tcPr>
            <w:tcW w:w="200" w:type="dxa"/>
            <w:vAlign w:val="bottom"/>
            <w:shd w:val="clear" w:color="auto" w:fill="F4F3F3"/>
          </w:tcPr>
          <w:p>
            <w:pPr>
              <w:spacing w:after="0"/>
              <w:rPr>
                <w:sz w:val="12"/>
                <w:szCs w:val="12"/>
                <w:color w:val="auto"/>
              </w:rPr>
            </w:pPr>
          </w:p>
        </w:tc>
        <w:tc>
          <w:tcPr>
            <w:tcW w:w="720" w:type="dxa"/>
            <w:vAlign w:val="bottom"/>
            <w:shd w:val="clear" w:color="auto" w:fill="F4F3F3"/>
          </w:tcPr>
          <w:p>
            <w:pPr>
              <w:jc w:val="right"/>
              <w:ind w:right="97"/>
              <w:spacing w:after="0" w:line="149" w:lineRule="exact"/>
              <w:rPr>
                <w:sz w:val="20"/>
                <w:szCs w:val="20"/>
                <w:color w:val="auto"/>
              </w:rPr>
            </w:pPr>
            <w:r>
              <w:rPr>
                <w:rFonts w:ascii="Arial" w:cs="Arial" w:eastAsia="Arial" w:hAnsi="Arial"/>
                <w:sz w:val="13"/>
                <w:szCs w:val="13"/>
                <w:color w:val="auto"/>
              </w:rPr>
              <w:t>n/a</w:t>
            </w:r>
          </w:p>
        </w:tc>
        <w:tc>
          <w:tcPr>
            <w:tcW w:w="680" w:type="dxa"/>
            <w:vAlign w:val="bottom"/>
            <w:shd w:val="clear" w:color="auto" w:fill="F4F3F3"/>
          </w:tcPr>
          <w:p>
            <w:pPr>
              <w:ind w:left="420"/>
              <w:spacing w:after="0" w:line="149" w:lineRule="exact"/>
              <w:rPr>
                <w:sz w:val="20"/>
                <w:szCs w:val="20"/>
                <w:color w:val="auto"/>
              </w:rPr>
            </w:pPr>
            <w:r>
              <w:rPr>
                <w:rFonts w:ascii="Arial" w:cs="Arial" w:eastAsia="Arial" w:hAnsi="Arial"/>
                <w:sz w:val="13"/>
                <w:szCs w:val="13"/>
                <w:color w:val="auto"/>
              </w:rPr>
              <w:t>n/a</w:t>
            </w:r>
          </w:p>
        </w:tc>
        <w:tc>
          <w:tcPr>
            <w:tcW w:w="60" w:type="dxa"/>
            <w:vAlign w:val="bottom"/>
            <w:shd w:val="clear" w:color="auto" w:fill="F4F3F3"/>
          </w:tcPr>
          <w:p>
            <w:pPr>
              <w:spacing w:after="0"/>
              <w:rPr>
                <w:sz w:val="12"/>
                <w:szCs w:val="12"/>
                <w:color w:val="auto"/>
              </w:rPr>
            </w:pPr>
          </w:p>
        </w:tc>
        <w:tc>
          <w:tcPr>
            <w:tcW w:w="60" w:type="dxa"/>
            <w:vAlign w:val="bottom"/>
            <w:shd w:val="clear" w:color="auto" w:fill="F4F3F3"/>
          </w:tcPr>
          <w:p>
            <w:pPr>
              <w:spacing w:after="0"/>
              <w:rPr>
                <w:sz w:val="12"/>
                <w:szCs w:val="12"/>
                <w:color w:val="auto"/>
              </w:rPr>
            </w:pPr>
          </w:p>
        </w:tc>
        <w:tc>
          <w:tcPr>
            <w:tcW w:w="580" w:type="dxa"/>
            <w:vAlign w:val="bottom"/>
            <w:shd w:val="clear" w:color="auto" w:fill="F4F3F3"/>
          </w:tcPr>
          <w:p>
            <w:pPr>
              <w:jc w:val="right"/>
              <w:spacing w:after="0" w:line="149" w:lineRule="exact"/>
              <w:rPr>
                <w:sz w:val="20"/>
                <w:szCs w:val="20"/>
                <w:color w:val="auto"/>
              </w:rPr>
            </w:pPr>
            <w:r>
              <w:rPr>
                <w:rFonts w:ascii="Arial" w:cs="Arial" w:eastAsia="Arial" w:hAnsi="Arial"/>
                <w:sz w:val="13"/>
                <w:szCs w:val="13"/>
                <w:color w:val="auto"/>
              </w:rPr>
              <w:t>n/a</w:t>
            </w:r>
          </w:p>
        </w:tc>
        <w:tc>
          <w:tcPr>
            <w:tcW w:w="120" w:type="dxa"/>
            <w:vAlign w:val="bottom"/>
            <w:shd w:val="clear" w:color="auto" w:fill="F4F3F3"/>
          </w:tcPr>
          <w:p>
            <w:pPr>
              <w:spacing w:after="0"/>
              <w:rPr>
                <w:sz w:val="12"/>
                <w:szCs w:val="12"/>
                <w:color w:val="auto"/>
              </w:rPr>
            </w:pPr>
          </w:p>
        </w:tc>
        <w:tc>
          <w:tcPr>
            <w:tcW w:w="560" w:type="dxa"/>
            <w:vAlign w:val="bottom"/>
            <w:shd w:val="clear" w:color="auto" w:fill="F4F3F3"/>
          </w:tcPr>
          <w:p>
            <w:pPr>
              <w:jc w:val="right"/>
              <w:ind w:right="57"/>
              <w:spacing w:after="0" w:line="149" w:lineRule="exact"/>
              <w:rPr>
                <w:sz w:val="20"/>
                <w:szCs w:val="20"/>
                <w:color w:val="auto"/>
              </w:rPr>
            </w:pPr>
            <w:r>
              <w:rPr>
                <w:rFonts w:ascii="Arial" w:cs="Arial" w:eastAsia="Arial" w:hAnsi="Arial"/>
                <w:sz w:val="13"/>
                <w:szCs w:val="13"/>
                <w:color w:val="auto"/>
              </w:rPr>
              <w:t>n/a</w:t>
            </w:r>
          </w:p>
        </w:tc>
        <w:tc>
          <w:tcPr>
            <w:tcW w:w="820" w:type="dxa"/>
            <w:vAlign w:val="bottom"/>
            <w:shd w:val="clear" w:color="auto" w:fill="F4F3F3"/>
          </w:tcPr>
          <w:p>
            <w:pPr>
              <w:ind w:left="440"/>
              <w:spacing w:after="0" w:line="149" w:lineRule="exact"/>
              <w:rPr>
                <w:sz w:val="20"/>
                <w:szCs w:val="20"/>
                <w:color w:val="auto"/>
              </w:rPr>
            </w:pPr>
            <w:r>
              <w:rPr>
                <w:rFonts w:ascii="Arial" w:cs="Arial" w:eastAsia="Arial" w:hAnsi="Arial"/>
                <w:sz w:val="13"/>
                <w:szCs w:val="13"/>
                <w:color w:val="auto"/>
              </w:rPr>
              <w:t>n/a</w:t>
            </w:r>
          </w:p>
        </w:tc>
        <w:tc>
          <w:tcPr>
            <w:tcW w:w="600" w:type="dxa"/>
            <w:vAlign w:val="bottom"/>
            <w:shd w:val="clear" w:color="auto" w:fill="F4F3F3"/>
          </w:tcPr>
          <w:p>
            <w:pPr>
              <w:jc w:val="right"/>
              <w:ind w:right="17"/>
              <w:spacing w:after="0" w:line="149" w:lineRule="exact"/>
              <w:rPr>
                <w:sz w:val="20"/>
                <w:szCs w:val="20"/>
                <w:color w:val="auto"/>
              </w:rPr>
            </w:pPr>
            <w:r>
              <w:rPr>
                <w:rFonts w:ascii="Arial" w:cs="Arial" w:eastAsia="Arial" w:hAnsi="Arial"/>
                <w:sz w:val="13"/>
                <w:szCs w:val="13"/>
                <w:color w:val="auto"/>
              </w:rPr>
              <w:t>n/a</w:t>
            </w:r>
          </w:p>
        </w:tc>
        <w:tc>
          <w:tcPr>
            <w:tcW w:w="780" w:type="dxa"/>
            <w:vAlign w:val="bottom"/>
            <w:shd w:val="clear" w:color="auto" w:fill="F4F3F3"/>
          </w:tcPr>
          <w:p>
            <w:pPr>
              <w:jc w:val="right"/>
              <w:spacing w:after="0" w:line="149" w:lineRule="exact"/>
              <w:rPr>
                <w:sz w:val="20"/>
                <w:szCs w:val="20"/>
                <w:color w:val="auto"/>
              </w:rPr>
            </w:pPr>
            <w:r>
              <w:rPr>
                <w:rFonts w:ascii="Arial" w:cs="Arial" w:eastAsia="Arial" w:hAnsi="Arial"/>
                <w:sz w:val="13"/>
                <w:szCs w:val="13"/>
                <w:color w:val="auto"/>
              </w:rPr>
              <w:t>n/a</w:t>
            </w:r>
          </w:p>
        </w:tc>
        <w:tc>
          <w:tcPr>
            <w:tcW w:w="680" w:type="dxa"/>
            <w:vAlign w:val="bottom"/>
            <w:shd w:val="clear" w:color="auto" w:fill="F4F3F3"/>
          </w:tcPr>
          <w:p>
            <w:pPr>
              <w:ind w:left="400"/>
              <w:spacing w:after="0" w:line="149" w:lineRule="exact"/>
              <w:rPr>
                <w:sz w:val="20"/>
                <w:szCs w:val="20"/>
                <w:color w:val="auto"/>
              </w:rPr>
            </w:pPr>
            <w:r>
              <w:rPr>
                <w:rFonts w:ascii="Arial" w:cs="Arial" w:eastAsia="Arial" w:hAnsi="Arial"/>
                <w:sz w:val="13"/>
                <w:szCs w:val="13"/>
                <w:color w:val="auto"/>
              </w:rPr>
              <w:t>n/a</w:t>
            </w:r>
          </w:p>
        </w:tc>
        <w:tc>
          <w:tcPr>
            <w:tcW w:w="740" w:type="dxa"/>
            <w:vAlign w:val="bottom"/>
            <w:shd w:val="clear" w:color="auto" w:fill="F4F3F3"/>
          </w:tcPr>
          <w:p>
            <w:pPr>
              <w:jc w:val="right"/>
              <w:ind w:right="17"/>
              <w:spacing w:after="0" w:line="149" w:lineRule="exact"/>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26"/>
        </w:trPr>
        <w:tc>
          <w:tcPr>
            <w:tcW w:w="2400" w:type="dxa"/>
            <w:vAlign w:val="bottom"/>
            <w:shd w:val="clear" w:color="auto" w:fill="F4F3F3"/>
          </w:tcPr>
          <w:p>
            <w:pPr>
              <w:ind w:left="60"/>
              <w:spacing w:after="0" w:line="126" w:lineRule="exact"/>
              <w:rPr>
                <w:sz w:val="20"/>
                <w:szCs w:val="20"/>
                <w:color w:val="auto"/>
              </w:rPr>
            </w:pPr>
            <w:r>
              <w:rPr>
                <w:rFonts w:ascii="Arial" w:cs="Arial" w:eastAsia="Arial" w:hAnsi="Arial"/>
                <w:sz w:val="13"/>
                <w:szCs w:val="13"/>
                <w:color w:val="998C87"/>
              </w:rPr>
              <w:t>Mr. Sorenson</w:t>
            </w:r>
          </w:p>
        </w:tc>
        <w:tc>
          <w:tcPr>
            <w:tcW w:w="100" w:type="dxa"/>
            <w:vAlign w:val="bottom"/>
            <w:shd w:val="clear" w:color="auto" w:fill="F4F3F3"/>
          </w:tcPr>
          <w:p>
            <w:pPr>
              <w:spacing w:after="0"/>
              <w:rPr>
                <w:sz w:val="10"/>
                <w:szCs w:val="10"/>
                <w:color w:val="auto"/>
              </w:rPr>
            </w:pPr>
          </w:p>
        </w:tc>
        <w:tc>
          <w:tcPr>
            <w:tcW w:w="520" w:type="dxa"/>
            <w:vAlign w:val="bottom"/>
            <w:shd w:val="clear" w:color="auto" w:fill="F4F3F3"/>
          </w:tcPr>
          <w:p>
            <w:pPr>
              <w:spacing w:after="0"/>
              <w:rPr>
                <w:sz w:val="10"/>
                <w:szCs w:val="10"/>
                <w:color w:val="auto"/>
              </w:rPr>
            </w:pPr>
          </w:p>
        </w:tc>
        <w:tc>
          <w:tcPr>
            <w:tcW w:w="100" w:type="dxa"/>
            <w:vAlign w:val="bottom"/>
            <w:shd w:val="clear" w:color="auto" w:fill="F4F3F3"/>
          </w:tcPr>
          <w:p>
            <w:pPr>
              <w:spacing w:after="0"/>
              <w:rPr>
                <w:sz w:val="10"/>
                <w:szCs w:val="10"/>
                <w:color w:val="auto"/>
              </w:rPr>
            </w:pPr>
          </w:p>
        </w:tc>
        <w:tc>
          <w:tcPr>
            <w:tcW w:w="600" w:type="dxa"/>
            <w:vAlign w:val="bottom"/>
            <w:shd w:val="clear" w:color="auto" w:fill="F4F3F3"/>
          </w:tcPr>
          <w:p>
            <w:pPr>
              <w:spacing w:after="0"/>
              <w:rPr>
                <w:sz w:val="10"/>
                <w:szCs w:val="10"/>
                <w:color w:val="auto"/>
              </w:rPr>
            </w:pPr>
          </w:p>
        </w:tc>
        <w:tc>
          <w:tcPr>
            <w:tcW w:w="60" w:type="dxa"/>
            <w:vAlign w:val="bottom"/>
            <w:shd w:val="clear" w:color="auto" w:fill="F4F3F3"/>
          </w:tcPr>
          <w:p>
            <w:pPr>
              <w:spacing w:after="0"/>
              <w:rPr>
                <w:sz w:val="10"/>
                <w:szCs w:val="10"/>
                <w:color w:val="auto"/>
              </w:rPr>
            </w:pPr>
          </w:p>
        </w:tc>
        <w:tc>
          <w:tcPr>
            <w:tcW w:w="40" w:type="dxa"/>
            <w:vAlign w:val="bottom"/>
            <w:shd w:val="clear" w:color="auto" w:fill="F4F3F3"/>
          </w:tcPr>
          <w:p>
            <w:pPr>
              <w:spacing w:after="0"/>
              <w:rPr>
                <w:sz w:val="10"/>
                <w:szCs w:val="10"/>
                <w:color w:val="auto"/>
              </w:rPr>
            </w:pPr>
          </w:p>
        </w:tc>
        <w:tc>
          <w:tcPr>
            <w:tcW w:w="580" w:type="dxa"/>
            <w:vAlign w:val="bottom"/>
            <w:shd w:val="clear" w:color="auto" w:fill="F4F3F3"/>
          </w:tcPr>
          <w:p>
            <w:pPr>
              <w:spacing w:after="0"/>
              <w:rPr>
                <w:sz w:val="10"/>
                <w:szCs w:val="10"/>
                <w:color w:val="auto"/>
              </w:rPr>
            </w:pPr>
          </w:p>
        </w:tc>
        <w:tc>
          <w:tcPr>
            <w:tcW w:w="200" w:type="dxa"/>
            <w:vAlign w:val="bottom"/>
            <w:shd w:val="clear" w:color="auto" w:fill="F4F3F3"/>
          </w:tcPr>
          <w:p>
            <w:pPr>
              <w:spacing w:after="0"/>
              <w:rPr>
                <w:sz w:val="10"/>
                <w:szCs w:val="10"/>
                <w:color w:val="auto"/>
              </w:rPr>
            </w:pPr>
          </w:p>
        </w:tc>
        <w:tc>
          <w:tcPr>
            <w:tcW w:w="720" w:type="dxa"/>
            <w:vAlign w:val="bottom"/>
            <w:shd w:val="clear" w:color="auto" w:fill="F4F3F3"/>
          </w:tcPr>
          <w:p>
            <w:pPr>
              <w:spacing w:after="0"/>
              <w:rPr>
                <w:sz w:val="10"/>
                <w:szCs w:val="10"/>
                <w:color w:val="auto"/>
              </w:rPr>
            </w:pPr>
          </w:p>
        </w:tc>
        <w:tc>
          <w:tcPr>
            <w:tcW w:w="680" w:type="dxa"/>
            <w:vAlign w:val="bottom"/>
            <w:shd w:val="clear" w:color="auto" w:fill="F4F3F3"/>
          </w:tcPr>
          <w:p>
            <w:pPr>
              <w:spacing w:after="0"/>
              <w:rPr>
                <w:sz w:val="10"/>
                <w:szCs w:val="10"/>
                <w:color w:val="auto"/>
              </w:rPr>
            </w:pPr>
          </w:p>
        </w:tc>
        <w:tc>
          <w:tcPr>
            <w:tcW w:w="60" w:type="dxa"/>
            <w:vAlign w:val="bottom"/>
            <w:shd w:val="clear" w:color="auto" w:fill="F4F3F3"/>
          </w:tcPr>
          <w:p>
            <w:pPr>
              <w:spacing w:after="0"/>
              <w:rPr>
                <w:sz w:val="10"/>
                <w:szCs w:val="10"/>
                <w:color w:val="auto"/>
              </w:rPr>
            </w:pPr>
          </w:p>
        </w:tc>
        <w:tc>
          <w:tcPr>
            <w:tcW w:w="60" w:type="dxa"/>
            <w:vAlign w:val="bottom"/>
            <w:shd w:val="clear" w:color="auto" w:fill="F4F3F3"/>
          </w:tcPr>
          <w:p>
            <w:pPr>
              <w:spacing w:after="0"/>
              <w:rPr>
                <w:sz w:val="10"/>
                <w:szCs w:val="10"/>
                <w:color w:val="auto"/>
              </w:rPr>
            </w:pPr>
          </w:p>
        </w:tc>
        <w:tc>
          <w:tcPr>
            <w:tcW w:w="580" w:type="dxa"/>
            <w:vAlign w:val="bottom"/>
            <w:shd w:val="clear" w:color="auto" w:fill="F4F3F3"/>
          </w:tcPr>
          <w:p>
            <w:pPr>
              <w:spacing w:after="0"/>
              <w:rPr>
                <w:sz w:val="10"/>
                <w:szCs w:val="10"/>
                <w:color w:val="auto"/>
              </w:rPr>
            </w:pPr>
          </w:p>
        </w:tc>
        <w:tc>
          <w:tcPr>
            <w:tcW w:w="120" w:type="dxa"/>
            <w:vAlign w:val="bottom"/>
            <w:shd w:val="clear" w:color="auto" w:fill="F4F3F3"/>
          </w:tcPr>
          <w:p>
            <w:pPr>
              <w:spacing w:after="0"/>
              <w:rPr>
                <w:sz w:val="10"/>
                <w:szCs w:val="10"/>
                <w:color w:val="auto"/>
              </w:rPr>
            </w:pPr>
          </w:p>
        </w:tc>
        <w:tc>
          <w:tcPr>
            <w:tcW w:w="560" w:type="dxa"/>
            <w:vAlign w:val="bottom"/>
            <w:shd w:val="clear" w:color="auto" w:fill="F4F3F3"/>
          </w:tcPr>
          <w:p>
            <w:pPr>
              <w:spacing w:after="0"/>
              <w:rPr>
                <w:sz w:val="10"/>
                <w:szCs w:val="10"/>
                <w:color w:val="auto"/>
              </w:rPr>
            </w:pPr>
          </w:p>
        </w:tc>
        <w:tc>
          <w:tcPr>
            <w:tcW w:w="820" w:type="dxa"/>
            <w:vAlign w:val="bottom"/>
            <w:shd w:val="clear" w:color="auto" w:fill="F4F3F3"/>
          </w:tcPr>
          <w:p>
            <w:pPr>
              <w:spacing w:after="0"/>
              <w:rPr>
                <w:sz w:val="10"/>
                <w:szCs w:val="10"/>
                <w:color w:val="auto"/>
              </w:rPr>
            </w:pPr>
          </w:p>
        </w:tc>
        <w:tc>
          <w:tcPr>
            <w:tcW w:w="600" w:type="dxa"/>
            <w:vAlign w:val="bottom"/>
            <w:shd w:val="clear" w:color="auto" w:fill="F4F3F3"/>
          </w:tcPr>
          <w:p>
            <w:pPr>
              <w:spacing w:after="0"/>
              <w:rPr>
                <w:sz w:val="10"/>
                <w:szCs w:val="10"/>
                <w:color w:val="auto"/>
              </w:rPr>
            </w:pPr>
          </w:p>
        </w:tc>
        <w:tc>
          <w:tcPr>
            <w:tcW w:w="780" w:type="dxa"/>
            <w:vAlign w:val="bottom"/>
            <w:shd w:val="clear" w:color="auto" w:fill="F4F3F3"/>
          </w:tcPr>
          <w:p>
            <w:pPr>
              <w:spacing w:after="0"/>
              <w:rPr>
                <w:sz w:val="10"/>
                <w:szCs w:val="10"/>
                <w:color w:val="auto"/>
              </w:rPr>
            </w:pPr>
          </w:p>
        </w:tc>
        <w:tc>
          <w:tcPr>
            <w:tcW w:w="680" w:type="dxa"/>
            <w:vAlign w:val="bottom"/>
            <w:shd w:val="clear" w:color="auto" w:fill="F4F3F3"/>
          </w:tcPr>
          <w:p>
            <w:pPr>
              <w:spacing w:after="0"/>
              <w:rPr>
                <w:sz w:val="10"/>
                <w:szCs w:val="10"/>
                <w:color w:val="auto"/>
              </w:rPr>
            </w:pPr>
          </w:p>
        </w:tc>
        <w:tc>
          <w:tcPr>
            <w:tcW w:w="740" w:type="dxa"/>
            <w:vAlign w:val="bottom"/>
            <w:shd w:val="clear" w:color="auto" w:fill="F4F3F3"/>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00" w:type="dxa"/>
            <w:vAlign w:val="bottom"/>
            <w:shd w:val="clear" w:color="auto" w:fill="F4F3F3"/>
          </w:tcPr>
          <w:p>
            <w:pPr>
              <w:ind w:left="180"/>
              <w:spacing w:after="0" w:line="135" w:lineRule="exact"/>
              <w:rPr>
                <w:sz w:val="20"/>
                <w:szCs w:val="20"/>
                <w:color w:val="auto"/>
              </w:rPr>
            </w:pPr>
            <w:r>
              <w:rPr>
                <w:rFonts w:ascii="Arial" w:cs="Arial" w:eastAsia="Arial" w:hAnsi="Arial"/>
                <w:sz w:val="13"/>
                <w:szCs w:val="13"/>
                <w:color w:val="auto"/>
              </w:rPr>
              <w:t>Cash Incentive</w:t>
            </w:r>
          </w:p>
        </w:tc>
        <w:tc>
          <w:tcPr>
            <w:tcW w:w="100" w:type="dxa"/>
            <w:vAlign w:val="bottom"/>
            <w:shd w:val="clear" w:color="auto" w:fill="F4F3F3"/>
          </w:tcPr>
          <w:p>
            <w:pPr>
              <w:spacing w:after="0"/>
              <w:rPr>
                <w:sz w:val="11"/>
                <w:szCs w:val="11"/>
                <w:color w:val="auto"/>
              </w:rPr>
            </w:pPr>
          </w:p>
        </w:tc>
        <w:tc>
          <w:tcPr>
            <w:tcW w:w="520" w:type="dxa"/>
            <w:vAlign w:val="bottom"/>
            <w:shd w:val="clear" w:color="auto" w:fill="F4F3F3"/>
          </w:tcPr>
          <w:p>
            <w:pPr>
              <w:spacing w:after="0"/>
              <w:rPr>
                <w:sz w:val="11"/>
                <w:szCs w:val="11"/>
                <w:color w:val="auto"/>
              </w:rPr>
            </w:pPr>
          </w:p>
        </w:tc>
        <w:tc>
          <w:tcPr>
            <w:tcW w:w="100" w:type="dxa"/>
            <w:vAlign w:val="bottom"/>
            <w:shd w:val="clear" w:color="auto" w:fill="F4F3F3"/>
          </w:tcPr>
          <w:p>
            <w:pPr>
              <w:spacing w:after="0"/>
              <w:rPr>
                <w:sz w:val="11"/>
                <w:szCs w:val="11"/>
                <w:color w:val="auto"/>
              </w:rPr>
            </w:pPr>
          </w:p>
        </w:tc>
        <w:tc>
          <w:tcPr>
            <w:tcW w:w="600" w:type="dxa"/>
            <w:vAlign w:val="bottom"/>
            <w:shd w:val="clear" w:color="auto" w:fill="F4F3F3"/>
          </w:tcPr>
          <w:p>
            <w:pPr>
              <w:spacing w:after="0"/>
              <w:rPr>
                <w:sz w:val="11"/>
                <w:szCs w:val="11"/>
                <w:color w:val="auto"/>
              </w:rPr>
            </w:pPr>
          </w:p>
        </w:tc>
        <w:tc>
          <w:tcPr>
            <w:tcW w:w="680" w:type="dxa"/>
            <w:vAlign w:val="bottom"/>
            <w:gridSpan w:val="3"/>
            <w:shd w:val="clear" w:color="auto" w:fill="F4F3F3"/>
          </w:tcPr>
          <w:p>
            <w:pPr>
              <w:jc w:val="right"/>
              <w:spacing w:after="0" w:line="135" w:lineRule="exact"/>
              <w:rPr>
                <w:sz w:val="20"/>
                <w:szCs w:val="20"/>
                <w:color w:val="auto"/>
              </w:rPr>
            </w:pPr>
            <w:r>
              <w:rPr>
                <w:rFonts w:ascii="Arial" w:cs="Arial" w:eastAsia="Arial" w:hAnsi="Arial"/>
                <w:sz w:val="13"/>
                <w:szCs w:val="13"/>
                <w:color w:val="auto"/>
              </w:rPr>
              <w:t>438,750</w:t>
            </w:r>
          </w:p>
        </w:tc>
        <w:tc>
          <w:tcPr>
            <w:tcW w:w="920" w:type="dxa"/>
            <w:vAlign w:val="bottom"/>
            <w:gridSpan w:val="2"/>
            <w:shd w:val="clear" w:color="auto" w:fill="F4F3F3"/>
          </w:tcPr>
          <w:p>
            <w:pPr>
              <w:jc w:val="right"/>
              <w:ind w:right="97"/>
              <w:spacing w:after="0" w:line="135" w:lineRule="exact"/>
              <w:rPr>
                <w:sz w:val="20"/>
                <w:szCs w:val="20"/>
                <w:color w:val="auto"/>
              </w:rPr>
            </w:pPr>
            <w:r>
              <w:rPr>
                <w:rFonts w:ascii="Arial" w:cs="Arial" w:eastAsia="Arial" w:hAnsi="Arial"/>
                <w:sz w:val="13"/>
                <w:szCs w:val="13"/>
                <w:color w:val="auto"/>
              </w:rPr>
              <w:t>1,950,000</w:t>
            </w:r>
          </w:p>
        </w:tc>
        <w:tc>
          <w:tcPr>
            <w:tcW w:w="680" w:type="dxa"/>
            <w:vAlign w:val="bottom"/>
            <w:shd w:val="clear" w:color="auto" w:fill="F4F3F3"/>
          </w:tcPr>
          <w:p>
            <w:pPr>
              <w:jc w:val="center"/>
              <w:spacing w:after="0" w:line="135" w:lineRule="exact"/>
              <w:rPr>
                <w:sz w:val="20"/>
                <w:szCs w:val="20"/>
                <w:color w:val="auto"/>
              </w:rPr>
            </w:pPr>
            <w:r>
              <w:rPr>
                <w:rFonts w:ascii="Arial" w:cs="Arial" w:eastAsia="Arial" w:hAnsi="Arial"/>
                <w:sz w:val="13"/>
                <w:szCs w:val="13"/>
                <w:color w:val="auto"/>
                <w:w w:val="96"/>
              </w:rPr>
              <w:t>3,900,000</w:t>
            </w:r>
          </w:p>
        </w:tc>
        <w:tc>
          <w:tcPr>
            <w:tcW w:w="60" w:type="dxa"/>
            <w:vAlign w:val="bottom"/>
            <w:shd w:val="clear" w:color="auto" w:fill="F4F3F3"/>
          </w:tcPr>
          <w:p>
            <w:pPr>
              <w:spacing w:after="0"/>
              <w:rPr>
                <w:sz w:val="11"/>
                <w:szCs w:val="11"/>
                <w:color w:val="auto"/>
              </w:rPr>
            </w:pPr>
          </w:p>
        </w:tc>
        <w:tc>
          <w:tcPr>
            <w:tcW w:w="60" w:type="dxa"/>
            <w:vAlign w:val="bottom"/>
            <w:shd w:val="clear" w:color="auto" w:fill="F4F3F3"/>
          </w:tcPr>
          <w:p>
            <w:pPr>
              <w:spacing w:after="0"/>
              <w:rPr>
                <w:sz w:val="11"/>
                <w:szCs w:val="11"/>
                <w:color w:val="auto"/>
              </w:rPr>
            </w:pPr>
          </w:p>
        </w:tc>
        <w:tc>
          <w:tcPr>
            <w:tcW w:w="58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F4F3F3"/>
          </w:tcPr>
          <w:p>
            <w:pPr>
              <w:spacing w:after="0"/>
              <w:rPr>
                <w:sz w:val="11"/>
                <w:szCs w:val="11"/>
                <w:color w:val="auto"/>
              </w:rPr>
            </w:pPr>
          </w:p>
        </w:tc>
        <w:tc>
          <w:tcPr>
            <w:tcW w:w="560" w:type="dxa"/>
            <w:vAlign w:val="bottom"/>
            <w:shd w:val="clear" w:color="auto" w:fill="F4F3F3"/>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F4F3F3"/>
          </w:tcPr>
          <w:p>
            <w:pPr>
              <w:ind w:left="42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F4F3F3"/>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F4F3F3"/>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jc w:val="center"/>
              <w:ind w:left="15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F4F3F3"/>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400" w:type="dxa"/>
            <w:vAlign w:val="bottom"/>
            <w:shd w:val="clear" w:color="auto" w:fill="F4F3F3"/>
          </w:tcPr>
          <w:p>
            <w:pPr>
              <w:ind w:left="180"/>
              <w:spacing w:after="0" w:line="135" w:lineRule="exact"/>
              <w:rPr>
                <w:sz w:val="20"/>
                <w:szCs w:val="20"/>
                <w:color w:val="auto"/>
              </w:rPr>
            </w:pPr>
            <w:r>
              <w:rPr>
                <w:rFonts w:ascii="Arial" w:cs="Arial" w:eastAsia="Arial" w:hAnsi="Arial"/>
                <w:sz w:val="13"/>
                <w:szCs w:val="13"/>
                <w:color w:val="auto"/>
              </w:rPr>
              <w:t>PSU</w:t>
            </w:r>
          </w:p>
        </w:tc>
        <w:tc>
          <w:tcPr>
            <w:tcW w:w="100" w:type="dxa"/>
            <w:vAlign w:val="bottom"/>
            <w:shd w:val="clear" w:color="auto" w:fill="F4F3F3"/>
          </w:tcPr>
          <w:p>
            <w:pPr>
              <w:spacing w:after="0"/>
              <w:rPr>
                <w:sz w:val="11"/>
                <w:szCs w:val="11"/>
                <w:color w:val="auto"/>
              </w:rPr>
            </w:pPr>
          </w:p>
        </w:tc>
        <w:tc>
          <w:tcPr>
            <w:tcW w:w="520" w:type="dxa"/>
            <w:vAlign w:val="bottom"/>
            <w:shd w:val="clear" w:color="auto" w:fill="F4F3F3"/>
          </w:tcPr>
          <w:p>
            <w:pPr>
              <w:ind w:left="20"/>
              <w:spacing w:after="0" w:line="135" w:lineRule="exact"/>
              <w:rPr>
                <w:sz w:val="20"/>
                <w:szCs w:val="20"/>
                <w:color w:val="auto"/>
              </w:rPr>
            </w:pPr>
            <w:r>
              <w:rPr>
                <w:rFonts w:ascii="Arial" w:cs="Arial" w:eastAsia="Arial" w:hAnsi="Arial"/>
                <w:sz w:val="13"/>
                <w:szCs w:val="13"/>
                <w:color w:val="auto"/>
              </w:rPr>
              <w:t>2/21/17</w:t>
            </w:r>
          </w:p>
        </w:tc>
        <w:tc>
          <w:tcPr>
            <w:tcW w:w="700" w:type="dxa"/>
            <w:vAlign w:val="bottom"/>
            <w:gridSpan w:val="2"/>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2/10/17</w:t>
            </w:r>
          </w:p>
        </w:tc>
        <w:tc>
          <w:tcPr>
            <w:tcW w:w="60" w:type="dxa"/>
            <w:vAlign w:val="bottom"/>
            <w:shd w:val="clear" w:color="auto" w:fill="F4F3F3"/>
          </w:tcPr>
          <w:p>
            <w:pPr>
              <w:spacing w:after="0"/>
              <w:rPr>
                <w:sz w:val="11"/>
                <w:szCs w:val="11"/>
                <w:color w:val="auto"/>
              </w:rPr>
            </w:pPr>
          </w:p>
        </w:tc>
        <w:tc>
          <w:tcPr>
            <w:tcW w:w="40" w:type="dxa"/>
            <w:vAlign w:val="bottom"/>
            <w:shd w:val="clear" w:color="auto" w:fill="F4F3F3"/>
          </w:tcPr>
          <w:p>
            <w:pPr>
              <w:spacing w:after="0"/>
              <w:rPr>
                <w:sz w:val="11"/>
                <w:szCs w:val="11"/>
                <w:color w:val="auto"/>
              </w:rPr>
            </w:pPr>
          </w:p>
        </w:tc>
        <w:tc>
          <w:tcPr>
            <w:tcW w:w="580" w:type="dxa"/>
            <w:vAlign w:val="bottom"/>
            <w:shd w:val="clear" w:color="auto" w:fill="F4F3F3"/>
          </w:tcPr>
          <w:p>
            <w:pPr>
              <w:ind w:left="38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F4F3F3"/>
          </w:tcPr>
          <w:p>
            <w:pPr>
              <w:spacing w:after="0"/>
              <w:rPr>
                <w:sz w:val="11"/>
                <w:szCs w:val="11"/>
                <w:color w:val="auto"/>
              </w:rPr>
            </w:pPr>
          </w:p>
        </w:tc>
        <w:tc>
          <w:tcPr>
            <w:tcW w:w="720" w:type="dxa"/>
            <w:vAlign w:val="bottom"/>
            <w:shd w:val="clear" w:color="auto" w:fill="F4F3F3"/>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ind w:left="40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3"/>
            <w:shd w:val="clear" w:color="auto" w:fill="F4F3F3"/>
          </w:tcPr>
          <w:p>
            <w:pPr>
              <w:jc w:val="right"/>
              <w:spacing w:after="0" w:line="135" w:lineRule="exact"/>
              <w:rPr>
                <w:sz w:val="20"/>
                <w:szCs w:val="20"/>
                <w:color w:val="auto"/>
              </w:rPr>
            </w:pPr>
            <w:r>
              <w:rPr>
                <w:rFonts w:ascii="Arial" w:cs="Arial" w:eastAsia="Arial" w:hAnsi="Arial"/>
                <w:sz w:val="13"/>
                <w:szCs w:val="13"/>
                <w:color w:val="auto"/>
              </w:rPr>
              <w:t>21,233</w:t>
            </w:r>
          </w:p>
        </w:tc>
        <w:tc>
          <w:tcPr>
            <w:tcW w:w="680" w:type="dxa"/>
            <w:vAlign w:val="bottom"/>
            <w:gridSpan w:val="2"/>
            <w:shd w:val="clear" w:color="auto" w:fill="F4F3F3"/>
          </w:tcPr>
          <w:p>
            <w:pPr>
              <w:jc w:val="right"/>
              <w:ind w:right="57"/>
              <w:spacing w:after="0" w:line="135" w:lineRule="exact"/>
              <w:rPr>
                <w:sz w:val="20"/>
                <w:szCs w:val="20"/>
                <w:color w:val="auto"/>
              </w:rPr>
            </w:pPr>
            <w:r>
              <w:rPr>
                <w:rFonts w:ascii="Arial" w:cs="Arial" w:eastAsia="Arial" w:hAnsi="Arial"/>
                <w:sz w:val="13"/>
                <w:szCs w:val="13"/>
                <w:color w:val="auto"/>
              </w:rPr>
              <w:t>42,465</w:t>
            </w:r>
          </w:p>
        </w:tc>
        <w:tc>
          <w:tcPr>
            <w:tcW w:w="820" w:type="dxa"/>
            <w:vAlign w:val="bottom"/>
            <w:shd w:val="clear" w:color="auto" w:fill="F4F3F3"/>
          </w:tcPr>
          <w:p>
            <w:pPr>
              <w:jc w:val="right"/>
              <w:ind w:right="137"/>
              <w:spacing w:after="0" w:line="135" w:lineRule="exact"/>
              <w:rPr>
                <w:sz w:val="20"/>
                <w:szCs w:val="20"/>
                <w:color w:val="auto"/>
              </w:rPr>
            </w:pPr>
            <w:r>
              <w:rPr>
                <w:rFonts w:ascii="Arial" w:cs="Arial" w:eastAsia="Arial" w:hAnsi="Arial"/>
                <w:sz w:val="13"/>
                <w:szCs w:val="13"/>
                <w:color w:val="auto"/>
              </w:rPr>
              <w:t>63,698</w:t>
            </w:r>
          </w:p>
        </w:tc>
        <w:tc>
          <w:tcPr>
            <w:tcW w:w="600" w:type="dxa"/>
            <w:vAlign w:val="bottom"/>
            <w:shd w:val="clear" w:color="auto" w:fill="F4F3F3"/>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F4F3F3"/>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jc w:val="center"/>
              <w:ind w:left="15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3,574,279</w:t>
            </w:r>
          </w:p>
        </w:tc>
        <w:tc>
          <w:tcPr>
            <w:tcW w:w="0" w:type="dxa"/>
            <w:vAlign w:val="bottom"/>
          </w:tcPr>
          <w:p>
            <w:pPr>
              <w:spacing w:after="0"/>
              <w:rPr>
                <w:sz w:val="1"/>
                <w:szCs w:val="1"/>
                <w:color w:val="auto"/>
              </w:rPr>
            </w:pPr>
          </w:p>
        </w:tc>
      </w:tr>
      <w:tr>
        <w:trPr>
          <w:trHeight w:val="135"/>
        </w:trPr>
        <w:tc>
          <w:tcPr>
            <w:tcW w:w="2400" w:type="dxa"/>
            <w:vAlign w:val="bottom"/>
            <w:shd w:val="clear" w:color="auto" w:fill="F4F3F3"/>
          </w:tcPr>
          <w:p>
            <w:pPr>
              <w:ind w:left="180"/>
              <w:spacing w:after="0" w:line="135" w:lineRule="exact"/>
              <w:rPr>
                <w:sz w:val="20"/>
                <w:szCs w:val="20"/>
                <w:color w:val="auto"/>
              </w:rPr>
            </w:pPr>
            <w:r>
              <w:rPr>
                <w:rFonts w:ascii="Arial" w:cs="Arial" w:eastAsia="Arial" w:hAnsi="Arial"/>
                <w:sz w:val="13"/>
                <w:szCs w:val="13"/>
                <w:color w:val="auto"/>
              </w:rPr>
              <w:t>RSU</w:t>
            </w:r>
          </w:p>
        </w:tc>
        <w:tc>
          <w:tcPr>
            <w:tcW w:w="100" w:type="dxa"/>
            <w:vAlign w:val="bottom"/>
            <w:shd w:val="clear" w:color="auto" w:fill="F4F3F3"/>
          </w:tcPr>
          <w:p>
            <w:pPr>
              <w:spacing w:after="0"/>
              <w:rPr>
                <w:sz w:val="11"/>
                <w:szCs w:val="11"/>
                <w:color w:val="auto"/>
              </w:rPr>
            </w:pPr>
          </w:p>
        </w:tc>
        <w:tc>
          <w:tcPr>
            <w:tcW w:w="520" w:type="dxa"/>
            <w:vAlign w:val="bottom"/>
            <w:shd w:val="clear" w:color="auto" w:fill="F4F3F3"/>
          </w:tcPr>
          <w:p>
            <w:pPr>
              <w:ind w:left="20"/>
              <w:spacing w:after="0" w:line="135" w:lineRule="exact"/>
              <w:rPr>
                <w:sz w:val="20"/>
                <w:szCs w:val="20"/>
                <w:color w:val="auto"/>
              </w:rPr>
            </w:pPr>
            <w:r>
              <w:rPr>
                <w:rFonts w:ascii="Arial" w:cs="Arial" w:eastAsia="Arial" w:hAnsi="Arial"/>
                <w:sz w:val="13"/>
                <w:szCs w:val="13"/>
                <w:color w:val="auto"/>
              </w:rPr>
              <w:t>2/21/17</w:t>
            </w:r>
          </w:p>
        </w:tc>
        <w:tc>
          <w:tcPr>
            <w:tcW w:w="700" w:type="dxa"/>
            <w:vAlign w:val="bottom"/>
            <w:gridSpan w:val="2"/>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2/10/17</w:t>
            </w:r>
          </w:p>
        </w:tc>
        <w:tc>
          <w:tcPr>
            <w:tcW w:w="60" w:type="dxa"/>
            <w:vAlign w:val="bottom"/>
            <w:shd w:val="clear" w:color="auto" w:fill="F4F3F3"/>
          </w:tcPr>
          <w:p>
            <w:pPr>
              <w:spacing w:after="0"/>
              <w:rPr>
                <w:sz w:val="11"/>
                <w:szCs w:val="11"/>
                <w:color w:val="auto"/>
              </w:rPr>
            </w:pPr>
          </w:p>
        </w:tc>
        <w:tc>
          <w:tcPr>
            <w:tcW w:w="40" w:type="dxa"/>
            <w:vAlign w:val="bottom"/>
            <w:shd w:val="clear" w:color="auto" w:fill="F4F3F3"/>
          </w:tcPr>
          <w:p>
            <w:pPr>
              <w:spacing w:after="0"/>
              <w:rPr>
                <w:sz w:val="11"/>
                <w:szCs w:val="11"/>
                <w:color w:val="auto"/>
              </w:rPr>
            </w:pPr>
          </w:p>
        </w:tc>
        <w:tc>
          <w:tcPr>
            <w:tcW w:w="580" w:type="dxa"/>
            <w:vAlign w:val="bottom"/>
            <w:shd w:val="clear" w:color="auto" w:fill="F4F3F3"/>
          </w:tcPr>
          <w:p>
            <w:pPr>
              <w:ind w:left="38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F4F3F3"/>
          </w:tcPr>
          <w:p>
            <w:pPr>
              <w:spacing w:after="0"/>
              <w:rPr>
                <w:sz w:val="11"/>
                <w:szCs w:val="11"/>
                <w:color w:val="auto"/>
              </w:rPr>
            </w:pPr>
          </w:p>
        </w:tc>
        <w:tc>
          <w:tcPr>
            <w:tcW w:w="720" w:type="dxa"/>
            <w:vAlign w:val="bottom"/>
            <w:shd w:val="clear" w:color="auto" w:fill="F4F3F3"/>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ind w:left="4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F4F3F3"/>
          </w:tcPr>
          <w:p>
            <w:pPr>
              <w:spacing w:after="0"/>
              <w:rPr>
                <w:sz w:val="11"/>
                <w:szCs w:val="11"/>
                <w:color w:val="auto"/>
              </w:rPr>
            </w:pPr>
          </w:p>
        </w:tc>
        <w:tc>
          <w:tcPr>
            <w:tcW w:w="60" w:type="dxa"/>
            <w:vAlign w:val="bottom"/>
            <w:shd w:val="clear" w:color="auto" w:fill="F4F3F3"/>
          </w:tcPr>
          <w:p>
            <w:pPr>
              <w:spacing w:after="0"/>
              <w:rPr>
                <w:sz w:val="11"/>
                <w:szCs w:val="11"/>
                <w:color w:val="auto"/>
              </w:rPr>
            </w:pPr>
          </w:p>
        </w:tc>
        <w:tc>
          <w:tcPr>
            <w:tcW w:w="58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F4F3F3"/>
          </w:tcPr>
          <w:p>
            <w:pPr>
              <w:spacing w:after="0"/>
              <w:rPr>
                <w:sz w:val="11"/>
                <w:szCs w:val="11"/>
                <w:color w:val="auto"/>
              </w:rPr>
            </w:pPr>
          </w:p>
        </w:tc>
        <w:tc>
          <w:tcPr>
            <w:tcW w:w="560" w:type="dxa"/>
            <w:vAlign w:val="bottom"/>
            <w:shd w:val="clear" w:color="auto" w:fill="F4F3F3"/>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F4F3F3"/>
          </w:tcPr>
          <w:p>
            <w:pPr>
              <w:ind w:left="42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21,234</w:t>
            </w:r>
          </w:p>
        </w:tc>
        <w:tc>
          <w:tcPr>
            <w:tcW w:w="780" w:type="dxa"/>
            <w:vAlign w:val="bottom"/>
            <w:shd w:val="clear" w:color="auto" w:fill="F4F3F3"/>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jc w:val="center"/>
              <w:ind w:left="15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1,736,304</w:t>
            </w:r>
          </w:p>
        </w:tc>
        <w:tc>
          <w:tcPr>
            <w:tcW w:w="0" w:type="dxa"/>
            <w:vAlign w:val="bottom"/>
          </w:tcPr>
          <w:p>
            <w:pPr>
              <w:spacing w:after="0"/>
              <w:rPr>
                <w:sz w:val="1"/>
                <w:szCs w:val="1"/>
                <w:color w:val="auto"/>
              </w:rPr>
            </w:pPr>
          </w:p>
        </w:tc>
      </w:tr>
      <w:tr>
        <w:trPr>
          <w:trHeight w:val="170"/>
        </w:trPr>
        <w:tc>
          <w:tcPr>
            <w:tcW w:w="2400" w:type="dxa"/>
            <w:vAlign w:val="bottom"/>
            <w:shd w:val="clear" w:color="auto" w:fill="F4F3F3"/>
          </w:tcPr>
          <w:p>
            <w:pPr>
              <w:ind w:left="180"/>
              <w:spacing w:after="0"/>
              <w:rPr>
                <w:sz w:val="20"/>
                <w:szCs w:val="20"/>
                <w:color w:val="auto"/>
              </w:rPr>
            </w:pPr>
            <w:r>
              <w:rPr>
                <w:rFonts w:ascii="Arial" w:cs="Arial" w:eastAsia="Arial" w:hAnsi="Arial"/>
                <w:sz w:val="13"/>
                <w:szCs w:val="13"/>
                <w:color w:val="auto"/>
              </w:rPr>
              <w:t>SAR</w:t>
            </w:r>
          </w:p>
        </w:tc>
        <w:tc>
          <w:tcPr>
            <w:tcW w:w="100" w:type="dxa"/>
            <w:vAlign w:val="bottom"/>
            <w:shd w:val="clear" w:color="auto" w:fill="F4F3F3"/>
          </w:tcPr>
          <w:p>
            <w:pPr>
              <w:spacing w:after="0"/>
              <w:rPr>
                <w:sz w:val="14"/>
                <w:szCs w:val="14"/>
                <w:color w:val="auto"/>
              </w:rPr>
            </w:pPr>
          </w:p>
        </w:tc>
        <w:tc>
          <w:tcPr>
            <w:tcW w:w="520" w:type="dxa"/>
            <w:vAlign w:val="bottom"/>
            <w:shd w:val="clear" w:color="auto" w:fill="F4F3F3"/>
          </w:tcPr>
          <w:p>
            <w:pPr>
              <w:ind w:left="20"/>
              <w:spacing w:after="0"/>
              <w:rPr>
                <w:sz w:val="20"/>
                <w:szCs w:val="20"/>
                <w:color w:val="auto"/>
              </w:rPr>
            </w:pPr>
            <w:r>
              <w:rPr>
                <w:rFonts w:ascii="Arial" w:cs="Arial" w:eastAsia="Arial" w:hAnsi="Arial"/>
                <w:sz w:val="13"/>
                <w:szCs w:val="13"/>
                <w:color w:val="auto"/>
              </w:rPr>
              <w:t>2/21/17</w:t>
            </w:r>
          </w:p>
        </w:tc>
        <w:tc>
          <w:tcPr>
            <w:tcW w:w="700" w:type="dxa"/>
            <w:vAlign w:val="bottom"/>
            <w:gridSpan w:val="2"/>
            <w:shd w:val="clear" w:color="auto" w:fill="F4F3F3"/>
          </w:tcPr>
          <w:p>
            <w:pPr>
              <w:jc w:val="right"/>
              <w:ind w:right="17"/>
              <w:spacing w:after="0"/>
              <w:rPr>
                <w:sz w:val="20"/>
                <w:szCs w:val="20"/>
                <w:color w:val="auto"/>
              </w:rPr>
            </w:pPr>
            <w:r>
              <w:rPr>
                <w:rFonts w:ascii="Arial" w:cs="Arial" w:eastAsia="Arial" w:hAnsi="Arial"/>
                <w:sz w:val="13"/>
                <w:szCs w:val="13"/>
                <w:color w:val="auto"/>
              </w:rPr>
              <w:t>2/10/17</w:t>
            </w:r>
          </w:p>
        </w:tc>
        <w:tc>
          <w:tcPr>
            <w:tcW w:w="60" w:type="dxa"/>
            <w:vAlign w:val="bottom"/>
            <w:shd w:val="clear" w:color="auto" w:fill="F4F3F3"/>
          </w:tcPr>
          <w:p>
            <w:pPr>
              <w:spacing w:after="0"/>
              <w:rPr>
                <w:sz w:val="14"/>
                <w:szCs w:val="14"/>
                <w:color w:val="auto"/>
              </w:rPr>
            </w:pPr>
          </w:p>
        </w:tc>
        <w:tc>
          <w:tcPr>
            <w:tcW w:w="40" w:type="dxa"/>
            <w:vAlign w:val="bottom"/>
            <w:shd w:val="clear" w:color="auto" w:fill="F4F3F3"/>
          </w:tcPr>
          <w:p>
            <w:pPr>
              <w:spacing w:after="0"/>
              <w:rPr>
                <w:sz w:val="14"/>
                <w:szCs w:val="14"/>
                <w:color w:val="auto"/>
              </w:rPr>
            </w:pPr>
          </w:p>
        </w:tc>
        <w:tc>
          <w:tcPr>
            <w:tcW w:w="580" w:type="dxa"/>
            <w:vAlign w:val="bottom"/>
            <w:shd w:val="clear" w:color="auto" w:fill="F4F3F3"/>
          </w:tcPr>
          <w:p>
            <w:pPr>
              <w:ind w:left="380"/>
              <w:spacing w:after="0"/>
              <w:rPr>
                <w:sz w:val="20"/>
                <w:szCs w:val="20"/>
                <w:color w:val="auto"/>
              </w:rPr>
            </w:pPr>
            <w:r>
              <w:rPr>
                <w:rFonts w:ascii="Arial" w:cs="Arial" w:eastAsia="Arial" w:hAnsi="Arial"/>
                <w:sz w:val="13"/>
                <w:szCs w:val="13"/>
                <w:color w:val="auto"/>
              </w:rPr>
              <w:t>—</w:t>
            </w:r>
          </w:p>
        </w:tc>
        <w:tc>
          <w:tcPr>
            <w:tcW w:w="200" w:type="dxa"/>
            <w:vAlign w:val="bottom"/>
            <w:shd w:val="clear" w:color="auto" w:fill="F4F3F3"/>
          </w:tcPr>
          <w:p>
            <w:pPr>
              <w:spacing w:after="0"/>
              <w:rPr>
                <w:sz w:val="14"/>
                <w:szCs w:val="14"/>
                <w:color w:val="auto"/>
              </w:rPr>
            </w:pPr>
          </w:p>
        </w:tc>
        <w:tc>
          <w:tcPr>
            <w:tcW w:w="720" w:type="dxa"/>
            <w:vAlign w:val="bottom"/>
            <w:shd w:val="clear" w:color="auto" w:fill="F4F3F3"/>
          </w:tcPr>
          <w:p>
            <w:pPr>
              <w:jc w:val="right"/>
              <w:ind w:right="177"/>
              <w:spacing w:after="0"/>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ind w:left="400"/>
              <w:spacing w:after="0"/>
              <w:rPr>
                <w:sz w:val="20"/>
                <w:szCs w:val="20"/>
                <w:color w:val="auto"/>
              </w:rPr>
            </w:pPr>
            <w:r>
              <w:rPr>
                <w:rFonts w:ascii="Arial" w:cs="Arial" w:eastAsia="Arial" w:hAnsi="Arial"/>
                <w:sz w:val="13"/>
                <w:szCs w:val="13"/>
                <w:color w:val="auto"/>
              </w:rPr>
              <w:t>—</w:t>
            </w:r>
          </w:p>
        </w:tc>
        <w:tc>
          <w:tcPr>
            <w:tcW w:w="60" w:type="dxa"/>
            <w:vAlign w:val="bottom"/>
            <w:shd w:val="clear" w:color="auto" w:fill="F4F3F3"/>
          </w:tcPr>
          <w:p>
            <w:pPr>
              <w:spacing w:after="0"/>
              <w:rPr>
                <w:sz w:val="14"/>
                <w:szCs w:val="14"/>
                <w:color w:val="auto"/>
              </w:rPr>
            </w:pPr>
          </w:p>
        </w:tc>
        <w:tc>
          <w:tcPr>
            <w:tcW w:w="60" w:type="dxa"/>
            <w:vAlign w:val="bottom"/>
            <w:shd w:val="clear" w:color="auto" w:fill="F4F3F3"/>
          </w:tcPr>
          <w:p>
            <w:pPr>
              <w:spacing w:after="0"/>
              <w:rPr>
                <w:sz w:val="14"/>
                <w:szCs w:val="14"/>
                <w:color w:val="auto"/>
              </w:rPr>
            </w:pPr>
          </w:p>
        </w:tc>
        <w:tc>
          <w:tcPr>
            <w:tcW w:w="58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shd w:val="clear" w:color="auto" w:fill="F4F3F3"/>
          </w:tcPr>
          <w:p>
            <w:pPr>
              <w:spacing w:after="0"/>
              <w:rPr>
                <w:sz w:val="14"/>
                <w:szCs w:val="14"/>
                <w:color w:val="auto"/>
              </w:rPr>
            </w:pPr>
          </w:p>
        </w:tc>
        <w:tc>
          <w:tcPr>
            <w:tcW w:w="560" w:type="dxa"/>
            <w:vAlign w:val="bottom"/>
            <w:shd w:val="clear" w:color="auto" w:fill="F4F3F3"/>
          </w:tcPr>
          <w:p>
            <w:pPr>
              <w:jc w:val="right"/>
              <w:ind w:right="117"/>
              <w:spacing w:after="0"/>
              <w:rPr>
                <w:sz w:val="20"/>
                <w:szCs w:val="20"/>
                <w:color w:val="auto"/>
              </w:rPr>
            </w:pPr>
            <w:r>
              <w:rPr>
                <w:rFonts w:ascii="Arial" w:cs="Arial" w:eastAsia="Arial" w:hAnsi="Arial"/>
                <w:sz w:val="13"/>
                <w:szCs w:val="13"/>
                <w:color w:val="auto"/>
              </w:rPr>
              <w:t>—</w:t>
            </w:r>
          </w:p>
        </w:tc>
        <w:tc>
          <w:tcPr>
            <w:tcW w:w="820" w:type="dxa"/>
            <w:vAlign w:val="bottom"/>
            <w:shd w:val="clear" w:color="auto" w:fill="F4F3F3"/>
          </w:tcPr>
          <w:p>
            <w:pPr>
              <w:ind w:left="420"/>
              <w:spacing w:after="0"/>
              <w:rPr>
                <w:sz w:val="20"/>
                <w:szCs w:val="20"/>
                <w:color w:val="auto"/>
              </w:rPr>
            </w:pPr>
            <w:r>
              <w:rPr>
                <w:rFonts w:ascii="Arial" w:cs="Arial" w:eastAsia="Arial" w:hAnsi="Arial"/>
                <w:sz w:val="13"/>
                <w:szCs w:val="13"/>
                <w:color w:val="auto"/>
              </w:rPr>
              <w:t>—</w:t>
            </w:r>
          </w:p>
        </w:tc>
        <w:tc>
          <w:tcPr>
            <w:tcW w:w="600" w:type="dxa"/>
            <w:vAlign w:val="bottom"/>
            <w:shd w:val="clear" w:color="auto" w:fill="F4F3F3"/>
          </w:tcPr>
          <w:p>
            <w:pPr>
              <w:jc w:val="right"/>
              <w:ind w:right="97"/>
              <w:spacing w:after="0"/>
              <w:rPr>
                <w:sz w:val="20"/>
                <w:szCs w:val="20"/>
                <w:color w:val="auto"/>
              </w:rPr>
            </w:pPr>
            <w:r>
              <w:rPr>
                <w:rFonts w:ascii="Arial" w:cs="Arial" w:eastAsia="Arial" w:hAnsi="Arial"/>
                <w:sz w:val="13"/>
                <w:szCs w:val="13"/>
                <w:color w:val="auto"/>
              </w:rPr>
              <w:t>—</w:t>
            </w:r>
          </w:p>
        </w:tc>
        <w:tc>
          <w:tcPr>
            <w:tcW w:w="780" w:type="dxa"/>
            <w:vAlign w:val="bottom"/>
            <w:shd w:val="clear" w:color="auto" w:fill="F4F3F3"/>
          </w:tcPr>
          <w:p>
            <w:pPr>
              <w:jc w:val="right"/>
              <w:spacing w:after="0"/>
              <w:rPr>
                <w:sz w:val="20"/>
                <w:szCs w:val="20"/>
                <w:color w:val="auto"/>
              </w:rPr>
            </w:pPr>
            <w:r>
              <w:rPr>
                <w:rFonts w:ascii="Arial" w:cs="Arial" w:eastAsia="Arial" w:hAnsi="Arial"/>
                <w:sz w:val="13"/>
                <w:szCs w:val="13"/>
                <w:color w:val="auto"/>
              </w:rPr>
              <w:t>62,148</w:t>
            </w:r>
          </w:p>
        </w:tc>
        <w:tc>
          <w:tcPr>
            <w:tcW w:w="680" w:type="dxa"/>
            <w:vAlign w:val="bottom"/>
            <w:shd w:val="clear" w:color="auto" w:fill="F4F3F3"/>
          </w:tcPr>
          <w:p>
            <w:pPr>
              <w:jc w:val="center"/>
              <w:ind w:left="97"/>
              <w:spacing w:after="0"/>
              <w:rPr>
                <w:sz w:val="20"/>
                <w:szCs w:val="20"/>
                <w:color w:val="auto"/>
              </w:rPr>
            </w:pPr>
            <w:r>
              <w:rPr>
                <w:rFonts w:ascii="Arial" w:cs="Arial" w:eastAsia="Arial" w:hAnsi="Arial"/>
                <w:sz w:val="13"/>
                <w:szCs w:val="13"/>
                <w:color w:val="auto"/>
                <w:w w:val="98"/>
              </w:rPr>
              <w:t>88.31</w:t>
            </w:r>
          </w:p>
        </w:tc>
        <w:tc>
          <w:tcPr>
            <w:tcW w:w="74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1,838,959</w:t>
            </w:r>
          </w:p>
        </w:tc>
        <w:tc>
          <w:tcPr>
            <w:tcW w:w="0" w:type="dxa"/>
            <w:vAlign w:val="bottom"/>
          </w:tcPr>
          <w:p>
            <w:pPr>
              <w:spacing w:after="0"/>
              <w:rPr>
                <w:sz w:val="1"/>
                <w:szCs w:val="1"/>
                <w:color w:val="auto"/>
              </w:rPr>
            </w:pPr>
          </w:p>
        </w:tc>
      </w:tr>
      <w:tr>
        <w:trPr>
          <w:trHeight w:val="127"/>
        </w:trPr>
        <w:tc>
          <w:tcPr>
            <w:tcW w:w="2400" w:type="dxa"/>
            <w:vAlign w:val="bottom"/>
            <w:shd w:val="clear" w:color="auto" w:fill="F4F3F3"/>
          </w:tcPr>
          <w:p>
            <w:pPr>
              <w:ind w:left="60"/>
              <w:spacing w:after="0" w:line="127" w:lineRule="exact"/>
              <w:rPr>
                <w:sz w:val="20"/>
                <w:szCs w:val="20"/>
                <w:color w:val="auto"/>
              </w:rPr>
            </w:pPr>
            <w:r>
              <w:rPr>
                <w:rFonts w:ascii="Arial" w:cs="Arial" w:eastAsia="Arial" w:hAnsi="Arial"/>
                <w:sz w:val="13"/>
                <w:szCs w:val="13"/>
                <w:color w:val="998C87"/>
              </w:rPr>
              <w:t>Mr. Capuano</w:t>
            </w:r>
          </w:p>
        </w:tc>
        <w:tc>
          <w:tcPr>
            <w:tcW w:w="100" w:type="dxa"/>
            <w:vAlign w:val="bottom"/>
            <w:shd w:val="clear" w:color="auto" w:fill="F4F3F3"/>
          </w:tcPr>
          <w:p>
            <w:pPr>
              <w:spacing w:after="0"/>
              <w:rPr>
                <w:sz w:val="11"/>
                <w:szCs w:val="11"/>
                <w:color w:val="auto"/>
              </w:rPr>
            </w:pPr>
          </w:p>
        </w:tc>
        <w:tc>
          <w:tcPr>
            <w:tcW w:w="520" w:type="dxa"/>
            <w:vAlign w:val="bottom"/>
            <w:shd w:val="clear" w:color="auto" w:fill="F4F3F3"/>
          </w:tcPr>
          <w:p>
            <w:pPr>
              <w:spacing w:after="0"/>
              <w:rPr>
                <w:sz w:val="11"/>
                <w:szCs w:val="11"/>
                <w:color w:val="auto"/>
              </w:rPr>
            </w:pPr>
          </w:p>
        </w:tc>
        <w:tc>
          <w:tcPr>
            <w:tcW w:w="100" w:type="dxa"/>
            <w:vAlign w:val="bottom"/>
            <w:shd w:val="clear" w:color="auto" w:fill="F4F3F3"/>
          </w:tcPr>
          <w:p>
            <w:pPr>
              <w:spacing w:after="0"/>
              <w:rPr>
                <w:sz w:val="11"/>
                <w:szCs w:val="11"/>
                <w:color w:val="auto"/>
              </w:rPr>
            </w:pPr>
          </w:p>
        </w:tc>
        <w:tc>
          <w:tcPr>
            <w:tcW w:w="600" w:type="dxa"/>
            <w:vAlign w:val="bottom"/>
            <w:shd w:val="clear" w:color="auto" w:fill="F4F3F3"/>
          </w:tcPr>
          <w:p>
            <w:pPr>
              <w:spacing w:after="0"/>
              <w:rPr>
                <w:sz w:val="11"/>
                <w:szCs w:val="11"/>
                <w:color w:val="auto"/>
              </w:rPr>
            </w:pPr>
          </w:p>
        </w:tc>
        <w:tc>
          <w:tcPr>
            <w:tcW w:w="60" w:type="dxa"/>
            <w:vAlign w:val="bottom"/>
            <w:shd w:val="clear" w:color="auto" w:fill="F4F3F3"/>
          </w:tcPr>
          <w:p>
            <w:pPr>
              <w:spacing w:after="0"/>
              <w:rPr>
                <w:sz w:val="11"/>
                <w:szCs w:val="11"/>
                <w:color w:val="auto"/>
              </w:rPr>
            </w:pPr>
          </w:p>
        </w:tc>
        <w:tc>
          <w:tcPr>
            <w:tcW w:w="40" w:type="dxa"/>
            <w:vAlign w:val="bottom"/>
            <w:shd w:val="clear" w:color="auto" w:fill="F4F3F3"/>
          </w:tcPr>
          <w:p>
            <w:pPr>
              <w:spacing w:after="0"/>
              <w:rPr>
                <w:sz w:val="11"/>
                <w:szCs w:val="11"/>
                <w:color w:val="auto"/>
              </w:rPr>
            </w:pPr>
          </w:p>
        </w:tc>
        <w:tc>
          <w:tcPr>
            <w:tcW w:w="580" w:type="dxa"/>
            <w:vAlign w:val="bottom"/>
            <w:shd w:val="clear" w:color="auto" w:fill="F4F3F3"/>
          </w:tcPr>
          <w:p>
            <w:pPr>
              <w:spacing w:after="0"/>
              <w:rPr>
                <w:sz w:val="11"/>
                <w:szCs w:val="11"/>
                <w:color w:val="auto"/>
              </w:rPr>
            </w:pPr>
          </w:p>
        </w:tc>
        <w:tc>
          <w:tcPr>
            <w:tcW w:w="200" w:type="dxa"/>
            <w:vAlign w:val="bottom"/>
            <w:shd w:val="clear" w:color="auto" w:fill="F4F3F3"/>
          </w:tcPr>
          <w:p>
            <w:pPr>
              <w:spacing w:after="0"/>
              <w:rPr>
                <w:sz w:val="11"/>
                <w:szCs w:val="11"/>
                <w:color w:val="auto"/>
              </w:rPr>
            </w:pPr>
          </w:p>
        </w:tc>
        <w:tc>
          <w:tcPr>
            <w:tcW w:w="720" w:type="dxa"/>
            <w:vAlign w:val="bottom"/>
            <w:shd w:val="clear" w:color="auto" w:fill="F4F3F3"/>
          </w:tcPr>
          <w:p>
            <w:pPr>
              <w:spacing w:after="0"/>
              <w:rPr>
                <w:sz w:val="11"/>
                <w:szCs w:val="11"/>
                <w:color w:val="auto"/>
              </w:rPr>
            </w:pPr>
          </w:p>
        </w:tc>
        <w:tc>
          <w:tcPr>
            <w:tcW w:w="680" w:type="dxa"/>
            <w:vAlign w:val="bottom"/>
            <w:shd w:val="clear" w:color="auto" w:fill="F4F3F3"/>
          </w:tcPr>
          <w:p>
            <w:pPr>
              <w:spacing w:after="0"/>
              <w:rPr>
                <w:sz w:val="11"/>
                <w:szCs w:val="11"/>
                <w:color w:val="auto"/>
              </w:rPr>
            </w:pPr>
          </w:p>
        </w:tc>
        <w:tc>
          <w:tcPr>
            <w:tcW w:w="60" w:type="dxa"/>
            <w:vAlign w:val="bottom"/>
            <w:shd w:val="clear" w:color="auto" w:fill="F4F3F3"/>
          </w:tcPr>
          <w:p>
            <w:pPr>
              <w:spacing w:after="0"/>
              <w:rPr>
                <w:sz w:val="11"/>
                <w:szCs w:val="11"/>
                <w:color w:val="auto"/>
              </w:rPr>
            </w:pPr>
          </w:p>
        </w:tc>
        <w:tc>
          <w:tcPr>
            <w:tcW w:w="60" w:type="dxa"/>
            <w:vAlign w:val="bottom"/>
            <w:shd w:val="clear" w:color="auto" w:fill="F4F3F3"/>
          </w:tcPr>
          <w:p>
            <w:pPr>
              <w:spacing w:after="0"/>
              <w:rPr>
                <w:sz w:val="11"/>
                <w:szCs w:val="11"/>
                <w:color w:val="auto"/>
              </w:rPr>
            </w:pPr>
          </w:p>
        </w:tc>
        <w:tc>
          <w:tcPr>
            <w:tcW w:w="580" w:type="dxa"/>
            <w:vAlign w:val="bottom"/>
            <w:shd w:val="clear" w:color="auto" w:fill="F4F3F3"/>
          </w:tcPr>
          <w:p>
            <w:pPr>
              <w:spacing w:after="0"/>
              <w:rPr>
                <w:sz w:val="11"/>
                <w:szCs w:val="11"/>
                <w:color w:val="auto"/>
              </w:rPr>
            </w:pPr>
          </w:p>
        </w:tc>
        <w:tc>
          <w:tcPr>
            <w:tcW w:w="120" w:type="dxa"/>
            <w:vAlign w:val="bottom"/>
            <w:shd w:val="clear" w:color="auto" w:fill="F4F3F3"/>
          </w:tcPr>
          <w:p>
            <w:pPr>
              <w:spacing w:after="0"/>
              <w:rPr>
                <w:sz w:val="11"/>
                <w:szCs w:val="11"/>
                <w:color w:val="auto"/>
              </w:rPr>
            </w:pPr>
          </w:p>
        </w:tc>
        <w:tc>
          <w:tcPr>
            <w:tcW w:w="560" w:type="dxa"/>
            <w:vAlign w:val="bottom"/>
            <w:shd w:val="clear" w:color="auto" w:fill="F4F3F3"/>
          </w:tcPr>
          <w:p>
            <w:pPr>
              <w:spacing w:after="0"/>
              <w:rPr>
                <w:sz w:val="11"/>
                <w:szCs w:val="11"/>
                <w:color w:val="auto"/>
              </w:rPr>
            </w:pPr>
          </w:p>
        </w:tc>
        <w:tc>
          <w:tcPr>
            <w:tcW w:w="820" w:type="dxa"/>
            <w:vAlign w:val="bottom"/>
            <w:shd w:val="clear" w:color="auto" w:fill="F4F3F3"/>
          </w:tcPr>
          <w:p>
            <w:pPr>
              <w:spacing w:after="0"/>
              <w:rPr>
                <w:sz w:val="11"/>
                <w:szCs w:val="11"/>
                <w:color w:val="auto"/>
              </w:rPr>
            </w:pPr>
          </w:p>
        </w:tc>
        <w:tc>
          <w:tcPr>
            <w:tcW w:w="600" w:type="dxa"/>
            <w:vAlign w:val="bottom"/>
            <w:shd w:val="clear" w:color="auto" w:fill="F4F3F3"/>
          </w:tcPr>
          <w:p>
            <w:pPr>
              <w:spacing w:after="0"/>
              <w:rPr>
                <w:sz w:val="11"/>
                <w:szCs w:val="11"/>
                <w:color w:val="auto"/>
              </w:rPr>
            </w:pPr>
          </w:p>
        </w:tc>
        <w:tc>
          <w:tcPr>
            <w:tcW w:w="780" w:type="dxa"/>
            <w:vAlign w:val="bottom"/>
            <w:shd w:val="clear" w:color="auto" w:fill="F4F3F3"/>
          </w:tcPr>
          <w:p>
            <w:pPr>
              <w:spacing w:after="0"/>
              <w:rPr>
                <w:sz w:val="11"/>
                <w:szCs w:val="11"/>
                <w:color w:val="auto"/>
              </w:rPr>
            </w:pPr>
          </w:p>
        </w:tc>
        <w:tc>
          <w:tcPr>
            <w:tcW w:w="680" w:type="dxa"/>
            <w:vAlign w:val="bottom"/>
            <w:shd w:val="clear" w:color="auto" w:fill="F4F3F3"/>
          </w:tcPr>
          <w:p>
            <w:pPr>
              <w:spacing w:after="0"/>
              <w:rPr>
                <w:sz w:val="11"/>
                <w:szCs w:val="11"/>
                <w:color w:val="auto"/>
              </w:rPr>
            </w:pPr>
          </w:p>
        </w:tc>
        <w:tc>
          <w:tcPr>
            <w:tcW w:w="740" w:type="dxa"/>
            <w:vAlign w:val="bottom"/>
            <w:shd w:val="clear" w:color="auto" w:fill="F4F3F3"/>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00" w:type="dxa"/>
            <w:vAlign w:val="bottom"/>
            <w:shd w:val="clear" w:color="auto" w:fill="F4F3F3"/>
          </w:tcPr>
          <w:p>
            <w:pPr>
              <w:ind w:left="180"/>
              <w:spacing w:after="0" w:line="135" w:lineRule="exact"/>
              <w:rPr>
                <w:sz w:val="20"/>
                <w:szCs w:val="20"/>
                <w:color w:val="auto"/>
              </w:rPr>
            </w:pPr>
            <w:r>
              <w:rPr>
                <w:rFonts w:ascii="Arial" w:cs="Arial" w:eastAsia="Arial" w:hAnsi="Arial"/>
                <w:sz w:val="13"/>
                <w:szCs w:val="13"/>
                <w:color w:val="auto"/>
              </w:rPr>
              <w:t>Cash Incentive</w:t>
            </w:r>
          </w:p>
        </w:tc>
        <w:tc>
          <w:tcPr>
            <w:tcW w:w="100" w:type="dxa"/>
            <w:vAlign w:val="bottom"/>
            <w:shd w:val="clear" w:color="auto" w:fill="F4F3F3"/>
          </w:tcPr>
          <w:p>
            <w:pPr>
              <w:spacing w:after="0"/>
              <w:rPr>
                <w:sz w:val="11"/>
                <w:szCs w:val="11"/>
                <w:color w:val="auto"/>
              </w:rPr>
            </w:pPr>
          </w:p>
        </w:tc>
        <w:tc>
          <w:tcPr>
            <w:tcW w:w="520" w:type="dxa"/>
            <w:vAlign w:val="bottom"/>
            <w:shd w:val="clear" w:color="auto" w:fill="F4F3F3"/>
          </w:tcPr>
          <w:p>
            <w:pPr>
              <w:spacing w:after="0"/>
              <w:rPr>
                <w:sz w:val="11"/>
                <w:szCs w:val="11"/>
                <w:color w:val="auto"/>
              </w:rPr>
            </w:pPr>
          </w:p>
        </w:tc>
        <w:tc>
          <w:tcPr>
            <w:tcW w:w="100" w:type="dxa"/>
            <w:vAlign w:val="bottom"/>
            <w:shd w:val="clear" w:color="auto" w:fill="F4F3F3"/>
          </w:tcPr>
          <w:p>
            <w:pPr>
              <w:spacing w:after="0"/>
              <w:rPr>
                <w:sz w:val="11"/>
                <w:szCs w:val="11"/>
                <w:color w:val="auto"/>
              </w:rPr>
            </w:pPr>
          </w:p>
        </w:tc>
        <w:tc>
          <w:tcPr>
            <w:tcW w:w="600" w:type="dxa"/>
            <w:vAlign w:val="bottom"/>
            <w:shd w:val="clear" w:color="auto" w:fill="F4F3F3"/>
          </w:tcPr>
          <w:p>
            <w:pPr>
              <w:spacing w:after="0"/>
              <w:rPr>
                <w:sz w:val="11"/>
                <w:szCs w:val="11"/>
                <w:color w:val="auto"/>
              </w:rPr>
            </w:pPr>
          </w:p>
        </w:tc>
        <w:tc>
          <w:tcPr>
            <w:tcW w:w="680" w:type="dxa"/>
            <w:vAlign w:val="bottom"/>
            <w:gridSpan w:val="3"/>
            <w:shd w:val="clear" w:color="auto" w:fill="F4F3F3"/>
          </w:tcPr>
          <w:p>
            <w:pPr>
              <w:jc w:val="right"/>
              <w:spacing w:after="0" w:line="135" w:lineRule="exact"/>
              <w:rPr>
                <w:sz w:val="20"/>
                <w:szCs w:val="20"/>
                <w:color w:val="auto"/>
              </w:rPr>
            </w:pPr>
            <w:r>
              <w:rPr>
                <w:rFonts w:ascii="Arial" w:cs="Arial" w:eastAsia="Arial" w:hAnsi="Arial"/>
                <w:sz w:val="13"/>
                <w:szCs w:val="13"/>
                <w:color w:val="auto"/>
              </w:rPr>
              <w:t>337,500</w:t>
            </w:r>
          </w:p>
        </w:tc>
        <w:tc>
          <w:tcPr>
            <w:tcW w:w="920" w:type="dxa"/>
            <w:vAlign w:val="bottom"/>
            <w:gridSpan w:val="2"/>
            <w:shd w:val="clear" w:color="auto" w:fill="F4F3F3"/>
          </w:tcPr>
          <w:p>
            <w:pPr>
              <w:jc w:val="right"/>
              <w:ind w:right="97"/>
              <w:spacing w:after="0" w:line="135" w:lineRule="exact"/>
              <w:rPr>
                <w:sz w:val="20"/>
                <w:szCs w:val="20"/>
                <w:color w:val="auto"/>
              </w:rPr>
            </w:pPr>
            <w:r>
              <w:rPr>
                <w:rFonts w:ascii="Arial" w:cs="Arial" w:eastAsia="Arial" w:hAnsi="Arial"/>
                <w:sz w:val="13"/>
                <w:szCs w:val="13"/>
                <w:color w:val="auto"/>
              </w:rPr>
              <w:t>600,000</w:t>
            </w:r>
          </w:p>
        </w:tc>
        <w:tc>
          <w:tcPr>
            <w:tcW w:w="680" w:type="dxa"/>
            <w:vAlign w:val="bottom"/>
            <w:shd w:val="clear" w:color="auto" w:fill="F4F3F3"/>
          </w:tcPr>
          <w:p>
            <w:pPr>
              <w:jc w:val="center"/>
              <w:spacing w:after="0" w:line="135" w:lineRule="exact"/>
              <w:rPr>
                <w:sz w:val="20"/>
                <w:szCs w:val="20"/>
                <w:color w:val="auto"/>
              </w:rPr>
            </w:pPr>
            <w:r>
              <w:rPr>
                <w:rFonts w:ascii="Arial" w:cs="Arial" w:eastAsia="Arial" w:hAnsi="Arial"/>
                <w:sz w:val="13"/>
                <w:szCs w:val="13"/>
                <w:color w:val="auto"/>
                <w:w w:val="96"/>
              </w:rPr>
              <w:t>1,200,000</w:t>
            </w:r>
          </w:p>
        </w:tc>
        <w:tc>
          <w:tcPr>
            <w:tcW w:w="60" w:type="dxa"/>
            <w:vAlign w:val="bottom"/>
            <w:shd w:val="clear" w:color="auto" w:fill="F4F3F3"/>
          </w:tcPr>
          <w:p>
            <w:pPr>
              <w:spacing w:after="0"/>
              <w:rPr>
                <w:sz w:val="11"/>
                <w:szCs w:val="11"/>
                <w:color w:val="auto"/>
              </w:rPr>
            </w:pPr>
          </w:p>
        </w:tc>
        <w:tc>
          <w:tcPr>
            <w:tcW w:w="60" w:type="dxa"/>
            <w:vAlign w:val="bottom"/>
            <w:shd w:val="clear" w:color="auto" w:fill="F4F3F3"/>
          </w:tcPr>
          <w:p>
            <w:pPr>
              <w:spacing w:after="0"/>
              <w:rPr>
                <w:sz w:val="11"/>
                <w:szCs w:val="11"/>
                <w:color w:val="auto"/>
              </w:rPr>
            </w:pPr>
          </w:p>
        </w:tc>
        <w:tc>
          <w:tcPr>
            <w:tcW w:w="58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F4F3F3"/>
          </w:tcPr>
          <w:p>
            <w:pPr>
              <w:spacing w:after="0"/>
              <w:rPr>
                <w:sz w:val="11"/>
                <w:szCs w:val="11"/>
                <w:color w:val="auto"/>
              </w:rPr>
            </w:pPr>
          </w:p>
        </w:tc>
        <w:tc>
          <w:tcPr>
            <w:tcW w:w="560" w:type="dxa"/>
            <w:vAlign w:val="bottom"/>
            <w:shd w:val="clear" w:color="auto" w:fill="F4F3F3"/>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F4F3F3"/>
          </w:tcPr>
          <w:p>
            <w:pPr>
              <w:ind w:left="42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F4F3F3"/>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F4F3F3"/>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jc w:val="center"/>
              <w:ind w:left="15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F4F3F3"/>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400" w:type="dxa"/>
            <w:vAlign w:val="bottom"/>
            <w:shd w:val="clear" w:color="auto" w:fill="F4F3F3"/>
          </w:tcPr>
          <w:p>
            <w:pPr>
              <w:ind w:left="180"/>
              <w:spacing w:after="0" w:line="135" w:lineRule="exact"/>
              <w:rPr>
                <w:sz w:val="20"/>
                <w:szCs w:val="20"/>
                <w:color w:val="auto"/>
              </w:rPr>
            </w:pPr>
            <w:r>
              <w:rPr>
                <w:rFonts w:ascii="Arial" w:cs="Arial" w:eastAsia="Arial" w:hAnsi="Arial"/>
                <w:sz w:val="13"/>
                <w:szCs w:val="13"/>
                <w:color w:val="auto"/>
              </w:rPr>
              <w:t>PSU</w:t>
            </w:r>
          </w:p>
        </w:tc>
        <w:tc>
          <w:tcPr>
            <w:tcW w:w="100" w:type="dxa"/>
            <w:vAlign w:val="bottom"/>
            <w:shd w:val="clear" w:color="auto" w:fill="F4F3F3"/>
          </w:tcPr>
          <w:p>
            <w:pPr>
              <w:spacing w:after="0"/>
              <w:rPr>
                <w:sz w:val="11"/>
                <w:szCs w:val="11"/>
                <w:color w:val="auto"/>
              </w:rPr>
            </w:pPr>
          </w:p>
        </w:tc>
        <w:tc>
          <w:tcPr>
            <w:tcW w:w="520" w:type="dxa"/>
            <w:vAlign w:val="bottom"/>
            <w:shd w:val="clear" w:color="auto" w:fill="F4F3F3"/>
          </w:tcPr>
          <w:p>
            <w:pPr>
              <w:ind w:left="20"/>
              <w:spacing w:after="0" w:line="135" w:lineRule="exact"/>
              <w:rPr>
                <w:sz w:val="20"/>
                <w:szCs w:val="20"/>
                <w:color w:val="auto"/>
              </w:rPr>
            </w:pPr>
            <w:r>
              <w:rPr>
                <w:rFonts w:ascii="Arial" w:cs="Arial" w:eastAsia="Arial" w:hAnsi="Arial"/>
                <w:sz w:val="13"/>
                <w:szCs w:val="13"/>
                <w:color w:val="auto"/>
              </w:rPr>
              <w:t>2/21/17</w:t>
            </w:r>
          </w:p>
        </w:tc>
        <w:tc>
          <w:tcPr>
            <w:tcW w:w="100" w:type="dxa"/>
            <w:vAlign w:val="bottom"/>
            <w:shd w:val="clear" w:color="auto" w:fill="F4F3F3"/>
          </w:tcPr>
          <w:p>
            <w:pPr>
              <w:spacing w:after="0"/>
              <w:rPr>
                <w:sz w:val="11"/>
                <w:szCs w:val="11"/>
                <w:color w:val="auto"/>
              </w:rPr>
            </w:pPr>
          </w:p>
        </w:tc>
        <w:tc>
          <w:tcPr>
            <w:tcW w:w="60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2/8/17</w:t>
            </w:r>
          </w:p>
        </w:tc>
        <w:tc>
          <w:tcPr>
            <w:tcW w:w="60" w:type="dxa"/>
            <w:vAlign w:val="bottom"/>
            <w:shd w:val="clear" w:color="auto" w:fill="F4F3F3"/>
          </w:tcPr>
          <w:p>
            <w:pPr>
              <w:spacing w:after="0"/>
              <w:rPr>
                <w:sz w:val="11"/>
                <w:szCs w:val="11"/>
                <w:color w:val="auto"/>
              </w:rPr>
            </w:pPr>
          </w:p>
        </w:tc>
        <w:tc>
          <w:tcPr>
            <w:tcW w:w="40" w:type="dxa"/>
            <w:vAlign w:val="bottom"/>
            <w:shd w:val="clear" w:color="auto" w:fill="F4F3F3"/>
          </w:tcPr>
          <w:p>
            <w:pPr>
              <w:spacing w:after="0"/>
              <w:rPr>
                <w:sz w:val="11"/>
                <w:szCs w:val="11"/>
                <w:color w:val="auto"/>
              </w:rPr>
            </w:pPr>
          </w:p>
        </w:tc>
        <w:tc>
          <w:tcPr>
            <w:tcW w:w="580" w:type="dxa"/>
            <w:vAlign w:val="bottom"/>
            <w:shd w:val="clear" w:color="auto" w:fill="F4F3F3"/>
          </w:tcPr>
          <w:p>
            <w:pPr>
              <w:ind w:left="38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F4F3F3"/>
          </w:tcPr>
          <w:p>
            <w:pPr>
              <w:spacing w:after="0"/>
              <w:rPr>
                <w:sz w:val="11"/>
                <w:szCs w:val="11"/>
                <w:color w:val="auto"/>
              </w:rPr>
            </w:pPr>
          </w:p>
        </w:tc>
        <w:tc>
          <w:tcPr>
            <w:tcW w:w="720" w:type="dxa"/>
            <w:vAlign w:val="bottom"/>
            <w:shd w:val="clear" w:color="auto" w:fill="F4F3F3"/>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ind w:left="40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3"/>
            <w:shd w:val="clear" w:color="auto" w:fill="F4F3F3"/>
          </w:tcPr>
          <w:p>
            <w:pPr>
              <w:jc w:val="right"/>
              <w:spacing w:after="0" w:line="135" w:lineRule="exact"/>
              <w:rPr>
                <w:sz w:val="20"/>
                <w:szCs w:val="20"/>
                <w:color w:val="auto"/>
              </w:rPr>
            </w:pPr>
            <w:r>
              <w:rPr>
                <w:rFonts w:ascii="Arial" w:cs="Arial" w:eastAsia="Arial" w:hAnsi="Arial"/>
                <w:sz w:val="13"/>
                <w:szCs w:val="13"/>
                <w:color w:val="auto"/>
              </w:rPr>
              <w:t>5,324</w:t>
            </w:r>
          </w:p>
        </w:tc>
        <w:tc>
          <w:tcPr>
            <w:tcW w:w="680" w:type="dxa"/>
            <w:vAlign w:val="bottom"/>
            <w:gridSpan w:val="2"/>
            <w:shd w:val="clear" w:color="auto" w:fill="F4F3F3"/>
          </w:tcPr>
          <w:p>
            <w:pPr>
              <w:jc w:val="right"/>
              <w:ind w:right="57"/>
              <w:spacing w:after="0" w:line="135" w:lineRule="exact"/>
              <w:rPr>
                <w:sz w:val="20"/>
                <w:szCs w:val="20"/>
                <w:color w:val="auto"/>
              </w:rPr>
            </w:pPr>
            <w:r>
              <w:rPr>
                <w:rFonts w:ascii="Arial" w:cs="Arial" w:eastAsia="Arial" w:hAnsi="Arial"/>
                <w:sz w:val="13"/>
                <w:szCs w:val="13"/>
                <w:color w:val="auto"/>
              </w:rPr>
              <w:t>10,647</w:t>
            </w:r>
          </w:p>
        </w:tc>
        <w:tc>
          <w:tcPr>
            <w:tcW w:w="820" w:type="dxa"/>
            <w:vAlign w:val="bottom"/>
            <w:shd w:val="clear" w:color="auto" w:fill="F4F3F3"/>
          </w:tcPr>
          <w:p>
            <w:pPr>
              <w:jc w:val="right"/>
              <w:ind w:right="137"/>
              <w:spacing w:after="0" w:line="135" w:lineRule="exact"/>
              <w:rPr>
                <w:sz w:val="20"/>
                <w:szCs w:val="20"/>
                <w:color w:val="auto"/>
              </w:rPr>
            </w:pPr>
            <w:r>
              <w:rPr>
                <w:rFonts w:ascii="Arial" w:cs="Arial" w:eastAsia="Arial" w:hAnsi="Arial"/>
                <w:sz w:val="13"/>
                <w:szCs w:val="13"/>
                <w:color w:val="auto"/>
              </w:rPr>
              <w:t>15,971</w:t>
            </w:r>
          </w:p>
        </w:tc>
        <w:tc>
          <w:tcPr>
            <w:tcW w:w="600" w:type="dxa"/>
            <w:vAlign w:val="bottom"/>
            <w:shd w:val="clear" w:color="auto" w:fill="F4F3F3"/>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F4F3F3"/>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jc w:val="center"/>
              <w:ind w:left="15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896,158</w:t>
            </w:r>
          </w:p>
        </w:tc>
        <w:tc>
          <w:tcPr>
            <w:tcW w:w="0" w:type="dxa"/>
            <w:vAlign w:val="bottom"/>
          </w:tcPr>
          <w:p>
            <w:pPr>
              <w:spacing w:after="0"/>
              <w:rPr>
                <w:sz w:val="1"/>
                <w:szCs w:val="1"/>
                <w:color w:val="auto"/>
              </w:rPr>
            </w:pPr>
          </w:p>
        </w:tc>
      </w:tr>
      <w:tr>
        <w:trPr>
          <w:trHeight w:val="135"/>
        </w:trPr>
        <w:tc>
          <w:tcPr>
            <w:tcW w:w="2400" w:type="dxa"/>
            <w:vAlign w:val="bottom"/>
            <w:shd w:val="clear" w:color="auto" w:fill="F4F3F3"/>
          </w:tcPr>
          <w:p>
            <w:pPr>
              <w:ind w:left="180"/>
              <w:spacing w:after="0" w:line="135" w:lineRule="exact"/>
              <w:rPr>
                <w:sz w:val="20"/>
                <w:szCs w:val="20"/>
                <w:color w:val="auto"/>
              </w:rPr>
            </w:pPr>
            <w:r>
              <w:rPr>
                <w:rFonts w:ascii="Arial" w:cs="Arial" w:eastAsia="Arial" w:hAnsi="Arial"/>
                <w:sz w:val="13"/>
                <w:szCs w:val="13"/>
                <w:color w:val="auto"/>
              </w:rPr>
              <w:t>RSU</w:t>
            </w:r>
          </w:p>
        </w:tc>
        <w:tc>
          <w:tcPr>
            <w:tcW w:w="100" w:type="dxa"/>
            <w:vAlign w:val="bottom"/>
            <w:shd w:val="clear" w:color="auto" w:fill="F4F3F3"/>
          </w:tcPr>
          <w:p>
            <w:pPr>
              <w:spacing w:after="0"/>
              <w:rPr>
                <w:sz w:val="11"/>
                <w:szCs w:val="11"/>
                <w:color w:val="auto"/>
              </w:rPr>
            </w:pPr>
          </w:p>
        </w:tc>
        <w:tc>
          <w:tcPr>
            <w:tcW w:w="520" w:type="dxa"/>
            <w:vAlign w:val="bottom"/>
            <w:shd w:val="clear" w:color="auto" w:fill="F4F3F3"/>
          </w:tcPr>
          <w:p>
            <w:pPr>
              <w:ind w:left="20"/>
              <w:spacing w:after="0" w:line="135" w:lineRule="exact"/>
              <w:rPr>
                <w:sz w:val="20"/>
                <w:szCs w:val="20"/>
                <w:color w:val="auto"/>
              </w:rPr>
            </w:pPr>
            <w:r>
              <w:rPr>
                <w:rFonts w:ascii="Arial" w:cs="Arial" w:eastAsia="Arial" w:hAnsi="Arial"/>
                <w:sz w:val="13"/>
                <w:szCs w:val="13"/>
                <w:color w:val="auto"/>
              </w:rPr>
              <w:t>2/21/17</w:t>
            </w:r>
          </w:p>
        </w:tc>
        <w:tc>
          <w:tcPr>
            <w:tcW w:w="100" w:type="dxa"/>
            <w:vAlign w:val="bottom"/>
            <w:shd w:val="clear" w:color="auto" w:fill="F4F3F3"/>
          </w:tcPr>
          <w:p>
            <w:pPr>
              <w:spacing w:after="0"/>
              <w:rPr>
                <w:sz w:val="11"/>
                <w:szCs w:val="11"/>
                <w:color w:val="auto"/>
              </w:rPr>
            </w:pPr>
          </w:p>
        </w:tc>
        <w:tc>
          <w:tcPr>
            <w:tcW w:w="60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2/8/17</w:t>
            </w:r>
          </w:p>
        </w:tc>
        <w:tc>
          <w:tcPr>
            <w:tcW w:w="60" w:type="dxa"/>
            <w:vAlign w:val="bottom"/>
            <w:shd w:val="clear" w:color="auto" w:fill="F4F3F3"/>
          </w:tcPr>
          <w:p>
            <w:pPr>
              <w:spacing w:after="0"/>
              <w:rPr>
                <w:sz w:val="11"/>
                <w:szCs w:val="11"/>
                <w:color w:val="auto"/>
              </w:rPr>
            </w:pPr>
          </w:p>
        </w:tc>
        <w:tc>
          <w:tcPr>
            <w:tcW w:w="40" w:type="dxa"/>
            <w:vAlign w:val="bottom"/>
            <w:shd w:val="clear" w:color="auto" w:fill="F4F3F3"/>
          </w:tcPr>
          <w:p>
            <w:pPr>
              <w:spacing w:after="0"/>
              <w:rPr>
                <w:sz w:val="11"/>
                <w:szCs w:val="11"/>
                <w:color w:val="auto"/>
              </w:rPr>
            </w:pPr>
          </w:p>
        </w:tc>
        <w:tc>
          <w:tcPr>
            <w:tcW w:w="580" w:type="dxa"/>
            <w:vAlign w:val="bottom"/>
            <w:shd w:val="clear" w:color="auto" w:fill="F4F3F3"/>
          </w:tcPr>
          <w:p>
            <w:pPr>
              <w:ind w:left="38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F4F3F3"/>
          </w:tcPr>
          <w:p>
            <w:pPr>
              <w:spacing w:after="0"/>
              <w:rPr>
                <w:sz w:val="11"/>
                <w:szCs w:val="11"/>
                <w:color w:val="auto"/>
              </w:rPr>
            </w:pPr>
          </w:p>
        </w:tc>
        <w:tc>
          <w:tcPr>
            <w:tcW w:w="720" w:type="dxa"/>
            <w:vAlign w:val="bottom"/>
            <w:shd w:val="clear" w:color="auto" w:fill="F4F3F3"/>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ind w:left="4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F4F3F3"/>
          </w:tcPr>
          <w:p>
            <w:pPr>
              <w:spacing w:after="0"/>
              <w:rPr>
                <w:sz w:val="11"/>
                <w:szCs w:val="11"/>
                <w:color w:val="auto"/>
              </w:rPr>
            </w:pPr>
          </w:p>
        </w:tc>
        <w:tc>
          <w:tcPr>
            <w:tcW w:w="60" w:type="dxa"/>
            <w:vAlign w:val="bottom"/>
            <w:shd w:val="clear" w:color="auto" w:fill="F4F3F3"/>
          </w:tcPr>
          <w:p>
            <w:pPr>
              <w:spacing w:after="0"/>
              <w:rPr>
                <w:sz w:val="11"/>
                <w:szCs w:val="11"/>
                <w:color w:val="auto"/>
              </w:rPr>
            </w:pPr>
          </w:p>
        </w:tc>
        <w:tc>
          <w:tcPr>
            <w:tcW w:w="58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F4F3F3"/>
          </w:tcPr>
          <w:p>
            <w:pPr>
              <w:spacing w:after="0"/>
              <w:rPr>
                <w:sz w:val="11"/>
                <w:szCs w:val="11"/>
                <w:color w:val="auto"/>
              </w:rPr>
            </w:pPr>
          </w:p>
        </w:tc>
        <w:tc>
          <w:tcPr>
            <w:tcW w:w="560" w:type="dxa"/>
            <w:vAlign w:val="bottom"/>
            <w:shd w:val="clear" w:color="auto" w:fill="F4F3F3"/>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F4F3F3"/>
          </w:tcPr>
          <w:p>
            <w:pPr>
              <w:ind w:left="42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7,986</w:t>
            </w:r>
          </w:p>
        </w:tc>
        <w:tc>
          <w:tcPr>
            <w:tcW w:w="780" w:type="dxa"/>
            <w:vAlign w:val="bottom"/>
            <w:shd w:val="clear" w:color="auto" w:fill="F4F3F3"/>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jc w:val="center"/>
              <w:ind w:left="15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684,001</w:t>
            </w:r>
          </w:p>
        </w:tc>
        <w:tc>
          <w:tcPr>
            <w:tcW w:w="0" w:type="dxa"/>
            <w:vAlign w:val="bottom"/>
          </w:tcPr>
          <w:p>
            <w:pPr>
              <w:spacing w:after="0"/>
              <w:rPr>
                <w:sz w:val="1"/>
                <w:szCs w:val="1"/>
                <w:color w:val="auto"/>
              </w:rPr>
            </w:pPr>
          </w:p>
        </w:tc>
      </w:tr>
      <w:tr>
        <w:trPr>
          <w:trHeight w:val="135"/>
        </w:trPr>
        <w:tc>
          <w:tcPr>
            <w:tcW w:w="2400" w:type="dxa"/>
            <w:vAlign w:val="bottom"/>
            <w:shd w:val="clear" w:color="auto" w:fill="F4F3F3"/>
          </w:tcPr>
          <w:p>
            <w:pPr>
              <w:ind w:left="180"/>
              <w:spacing w:after="0" w:line="135" w:lineRule="exact"/>
              <w:rPr>
                <w:sz w:val="20"/>
                <w:szCs w:val="20"/>
                <w:color w:val="auto"/>
              </w:rPr>
            </w:pPr>
            <w:r>
              <w:rPr>
                <w:rFonts w:ascii="Arial" w:cs="Arial" w:eastAsia="Arial" w:hAnsi="Arial"/>
                <w:sz w:val="13"/>
                <w:szCs w:val="13"/>
                <w:color w:val="auto"/>
              </w:rPr>
              <w:t>RSU</w:t>
            </w:r>
          </w:p>
        </w:tc>
        <w:tc>
          <w:tcPr>
            <w:tcW w:w="100" w:type="dxa"/>
            <w:vAlign w:val="bottom"/>
            <w:shd w:val="clear" w:color="auto" w:fill="F4F3F3"/>
          </w:tcPr>
          <w:p>
            <w:pPr>
              <w:spacing w:after="0"/>
              <w:rPr>
                <w:sz w:val="11"/>
                <w:szCs w:val="11"/>
                <w:color w:val="auto"/>
              </w:rPr>
            </w:pPr>
          </w:p>
        </w:tc>
        <w:tc>
          <w:tcPr>
            <w:tcW w:w="520" w:type="dxa"/>
            <w:vAlign w:val="bottom"/>
            <w:shd w:val="clear" w:color="auto" w:fill="F4F3F3"/>
          </w:tcPr>
          <w:p>
            <w:pPr>
              <w:ind w:left="20"/>
              <w:spacing w:after="0" w:line="135" w:lineRule="exact"/>
              <w:rPr>
                <w:sz w:val="20"/>
                <w:szCs w:val="20"/>
                <w:color w:val="auto"/>
              </w:rPr>
            </w:pPr>
            <w:r>
              <w:rPr>
                <w:rFonts w:ascii="Arial" w:cs="Arial" w:eastAsia="Arial" w:hAnsi="Arial"/>
                <w:sz w:val="13"/>
                <w:szCs w:val="13"/>
                <w:color w:val="auto"/>
              </w:rPr>
              <w:t>2/21/17</w:t>
            </w:r>
          </w:p>
        </w:tc>
        <w:tc>
          <w:tcPr>
            <w:tcW w:w="100" w:type="dxa"/>
            <w:vAlign w:val="bottom"/>
            <w:shd w:val="clear" w:color="auto" w:fill="F4F3F3"/>
          </w:tcPr>
          <w:p>
            <w:pPr>
              <w:spacing w:after="0"/>
              <w:rPr>
                <w:sz w:val="11"/>
                <w:szCs w:val="11"/>
                <w:color w:val="auto"/>
              </w:rPr>
            </w:pPr>
          </w:p>
        </w:tc>
        <w:tc>
          <w:tcPr>
            <w:tcW w:w="60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2/8/17</w:t>
            </w:r>
          </w:p>
        </w:tc>
        <w:tc>
          <w:tcPr>
            <w:tcW w:w="60" w:type="dxa"/>
            <w:vAlign w:val="bottom"/>
            <w:shd w:val="clear" w:color="auto" w:fill="F4F3F3"/>
          </w:tcPr>
          <w:p>
            <w:pPr>
              <w:spacing w:after="0"/>
              <w:rPr>
                <w:sz w:val="11"/>
                <w:szCs w:val="11"/>
                <w:color w:val="auto"/>
              </w:rPr>
            </w:pPr>
          </w:p>
        </w:tc>
        <w:tc>
          <w:tcPr>
            <w:tcW w:w="40" w:type="dxa"/>
            <w:vAlign w:val="bottom"/>
            <w:shd w:val="clear" w:color="auto" w:fill="F4F3F3"/>
          </w:tcPr>
          <w:p>
            <w:pPr>
              <w:spacing w:after="0"/>
              <w:rPr>
                <w:sz w:val="11"/>
                <w:szCs w:val="11"/>
                <w:color w:val="auto"/>
              </w:rPr>
            </w:pPr>
          </w:p>
        </w:tc>
        <w:tc>
          <w:tcPr>
            <w:tcW w:w="580" w:type="dxa"/>
            <w:vAlign w:val="bottom"/>
            <w:shd w:val="clear" w:color="auto" w:fill="F4F3F3"/>
          </w:tcPr>
          <w:p>
            <w:pPr>
              <w:ind w:left="38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F4F3F3"/>
          </w:tcPr>
          <w:p>
            <w:pPr>
              <w:spacing w:after="0"/>
              <w:rPr>
                <w:sz w:val="11"/>
                <w:szCs w:val="11"/>
                <w:color w:val="auto"/>
              </w:rPr>
            </w:pPr>
          </w:p>
        </w:tc>
        <w:tc>
          <w:tcPr>
            <w:tcW w:w="720" w:type="dxa"/>
            <w:vAlign w:val="bottom"/>
            <w:shd w:val="clear" w:color="auto" w:fill="F4F3F3"/>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ind w:left="4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F4F3F3"/>
          </w:tcPr>
          <w:p>
            <w:pPr>
              <w:spacing w:after="0"/>
              <w:rPr>
                <w:sz w:val="11"/>
                <w:szCs w:val="11"/>
                <w:color w:val="auto"/>
              </w:rPr>
            </w:pPr>
          </w:p>
        </w:tc>
        <w:tc>
          <w:tcPr>
            <w:tcW w:w="60" w:type="dxa"/>
            <w:vAlign w:val="bottom"/>
            <w:shd w:val="clear" w:color="auto" w:fill="F4F3F3"/>
          </w:tcPr>
          <w:p>
            <w:pPr>
              <w:spacing w:after="0"/>
              <w:rPr>
                <w:sz w:val="11"/>
                <w:szCs w:val="11"/>
                <w:color w:val="auto"/>
              </w:rPr>
            </w:pPr>
          </w:p>
        </w:tc>
        <w:tc>
          <w:tcPr>
            <w:tcW w:w="58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F4F3F3"/>
          </w:tcPr>
          <w:p>
            <w:pPr>
              <w:spacing w:after="0"/>
              <w:rPr>
                <w:sz w:val="11"/>
                <w:szCs w:val="11"/>
                <w:color w:val="auto"/>
              </w:rPr>
            </w:pPr>
          </w:p>
        </w:tc>
        <w:tc>
          <w:tcPr>
            <w:tcW w:w="560" w:type="dxa"/>
            <w:vAlign w:val="bottom"/>
            <w:shd w:val="clear" w:color="auto" w:fill="F4F3F3"/>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F4F3F3"/>
          </w:tcPr>
          <w:p>
            <w:pPr>
              <w:ind w:left="42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11,265</w:t>
            </w:r>
          </w:p>
        </w:tc>
        <w:tc>
          <w:tcPr>
            <w:tcW w:w="780" w:type="dxa"/>
            <w:vAlign w:val="bottom"/>
            <w:shd w:val="clear" w:color="auto" w:fill="F4F3F3"/>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jc w:val="center"/>
              <w:ind w:left="15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948,175</w:t>
            </w:r>
          </w:p>
        </w:tc>
        <w:tc>
          <w:tcPr>
            <w:tcW w:w="0" w:type="dxa"/>
            <w:vAlign w:val="bottom"/>
          </w:tcPr>
          <w:p>
            <w:pPr>
              <w:spacing w:after="0"/>
              <w:rPr>
                <w:sz w:val="1"/>
                <w:szCs w:val="1"/>
                <w:color w:val="auto"/>
              </w:rPr>
            </w:pPr>
          </w:p>
        </w:tc>
      </w:tr>
      <w:tr>
        <w:trPr>
          <w:trHeight w:val="170"/>
        </w:trPr>
        <w:tc>
          <w:tcPr>
            <w:tcW w:w="2400" w:type="dxa"/>
            <w:vAlign w:val="bottom"/>
            <w:shd w:val="clear" w:color="auto" w:fill="F4F3F3"/>
          </w:tcPr>
          <w:p>
            <w:pPr>
              <w:ind w:left="180"/>
              <w:spacing w:after="0"/>
              <w:rPr>
                <w:sz w:val="20"/>
                <w:szCs w:val="20"/>
                <w:color w:val="auto"/>
              </w:rPr>
            </w:pPr>
            <w:r>
              <w:rPr>
                <w:rFonts w:ascii="Arial" w:cs="Arial" w:eastAsia="Arial" w:hAnsi="Arial"/>
                <w:sz w:val="13"/>
                <w:szCs w:val="13"/>
                <w:color w:val="auto"/>
              </w:rPr>
              <w:t>SAR</w:t>
            </w:r>
          </w:p>
        </w:tc>
        <w:tc>
          <w:tcPr>
            <w:tcW w:w="100" w:type="dxa"/>
            <w:vAlign w:val="bottom"/>
            <w:shd w:val="clear" w:color="auto" w:fill="F4F3F3"/>
          </w:tcPr>
          <w:p>
            <w:pPr>
              <w:spacing w:after="0"/>
              <w:rPr>
                <w:sz w:val="14"/>
                <w:szCs w:val="14"/>
                <w:color w:val="auto"/>
              </w:rPr>
            </w:pPr>
          </w:p>
        </w:tc>
        <w:tc>
          <w:tcPr>
            <w:tcW w:w="520" w:type="dxa"/>
            <w:vAlign w:val="bottom"/>
            <w:shd w:val="clear" w:color="auto" w:fill="F4F3F3"/>
          </w:tcPr>
          <w:p>
            <w:pPr>
              <w:ind w:left="20"/>
              <w:spacing w:after="0"/>
              <w:rPr>
                <w:sz w:val="20"/>
                <w:szCs w:val="20"/>
                <w:color w:val="auto"/>
              </w:rPr>
            </w:pPr>
            <w:r>
              <w:rPr>
                <w:rFonts w:ascii="Arial" w:cs="Arial" w:eastAsia="Arial" w:hAnsi="Arial"/>
                <w:sz w:val="13"/>
                <w:szCs w:val="13"/>
                <w:color w:val="auto"/>
              </w:rPr>
              <w:t>2/21/17</w:t>
            </w:r>
          </w:p>
        </w:tc>
        <w:tc>
          <w:tcPr>
            <w:tcW w:w="100" w:type="dxa"/>
            <w:vAlign w:val="bottom"/>
            <w:shd w:val="clear" w:color="auto" w:fill="F4F3F3"/>
          </w:tcPr>
          <w:p>
            <w:pPr>
              <w:spacing w:after="0"/>
              <w:rPr>
                <w:sz w:val="14"/>
                <w:szCs w:val="14"/>
                <w:color w:val="auto"/>
              </w:rPr>
            </w:pPr>
          </w:p>
        </w:tc>
        <w:tc>
          <w:tcPr>
            <w:tcW w:w="60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2/8/17</w:t>
            </w:r>
          </w:p>
        </w:tc>
        <w:tc>
          <w:tcPr>
            <w:tcW w:w="60" w:type="dxa"/>
            <w:vAlign w:val="bottom"/>
            <w:shd w:val="clear" w:color="auto" w:fill="F4F3F3"/>
          </w:tcPr>
          <w:p>
            <w:pPr>
              <w:spacing w:after="0"/>
              <w:rPr>
                <w:sz w:val="14"/>
                <w:szCs w:val="14"/>
                <w:color w:val="auto"/>
              </w:rPr>
            </w:pPr>
          </w:p>
        </w:tc>
        <w:tc>
          <w:tcPr>
            <w:tcW w:w="40" w:type="dxa"/>
            <w:vAlign w:val="bottom"/>
            <w:shd w:val="clear" w:color="auto" w:fill="F4F3F3"/>
          </w:tcPr>
          <w:p>
            <w:pPr>
              <w:spacing w:after="0"/>
              <w:rPr>
                <w:sz w:val="14"/>
                <w:szCs w:val="14"/>
                <w:color w:val="auto"/>
              </w:rPr>
            </w:pPr>
          </w:p>
        </w:tc>
        <w:tc>
          <w:tcPr>
            <w:tcW w:w="580" w:type="dxa"/>
            <w:vAlign w:val="bottom"/>
            <w:shd w:val="clear" w:color="auto" w:fill="F4F3F3"/>
          </w:tcPr>
          <w:p>
            <w:pPr>
              <w:ind w:left="380"/>
              <w:spacing w:after="0"/>
              <w:rPr>
                <w:sz w:val="20"/>
                <w:szCs w:val="20"/>
                <w:color w:val="auto"/>
              </w:rPr>
            </w:pPr>
            <w:r>
              <w:rPr>
                <w:rFonts w:ascii="Arial" w:cs="Arial" w:eastAsia="Arial" w:hAnsi="Arial"/>
                <w:sz w:val="13"/>
                <w:szCs w:val="13"/>
                <w:color w:val="auto"/>
              </w:rPr>
              <w:t>—</w:t>
            </w:r>
          </w:p>
        </w:tc>
        <w:tc>
          <w:tcPr>
            <w:tcW w:w="200" w:type="dxa"/>
            <w:vAlign w:val="bottom"/>
            <w:shd w:val="clear" w:color="auto" w:fill="F4F3F3"/>
          </w:tcPr>
          <w:p>
            <w:pPr>
              <w:spacing w:after="0"/>
              <w:rPr>
                <w:sz w:val="14"/>
                <w:szCs w:val="14"/>
                <w:color w:val="auto"/>
              </w:rPr>
            </w:pPr>
          </w:p>
        </w:tc>
        <w:tc>
          <w:tcPr>
            <w:tcW w:w="720" w:type="dxa"/>
            <w:vAlign w:val="bottom"/>
            <w:shd w:val="clear" w:color="auto" w:fill="F4F3F3"/>
          </w:tcPr>
          <w:p>
            <w:pPr>
              <w:jc w:val="right"/>
              <w:ind w:right="177"/>
              <w:spacing w:after="0"/>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ind w:left="400"/>
              <w:spacing w:after="0"/>
              <w:rPr>
                <w:sz w:val="20"/>
                <w:szCs w:val="20"/>
                <w:color w:val="auto"/>
              </w:rPr>
            </w:pPr>
            <w:r>
              <w:rPr>
                <w:rFonts w:ascii="Arial" w:cs="Arial" w:eastAsia="Arial" w:hAnsi="Arial"/>
                <w:sz w:val="13"/>
                <w:szCs w:val="13"/>
                <w:color w:val="auto"/>
              </w:rPr>
              <w:t>—</w:t>
            </w:r>
          </w:p>
        </w:tc>
        <w:tc>
          <w:tcPr>
            <w:tcW w:w="60" w:type="dxa"/>
            <w:vAlign w:val="bottom"/>
            <w:shd w:val="clear" w:color="auto" w:fill="F4F3F3"/>
          </w:tcPr>
          <w:p>
            <w:pPr>
              <w:spacing w:after="0"/>
              <w:rPr>
                <w:sz w:val="14"/>
                <w:szCs w:val="14"/>
                <w:color w:val="auto"/>
              </w:rPr>
            </w:pPr>
          </w:p>
        </w:tc>
        <w:tc>
          <w:tcPr>
            <w:tcW w:w="60" w:type="dxa"/>
            <w:vAlign w:val="bottom"/>
            <w:shd w:val="clear" w:color="auto" w:fill="F4F3F3"/>
          </w:tcPr>
          <w:p>
            <w:pPr>
              <w:spacing w:after="0"/>
              <w:rPr>
                <w:sz w:val="14"/>
                <w:szCs w:val="14"/>
                <w:color w:val="auto"/>
              </w:rPr>
            </w:pPr>
          </w:p>
        </w:tc>
        <w:tc>
          <w:tcPr>
            <w:tcW w:w="58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shd w:val="clear" w:color="auto" w:fill="F4F3F3"/>
          </w:tcPr>
          <w:p>
            <w:pPr>
              <w:spacing w:after="0"/>
              <w:rPr>
                <w:sz w:val="14"/>
                <w:szCs w:val="14"/>
                <w:color w:val="auto"/>
              </w:rPr>
            </w:pPr>
          </w:p>
        </w:tc>
        <w:tc>
          <w:tcPr>
            <w:tcW w:w="560" w:type="dxa"/>
            <w:vAlign w:val="bottom"/>
            <w:shd w:val="clear" w:color="auto" w:fill="F4F3F3"/>
          </w:tcPr>
          <w:p>
            <w:pPr>
              <w:jc w:val="right"/>
              <w:ind w:right="117"/>
              <w:spacing w:after="0"/>
              <w:rPr>
                <w:sz w:val="20"/>
                <w:szCs w:val="20"/>
                <w:color w:val="auto"/>
              </w:rPr>
            </w:pPr>
            <w:r>
              <w:rPr>
                <w:rFonts w:ascii="Arial" w:cs="Arial" w:eastAsia="Arial" w:hAnsi="Arial"/>
                <w:sz w:val="13"/>
                <w:szCs w:val="13"/>
                <w:color w:val="auto"/>
              </w:rPr>
              <w:t>—</w:t>
            </w:r>
          </w:p>
        </w:tc>
        <w:tc>
          <w:tcPr>
            <w:tcW w:w="820" w:type="dxa"/>
            <w:vAlign w:val="bottom"/>
            <w:shd w:val="clear" w:color="auto" w:fill="F4F3F3"/>
          </w:tcPr>
          <w:p>
            <w:pPr>
              <w:ind w:left="420"/>
              <w:spacing w:after="0"/>
              <w:rPr>
                <w:sz w:val="20"/>
                <w:szCs w:val="20"/>
                <w:color w:val="auto"/>
              </w:rPr>
            </w:pPr>
            <w:r>
              <w:rPr>
                <w:rFonts w:ascii="Arial" w:cs="Arial" w:eastAsia="Arial" w:hAnsi="Arial"/>
                <w:sz w:val="13"/>
                <w:szCs w:val="13"/>
                <w:color w:val="auto"/>
              </w:rPr>
              <w:t>—</w:t>
            </w:r>
          </w:p>
        </w:tc>
        <w:tc>
          <w:tcPr>
            <w:tcW w:w="600" w:type="dxa"/>
            <w:vAlign w:val="bottom"/>
            <w:shd w:val="clear" w:color="auto" w:fill="F4F3F3"/>
          </w:tcPr>
          <w:p>
            <w:pPr>
              <w:jc w:val="right"/>
              <w:ind w:right="97"/>
              <w:spacing w:after="0"/>
              <w:rPr>
                <w:sz w:val="20"/>
                <w:szCs w:val="20"/>
                <w:color w:val="auto"/>
              </w:rPr>
            </w:pPr>
            <w:r>
              <w:rPr>
                <w:rFonts w:ascii="Arial" w:cs="Arial" w:eastAsia="Arial" w:hAnsi="Arial"/>
                <w:sz w:val="13"/>
                <w:szCs w:val="13"/>
                <w:color w:val="auto"/>
              </w:rPr>
              <w:t>—</w:t>
            </w:r>
          </w:p>
        </w:tc>
        <w:tc>
          <w:tcPr>
            <w:tcW w:w="780" w:type="dxa"/>
            <w:vAlign w:val="bottom"/>
            <w:shd w:val="clear" w:color="auto" w:fill="F4F3F3"/>
          </w:tcPr>
          <w:p>
            <w:pPr>
              <w:jc w:val="right"/>
              <w:spacing w:after="0"/>
              <w:rPr>
                <w:sz w:val="20"/>
                <w:szCs w:val="20"/>
                <w:color w:val="auto"/>
              </w:rPr>
            </w:pPr>
            <w:r>
              <w:rPr>
                <w:rFonts w:ascii="Arial" w:cs="Arial" w:eastAsia="Arial" w:hAnsi="Arial"/>
                <w:sz w:val="13"/>
                <w:szCs w:val="13"/>
                <w:color w:val="auto"/>
              </w:rPr>
              <w:t>23,370</w:t>
            </w:r>
          </w:p>
        </w:tc>
        <w:tc>
          <w:tcPr>
            <w:tcW w:w="680" w:type="dxa"/>
            <w:vAlign w:val="bottom"/>
            <w:shd w:val="clear" w:color="auto" w:fill="F4F3F3"/>
          </w:tcPr>
          <w:p>
            <w:pPr>
              <w:jc w:val="center"/>
              <w:ind w:left="97"/>
              <w:spacing w:after="0"/>
              <w:rPr>
                <w:sz w:val="20"/>
                <w:szCs w:val="20"/>
                <w:color w:val="auto"/>
              </w:rPr>
            </w:pPr>
            <w:r>
              <w:rPr>
                <w:rFonts w:ascii="Arial" w:cs="Arial" w:eastAsia="Arial" w:hAnsi="Arial"/>
                <w:sz w:val="13"/>
                <w:szCs w:val="13"/>
                <w:color w:val="auto"/>
                <w:w w:val="98"/>
              </w:rPr>
              <w:t>88.31</w:t>
            </w:r>
          </w:p>
        </w:tc>
        <w:tc>
          <w:tcPr>
            <w:tcW w:w="74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735,220</w:t>
            </w:r>
          </w:p>
        </w:tc>
        <w:tc>
          <w:tcPr>
            <w:tcW w:w="0" w:type="dxa"/>
            <w:vAlign w:val="bottom"/>
          </w:tcPr>
          <w:p>
            <w:pPr>
              <w:spacing w:after="0"/>
              <w:rPr>
                <w:sz w:val="1"/>
                <w:szCs w:val="1"/>
                <w:color w:val="auto"/>
              </w:rPr>
            </w:pPr>
          </w:p>
        </w:tc>
      </w:tr>
      <w:tr>
        <w:trPr>
          <w:trHeight w:val="127"/>
        </w:trPr>
        <w:tc>
          <w:tcPr>
            <w:tcW w:w="2400" w:type="dxa"/>
            <w:vAlign w:val="bottom"/>
            <w:shd w:val="clear" w:color="auto" w:fill="F4F3F3"/>
          </w:tcPr>
          <w:p>
            <w:pPr>
              <w:ind w:left="60"/>
              <w:spacing w:after="0" w:line="127" w:lineRule="exact"/>
              <w:rPr>
                <w:sz w:val="20"/>
                <w:szCs w:val="20"/>
                <w:color w:val="auto"/>
              </w:rPr>
            </w:pPr>
            <w:r>
              <w:rPr>
                <w:rFonts w:ascii="Arial" w:cs="Arial" w:eastAsia="Arial" w:hAnsi="Arial"/>
                <w:sz w:val="13"/>
                <w:szCs w:val="13"/>
                <w:color w:val="998C87"/>
              </w:rPr>
              <w:t>Ms. Linnartz</w:t>
            </w:r>
          </w:p>
        </w:tc>
        <w:tc>
          <w:tcPr>
            <w:tcW w:w="100" w:type="dxa"/>
            <w:vAlign w:val="bottom"/>
            <w:shd w:val="clear" w:color="auto" w:fill="F4F3F3"/>
          </w:tcPr>
          <w:p>
            <w:pPr>
              <w:spacing w:after="0"/>
              <w:rPr>
                <w:sz w:val="11"/>
                <w:szCs w:val="11"/>
                <w:color w:val="auto"/>
              </w:rPr>
            </w:pPr>
          </w:p>
        </w:tc>
        <w:tc>
          <w:tcPr>
            <w:tcW w:w="520" w:type="dxa"/>
            <w:vAlign w:val="bottom"/>
            <w:shd w:val="clear" w:color="auto" w:fill="F4F3F3"/>
          </w:tcPr>
          <w:p>
            <w:pPr>
              <w:spacing w:after="0"/>
              <w:rPr>
                <w:sz w:val="11"/>
                <w:szCs w:val="11"/>
                <w:color w:val="auto"/>
              </w:rPr>
            </w:pPr>
          </w:p>
        </w:tc>
        <w:tc>
          <w:tcPr>
            <w:tcW w:w="100" w:type="dxa"/>
            <w:vAlign w:val="bottom"/>
            <w:shd w:val="clear" w:color="auto" w:fill="F4F3F3"/>
          </w:tcPr>
          <w:p>
            <w:pPr>
              <w:spacing w:after="0"/>
              <w:rPr>
                <w:sz w:val="11"/>
                <w:szCs w:val="11"/>
                <w:color w:val="auto"/>
              </w:rPr>
            </w:pPr>
          </w:p>
        </w:tc>
        <w:tc>
          <w:tcPr>
            <w:tcW w:w="600" w:type="dxa"/>
            <w:vAlign w:val="bottom"/>
            <w:shd w:val="clear" w:color="auto" w:fill="F4F3F3"/>
          </w:tcPr>
          <w:p>
            <w:pPr>
              <w:spacing w:after="0"/>
              <w:rPr>
                <w:sz w:val="11"/>
                <w:szCs w:val="11"/>
                <w:color w:val="auto"/>
              </w:rPr>
            </w:pPr>
          </w:p>
        </w:tc>
        <w:tc>
          <w:tcPr>
            <w:tcW w:w="60" w:type="dxa"/>
            <w:vAlign w:val="bottom"/>
            <w:shd w:val="clear" w:color="auto" w:fill="F4F3F3"/>
          </w:tcPr>
          <w:p>
            <w:pPr>
              <w:spacing w:after="0"/>
              <w:rPr>
                <w:sz w:val="11"/>
                <w:szCs w:val="11"/>
                <w:color w:val="auto"/>
              </w:rPr>
            </w:pPr>
          </w:p>
        </w:tc>
        <w:tc>
          <w:tcPr>
            <w:tcW w:w="40" w:type="dxa"/>
            <w:vAlign w:val="bottom"/>
            <w:shd w:val="clear" w:color="auto" w:fill="F4F3F3"/>
          </w:tcPr>
          <w:p>
            <w:pPr>
              <w:spacing w:after="0"/>
              <w:rPr>
                <w:sz w:val="11"/>
                <w:szCs w:val="11"/>
                <w:color w:val="auto"/>
              </w:rPr>
            </w:pPr>
          </w:p>
        </w:tc>
        <w:tc>
          <w:tcPr>
            <w:tcW w:w="580" w:type="dxa"/>
            <w:vAlign w:val="bottom"/>
            <w:shd w:val="clear" w:color="auto" w:fill="F4F3F3"/>
          </w:tcPr>
          <w:p>
            <w:pPr>
              <w:spacing w:after="0"/>
              <w:rPr>
                <w:sz w:val="11"/>
                <w:szCs w:val="11"/>
                <w:color w:val="auto"/>
              </w:rPr>
            </w:pPr>
          </w:p>
        </w:tc>
        <w:tc>
          <w:tcPr>
            <w:tcW w:w="200" w:type="dxa"/>
            <w:vAlign w:val="bottom"/>
            <w:shd w:val="clear" w:color="auto" w:fill="F4F3F3"/>
          </w:tcPr>
          <w:p>
            <w:pPr>
              <w:spacing w:after="0"/>
              <w:rPr>
                <w:sz w:val="11"/>
                <w:szCs w:val="11"/>
                <w:color w:val="auto"/>
              </w:rPr>
            </w:pPr>
          </w:p>
        </w:tc>
        <w:tc>
          <w:tcPr>
            <w:tcW w:w="720" w:type="dxa"/>
            <w:vAlign w:val="bottom"/>
            <w:shd w:val="clear" w:color="auto" w:fill="F4F3F3"/>
          </w:tcPr>
          <w:p>
            <w:pPr>
              <w:spacing w:after="0"/>
              <w:rPr>
                <w:sz w:val="11"/>
                <w:szCs w:val="11"/>
                <w:color w:val="auto"/>
              </w:rPr>
            </w:pPr>
          </w:p>
        </w:tc>
        <w:tc>
          <w:tcPr>
            <w:tcW w:w="680" w:type="dxa"/>
            <w:vAlign w:val="bottom"/>
            <w:shd w:val="clear" w:color="auto" w:fill="F4F3F3"/>
          </w:tcPr>
          <w:p>
            <w:pPr>
              <w:spacing w:after="0"/>
              <w:rPr>
                <w:sz w:val="11"/>
                <w:szCs w:val="11"/>
                <w:color w:val="auto"/>
              </w:rPr>
            </w:pPr>
          </w:p>
        </w:tc>
        <w:tc>
          <w:tcPr>
            <w:tcW w:w="60" w:type="dxa"/>
            <w:vAlign w:val="bottom"/>
            <w:shd w:val="clear" w:color="auto" w:fill="F4F3F3"/>
          </w:tcPr>
          <w:p>
            <w:pPr>
              <w:spacing w:after="0"/>
              <w:rPr>
                <w:sz w:val="11"/>
                <w:szCs w:val="11"/>
                <w:color w:val="auto"/>
              </w:rPr>
            </w:pPr>
          </w:p>
        </w:tc>
        <w:tc>
          <w:tcPr>
            <w:tcW w:w="60" w:type="dxa"/>
            <w:vAlign w:val="bottom"/>
            <w:shd w:val="clear" w:color="auto" w:fill="F4F3F3"/>
          </w:tcPr>
          <w:p>
            <w:pPr>
              <w:spacing w:after="0"/>
              <w:rPr>
                <w:sz w:val="11"/>
                <w:szCs w:val="11"/>
                <w:color w:val="auto"/>
              </w:rPr>
            </w:pPr>
          </w:p>
        </w:tc>
        <w:tc>
          <w:tcPr>
            <w:tcW w:w="580" w:type="dxa"/>
            <w:vAlign w:val="bottom"/>
            <w:shd w:val="clear" w:color="auto" w:fill="F4F3F3"/>
          </w:tcPr>
          <w:p>
            <w:pPr>
              <w:spacing w:after="0"/>
              <w:rPr>
                <w:sz w:val="11"/>
                <w:szCs w:val="11"/>
                <w:color w:val="auto"/>
              </w:rPr>
            </w:pPr>
          </w:p>
        </w:tc>
        <w:tc>
          <w:tcPr>
            <w:tcW w:w="120" w:type="dxa"/>
            <w:vAlign w:val="bottom"/>
            <w:shd w:val="clear" w:color="auto" w:fill="F4F3F3"/>
          </w:tcPr>
          <w:p>
            <w:pPr>
              <w:spacing w:after="0"/>
              <w:rPr>
                <w:sz w:val="11"/>
                <w:szCs w:val="11"/>
                <w:color w:val="auto"/>
              </w:rPr>
            </w:pPr>
          </w:p>
        </w:tc>
        <w:tc>
          <w:tcPr>
            <w:tcW w:w="560" w:type="dxa"/>
            <w:vAlign w:val="bottom"/>
            <w:shd w:val="clear" w:color="auto" w:fill="F4F3F3"/>
          </w:tcPr>
          <w:p>
            <w:pPr>
              <w:spacing w:after="0"/>
              <w:rPr>
                <w:sz w:val="11"/>
                <w:szCs w:val="11"/>
                <w:color w:val="auto"/>
              </w:rPr>
            </w:pPr>
          </w:p>
        </w:tc>
        <w:tc>
          <w:tcPr>
            <w:tcW w:w="820" w:type="dxa"/>
            <w:vAlign w:val="bottom"/>
            <w:shd w:val="clear" w:color="auto" w:fill="F4F3F3"/>
          </w:tcPr>
          <w:p>
            <w:pPr>
              <w:spacing w:after="0"/>
              <w:rPr>
                <w:sz w:val="11"/>
                <w:szCs w:val="11"/>
                <w:color w:val="auto"/>
              </w:rPr>
            </w:pPr>
          </w:p>
        </w:tc>
        <w:tc>
          <w:tcPr>
            <w:tcW w:w="600" w:type="dxa"/>
            <w:vAlign w:val="bottom"/>
            <w:shd w:val="clear" w:color="auto" w:fill="F4F3F3"/>
          </w:tcPr>
          <w:p>
            <w:pPr>
              <w:spacing w:after="0"/>
              <w:rPr>
                <w:sz w:val="11"/>
                <w:szCs w:val="11"/>
                <w:color w:val="auto"/>
              </w:rPr>
            </w:pPr>
          </w:p>
        </w:tc>
        <w:tc>
          <w:tcPr>
            <w:tcW w:w="780" w:type="dxa"/>
            <w:vAlign w:val="bottom"/>
            <w:shd w:val="clear" w:color="auto" w:fill="F4F3F3"/>
          </w:tcPr>
          <w:p>
            <w:pPr>
              <w:spacing w:after="0"/>
              <w:rPr>
                <w:sz w:val="11"/>
                <w:szCs w:val="11"/>
                <w:color w:val="auto"/>
              </w:rPr>
            </w:pPr>
          </w:p>
        </w:tc>
        <w:tc>
          <w:tcPr>
            <w:tcW w:w="680" w:type="dxa"/>
            <w:vAlign w:val="bottom"/>
            <w:shd w:val="clear" w:color="auto" w:fill="F4F3F3"/>
          </w:tcPr>
          <w:p>
            <w:pPr>
              <w:spacing w:after="0"/>
              <w:rPr>
                <w:sz w:val="11"/>
                <w:szCs w:val="11"/>
                <w:color w:val="auto"/>
              </w:rPr>
            </w:pPr>
          </w:p>
        </w:tc>
        <w:tc>
          <w:tcPr>
            <w:tcW w:w="740" w:type="dxa"/>
            <w:vAlign w:val="bottom"/>
            <w:shd w:val="clear" w:color="auto" w:fill="F4F3F3"/>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00" w:type="dxa"/>
            <w:vAlign w:val="bottom"/>
            <w:shd w:val="clear" w:color="auto" w:fill="F4F3F3"/>
          </w:tcPr>
          <w:p>
            <w:pPr>
              <w:ind w:left="180"/>
              <w:spacing w:after="0" w:line="135" w:lineRule="exact"/>
              <w:rPr>
                <w:sz w:val="20"/>
                <w:szCs w:val="20"/>
                <w:color w:val="auto"/>
              </w:rPr>
            </w:pPr>
            <w:r>
              <w:rPr>
                <w:rFonts w:ascii="Arial" w:cs="Arial" w:eastAsia="Arial" w:hAnsi="Arial"/>
                <w:sz w:val="13"/>
                <w:szCs w:val="13"/>
                <w:color w:val="auto"/>
              </w:rPr>
              <w:t>Cash Incentive</w:t>
            </w:r>
          </w:p>
        </w:tc>
        <w:tc>
          <w:tcPr>
            <w:tcW w:w="100" w:type="dxa"/>
            <w:vAlign w:val="bottom"/>
            <w:shd w:val="clear" w:color="auto" w:fill="F4F3F3"/>
          </w:tcPr>
          <w:p>
            <w:pPr>
              <w:spacing w:after="0"/>
              <w:rPr>
                <w:sz w:val="11"/>
                <w:szCs w:val="11"/>
                <w:color w:val="auto"/>
              </w:rPr>
            </w:pPr>
          </w:p>
        </w:tc>
        <w:tc>
          <w:tcPr>
            <w:tcW w:w="520" w:type="dxa"/>
            <w:vAlign w:val="bottom"/>
            <w:shd w:val="clear" w:color="auto" w:fill="F4F3F3"/>
          </w:tcPr>
          <w:p>
            <w:pPr>
              <w:spacing w:after="0"/>
              <w:rPr>
                <w:sz w:val="11"/>
                <w:szCs w:val="11"/>
                <w:color w:val="auto"/>
              </w:rPr>
            </w:pPr>
          </w:p>
        </w:tc>
        <w:tc>
          <w:tcPr>
            <w:tcW w:w="100" w:type="dxa"/>
            <w:vAlign w:val="bottom"/>
            <w:shd w:val="clear" w:color="auto" w:fill="F4F3F3"/>
          </w:tcPr>
          <w:p>
            <w:pPr>
              <w:spacing w:after="0"/>
              <w:rPr>
                <w:sz w:val="11"/>
                <w:szCs w:val="11"/>
                <w:color w:val="auto"/>
              </w:rPr>
            </w:pPr>
          </w:p>
        </w:tc>
        <w:tc>
          <w:tcPr>
            <w:tcW w:w="600" w:type="dxa"/>
            <w:vAlign w:val="bottom"/>
            <w:shd w:val="clear" w:color="auto" w:fill="F4F3F3"/>
          </w:tcPr>
          <w:p>
            <w:pPr>
              <w:spacing w:after="0"/>
              <w:rPr>
                <w:sz w:val="11"/>
                <w:szCs w:val="11"/>
                <w:color w:val="auto"/>
              </w:rPr>
            </w:pPr>
          </w:p>
        </w:tc>
        <w:tc>
          <w:tcPr>
            <w:tcW w:w="60" w:type="dxa"/>
            <w:vAlign w:val="bottom"/>
            <w:shd w:val="clear" w:color="auto" w:fill="F4F3F3"/>
          </w:tcPr>
          <w:p>
            <w:pPr>
              <w:spacing w:after="0"/>
              <w:rPr>
                <w:sz w:val="11"/>
                <w:szCs w:val="11"/>
                <w:color w:val="auto"/>
              </w:rPr>
            </w:pPr>
          </w:p>
        </w:tc>
        <w:tc>
          <w:tcPr>
            <w:tcW w:w="40" w:type="dxa"/>
            <w:vAlign w:val="bottom"/>
            <w:shd w:val="clear" w:color="auto" w:fill="F4F3F3"/>
          </w:tcPr>
          <w:p>
            <w:pPr>
              <w:spacing w:after="0"/>
              <w:rPr>
                <w:sz w:val="11"/>
                <w:szCs w:val="11"/>
                <w:color w:val="auto"/>
              </w:rPr>
            </w:pPr>
          </w:p>
        </w:tc>
        <w:tc>
          <w:tcPr>
            <w:tcW w:w="580" w:type="dxa"/>
            <w:vAlign w:val="bottom"/>
            <w:shd w:val="clear" w:color="auto" w:fill="F4F3F3"/>
          </w:tcPr>
          <w:p>
            <w:pPr>
              <w:jc w:val="right"/>
              <w:spacing w:after="0" w:line="135" w:lineRule="exact"/>
              <w:rPr>
                <w:sz w:val="20"/>
                <w:szCs w:val="20"/>
                <w:color w:val="auto"/>
              </w:rPr>
            </w:pPr>
            <w:r>
              <w:rPr>
                <w:rFonts w:ascii="Arial" w:cs="Arial" w:eastAsia="Arial" w:hAnsi="Arial"/>
                <w:sz w:val="13"/>
                <w:szCs w:val="13"/>
                <w:color w:val="auto"/>
              </w:rPr>
              <w:t>150,000</w:t>
            </w:r>
          </w:p>
        </w:tc>
        <w:tc>
          <w:tcPr>
            <w:tcW w:w="920" w:type="dxa"/>
            <w:vAlign w:val="bottom"/>
            <w:gridSpan w:val="2"/>
            <w:shd w:val="clear" w:color="auto" w:fill="F4F3F3"/>
          </w:tcPr>
          <w:p>
            <w:pPr>
              <w:jc w:val="right"/>
              <w:ind w:right="97"/>
              <w:spacing w:after="0" w:line="135" w:lineRule="exact"/>
              <w:rPr>
                <w:sz w:val="20"/>
                <w:szCs w:val="20"/>
                <w:color w:val="auto"/>
              </w:rPr>
            </w:pPr>
            <w:r>
              <w:rPr>
                <w:rFonts w:ascii="Arial" w:cs="Arial" w:eastAsia="Arial" w:hAnsi="Arial"/>
                <w:sz w:val="13"/>
                <w:szCs w:val="13"/>
                <w:color w:val="auto"/>
              </w:rPr>
              <w:t>600,000</w:t>
            </w:r>
          </w:p>
        </w:tc>
        <w:tc>
          <w:tcPr>
            <w:tcW w:w="680" w:type="dxa"/>
            <w:vAlign w:val="bottom"/>
            <w:shd w:val="clear" w:color="auto" w:fill="F4F3F3"/>
          </w:tcPr>
          <w:p>
            <w:pPr>
              <w:jc w:val="center"/>
              <w:spacing w:after="0" w:line="135" w:lineRule="exact"/>
              <w:rPr>
                <w:sz w:val="20"/>
                <w:szCs w:val="20"/>
                <w:color w:val="auto"/>
              </w:rPr>
            </w:pPr>
            <w:r>
              <w:rPr>
                <w:rFonts w:ascii="Arial" w:cs="Arial" w:eastAsia="Arial" w:hAnsi="Arial"/>
                <w:sz w:val="13"/>
                <w:szCs w:val="13"/>
                <w:color w:val="auto"/>
                <w:w w:val="96"/>
              </w:rPr>
              <w:t>1,200,000</w:t>
            </w:r>
          </w:p>
        </w:tc>
        <w:tc>
          <w:tcPr>
            <w:tcW w:w="60" w:type="dxa"/>
            <w:vAlign w:val="bottom"/>
            <w:shd w:val="clear" w:color="auto" w:fill="F4F3F3"/>
          </w:tcPr>
          <w:p>
            <w:pPr>
              <w:spacing w:after="0"/>
              <w:rPr>
                <w:sz w:val="11"/>
                <w:szCs w:val="11"/>
                <w:color w:val="auto"/>
              </w:rPr>
            </w:pPr>
          </w:p>
        </w:tc>
        <w:tc>
          <w:tcPr>
            <w:tcW w:w="60" w:type="dxa"/>
            <w:vAlign w:val="bottom"/>
            <w:shd w:val="clear" w:color="auto" w:fill="F4F3F3"/>
          </w:tcPr>
          <w:p>
            <w:pPr>
              <w:spacing w:after="0"/>
              <w:rPr>
                <w:sz w:val="11"/>
                <w:szCs w:val="11"/>
                <w:color w:val="auto"/>
              </w:rPr>
            </w:pPr>
          </w:p>
        </w:tc>
        <w:tc>
          <w:tcPr>
            <w:tcW w:w="58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F4F3F3"/>
          </w:tcPr>
          <w:p>
            <w:pPr>
              <w:spacing w:after="0"/>
              <w:rPr>
                <w:sz w:val="11"/>
                <w:szCs w:val="11"/>
                <w:color w:val="auto"/>
              </w:rPr>
            </w:pPr>
          </w:p>
        </w:tc>
        <w:tc>
          <w:tcPr>
            <w:tcW w:w="560" w:type="dxa"/>
            <w:vAlign w:val="bottom"/>
            <w:shd w:val="clear" w:color="auto" w:fill="F4F3F3"/>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F4F3F3"/>
          </w:tcPr>
          <w:p>
            <w:pPr>
              <w:ind w:left="42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F4F3F3"/>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F4F3F3"/>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jc w:val="center"/>
              <w:ind w:left="15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F4F3F3"/>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400" w:type="dxa"/>
            <w:vAlign w:val="bottom"/>
            <w:shd w:val="clear" w:color="auto" w:fill="F4F3F3"/>
          </w:tcPr>
          <w:p>
            <w:pPr>
              <w:ind w:left="180"/>
              <w:spacing w:after="0" w:line="135" w:lineRule="exact"/>
              <w:rPr>
                <w:sz w:val="20"/>
                <w:szCs w:val="20"/>
                <w:color w:val="auto"/>
              </w:rPr>
            </w:pPr>
            <w:r>
              <w:rPr>
                <w:rFonts w:ascii="Arial" w:cs="Arial" w:eastAsia="Arial" w:hAnsi="Arial"/>
                <w:sz w:val="13"/>
                <w:szCs w:val="13"/>
                <w:color w:val="auto"/>
              </w:rPr>
              <w:t>PSU</w:t>
            </w:r>
          </w:p>
        </w:tc>
        <w:tc>
          <w:tcPr>
            <w:tcW w:w="100" w:type="dxa"/>
            <w:vAlign w:val="bottom"/>
            <w:shd w:val="clear" w:color="auto" w:fill="F4F3F3"/>
          </w:tcPr>
          <w:p>
            <w:pPr>
              <w:spacing w:after="0"/>
              <w:rPr>
                <w:sz w:val="11"/>
                <w:szCs w:val="11"/>
                <w:color w:val="auto"/>
              </w:rPr>
            </w:pPr>
          </w:p>
        </w:tc>
        <w:tc>
          <w:tcPr>
            <w:tcW w:w="520" w:type="dxa"/>
            <w:vAlign w:val="bottom"/>
            <w:shd w:val="clear" w:color="auto" w:fill="F4F3F3"/>
          </w:tcPr>
          <w:p>
            <w:pPr>
              <w:ind w:left="20"/>
              <w:spacing w:after="0" w:line="135" w:lineRule="exact"/>
              <w:rPr>
                <w:sz w:val="20"/>
                <w:szCs w:val="20"/>
                <w:color w:val="auto"/>
              </w:rPr>
            </w:pPr>
            <w:r>
              <w:rPr>
                <w:rFonts w:ascii="Arial" w:cs="Arial" w:eastAsia="Arial" w:hAnsi="Arial"/>
                <w:sz w:val="13"/>
                <w:szCs w:val="13"/>
                <w:color w:val="auto"/>
              </w:rPr>
              <w:t>2/21/17</w:t>
            </w:r>
          </w:p>
        </w:tc>
        <w:tc>
          <w:tcPr>
            <w:tcW w:w="100" w:type="dxa"/>
            <w:vAlign w:val="bottom"/>
            <w:shd w:val="clear" w:color="auto" w:fill="F4F3F3"/>
          </w:tcPr>
          <w:p>
            <w:pPr>
              <w:spacing w:after="0"/>
              <w:rPr>
                <w:sz w:val="11"/>
                <w:szCs w:val="11"/>
                <w:color w:val="auto"/>
              </w:rPr>
            </w:pPr>
          </w:p>
        </w:tc>
        <w:tc>
          <w:tcPr>
            <w:tcW w:w="60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2/8/17</w:t>
            </w:r>
          </w:p>
        </w:tc>
        <w:tc>
          <w:tcPr>
            <w:tcW w:w="60" w:type="dxa"/>
            <w:vAlign w:val="bottom"/>
            <w:shd w:val="clear" w:color="auto" w:fill="F4F3F3"/>
          </w:tcPr>
          <w:p>
            <w:pPr>
              <w:spacing w:after="0"/>
              <w:rPr>
                <w:sz w:val="11"/>
                <w:szCs w:val="11"/>
                <w:color w:val="auto"/>
              </w:rPr>
            </w:pPr>
          </w:p>
        </w:tc>
        <w:tc>
          <w:tcPr>
            <w:tcW w:w="40" w:type="dxa"/>
            <w:vAlign w:val="bottom"/>
            <w:shd w:val="clear" w:color="auto" w:fill="F4F3F3"/>
          </w:tcPr>
          <w:p>
            <w:pPr>
              <w:spacing w:after="0"/>
              <w:rPr>
                <w:sz w:val="11"/>
                <w:szCs w:val="11"/>
                <w:color w:val="auto"/>
              </w:rPr>
            </w:pPr>
          </w:p>
        </w:tc>
        <w:tc>
          <w:tcPr>
            <w:tcW w:w="580" w:type="dxa"/>
            <w:vAlign w:val="bottom"/>
            <w:shd w:val="clear" w:color="auto" w:fill="F4F3F3"/>
          </w:tcPr>
          <w:p>
            <w:pPr>
              <w:ind w:left="38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F4F3F3"/>
          </w:tcPr>
          <w:p>
            <w:pPr>
              <w:spacing w:after="0"/>
              <w:rPr>
                <w:sz w:val="11"/>
                <w:szCs w:val="11"/>
                <w:color w:val="auto"/>
              </w:rPr>
            </w:pPr>
          </w:p>
        </w:tc>
        <w:tc>
          <w:tcPr>
            <w:tcW w:w="720" w:type="dxa"/>
            <w:vAlign w:val="bottom"/>
            <w:shd w:val="clear" w:color="auto" w:fill="F4F3F3"/>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ind w:left="40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3"/>
            <w:shd w:val="clear" w:color="auto" w:fill="F4F3F3"/>
          </w:tcPr>
          <w:p>
            <w:pPr>
              <w:jc w:val="right"/>
              <w:spacing w:after="0" w:line="135" w:lineRule="exact"/>
              <w:rPr>
                <w:sz w:val="20"/>
                <w:szCs w:val="20"/>
                <w:color w:val="auto"/>
              </w:rPr>
            </w:pPr>
            <w:r>
              <w:rPr>
                <w:rFonts w:ascii="Arial" w:cs="Arial" w:eastAsia="Arial" w:hAnsi="Arial"/>
                <w:sz w:val="13"/>
                <w:szCs w:val="13"/>
                <w:color w:val="auto"/>
              </w:rPr>
              <w:t>6,456</w:t>
            </w:r>
          </w:p>
        </w:tc>
        <w:tc>
          <w:tcPr>
            <w:tcW w:w="680" w:type="dxa"/>
            <w:vAlign w:val="bottom"/>
            <w:gridSpan w:val="2"/>
            <w:shd w:val="clear" w:color="auto" w:fill="F4F3F3"/>
          </w:tcPr>
          <w:p>
            <w:pPr>
              <w:jc w:val="right"/>
              <w:ind w:right="57"/>
              <w:spacing w:after="0" w:line="135" w:lineRule="exact"/>
              <w:rPr>
                <w:sz w:val="20"/>
                <w:szCs w:val="20"/>
                <w:color w:val="auto"/>
              </w:rPr>
            </w:pPr>
            <w:r>
              <w:rPr>
                <w:rFonts w:ascii="Arial" w:cs="Arial" w:eastAsia="Arial" w:hAnsi="Arial"/>
                <w:sz w:val="13"/>
                <w:szCs w:val="13"/>
                <w:color w:val="auto"/>
              </w:rPr>
              <w:t>12,912</w:t>
            </w:r>
          </w:p>
        </w:tc>
        <w:tc>
          <w:tcPr>
            <w:tcW w:w="820" w:type="dxa"/>
            <w:vAlign w:val="bottom"/>
            <w:shd w:val="clear" w:color="auto" w:fill="F4F3F3"/>
          </w:tcPr>
          <w:p>
            <w:pPr>
              <w:jc w:val="right"/>
              <w:ind w:right="137"/>
              <w:spacing w:after="0" w:line="135" w:lineRule="exact"/>
              <w:rPr>
                <w:sz w:val="20"/>
                <w:szCs w:val="20"/>
                <w:color w:val="auto"/>
              </w:rPr>
            </w:pPr>
            <w:r>
              <w:rPr>
                <w:rFonts w:ascii="Arial" w:cs="Arial" w:eastAsia="Arial" w:hAnsi="Arial"/>
                <w:sz w:val="13"/>
                <w:szCs w:val="13"/>
                <w:color w:val="auto"/>
              </w:rPr>
              <w:t>19,368</w:t>
            </w:r>
          </w:p>
        </w:tc>
        <w:tc>
          <w:tcPr>
            <w:tcW w:w="600" w:type="dxa"/>
            <w:vAlign w:val="bottom"/>
            <w:shd w:val="clear" w:color="auto" w:fill="F4F3F3"/>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F4F3F3"/>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jc w:val="center"/>
              <w:ind w:left="15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1,086,803</w:t>
            </w:r>
          </w:p>
        </w:tc>
        <w:tc>
          <w:tcPr>
            <w:tcW w:w="0" w:type="dxa"/>
            <w:vAlign w:val="bottom"/>
          </w:tcPr>
          <w:p>
            <w:pPr>
              <w:spacing w:after="0"/>
              <w:rPr>
                <w:sz w:val="1"/>
                <w:szCs w:val="1"/>
                <w:color w:val="auto"/>
              </w:rPr>
            </w:pPr>
          </w:p>
        </w:tc>
      </w:tr>
      <w:tr>
        <w:trPr>
          <w:trHeight w:val="135"/>
        </w:trPr>
        <w:tc>
          <w:tcPr>
            <w:tcW w:w="2400" w:type="dxa"/>
            <w:vAlign w:val="bottom"/>
            <w:shd w:val="clear" w:color="auto" w:fill="F4F3F3"/>
          </w:tcPr>
          <w:p>
            <w:pPr>
              <w:ind w:left="180"/>
              <w:spacing w:after="0" w:line="135" w:lineRule="exact"/>
              <w:rPr>
                <w:sz w:val="20"/>
                <w:szCs w:val="20"/>
                <w:color w:val="auto"/>
              </w:rPr>
            </w:pPr>
            <w:r>
              <w:rPr>
                <w:rFonts w:ascii="Arial" w:cs="Arial" w:eastAsia="Arial" w:hAnsi="Arial"/>
                <w:sz w:val="13"/>
                <w:szCs w:val="13"/>
                <w:color w:val="auto"/>
              </w:rPr>
              <w:t>RSU</w:t>
            </w:r>
          </w:p>
        </w:tc>
        <w:tc>
          <w:tcPr>
            <w:tcW w:w="100" w:type="dxa"/>
            <w:vAlign w:val="bottom"/>
            <w:shd w:val="clear" w:color="auto" w:fill="F4F3F3"/>
          </w:tcPr>
          <w:p>
            <w:pPr>
              <w:spacing w:after="0"/>
              <w:rPr>
                <w:sz w:val="11"/>
                <w:szCs w:val="11"/>
                <w:color w:val="auto"/>
              </w:rPr>
            </w:pPr>
          </w:p>
        </w:tc>
        <w:tc>
          <w:tcPr>
            <w:tcW w:w="520" w:type="dxa"/>
            <w:vAlign w:val="bottom"/>
            <w:shd w:val="clear" w:color="auto" w:fill="F4F3F3"/>
          </w:tcPr>
          <w:p>
            <w:pPr>
              <w:ind w:left="20"/>
              <w:spacing w:after="0" w:line="135" w:lineRule="exact"/>
              <w:rPr>
                <w:sz w:val="20"/>
                <w:szCs w:val="20"/>
                <w:color w:val="auto"/>
              </w:rPr>
            </w:pPr>
            <w:r>
              <w:rPr>
                <w:rFonts w:ascii="Arial" w:cs="Arial" w:eastAsia="Arial" w:hAnsi="Arial"/>
                <w:sz w:val="13"/>
                <w:szCs w:val="13"/>
                <w:color w:val="auto"/>
              </w:rPr>
              <w:t>2/21/17</w:t>
            </w:r>
          </w:p>
        </w:tc>
        <w:tc>
          <w:tcPr>
            <w:tcW w:w="100" w:type="dxa"/>
            <w:vAlign w:val="bottom"/>
            <w:shd w:val="clear" w:color="auto" w:fill="F4F3F3"/>
          </w:tcPr>
          <w:p>
            <w:pPr>
              <w:spacing w:after="0"/>
              <w:rPr>
                <w:sz w:val="11"/>
                <w:szCs w:val="11"/>
                <w:color w:val="auto"/>
              </w:rPr>
            </w:pPr>
          </w:p>
        </w:tc>
        <w:tc>
          <w:tcPr>
            <w:tcW w:w="60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2/8/17</w:t>
            </w:r>
          </w:p>
        </w:tc>
        <w:tc>
          <w:tcPr>
            <w:tcW w:w="60" w:type="dxa"/>
            <w:vAlign w:val="bottom"/>
            <w:shd w:val="clear" w:color="auto" w:fill="F4F3F3"/>
          </w:tcPr>
          <w:p>
            <w:pPr>
              <w:spacing w:after="0"/>
              <w:rPr>
                <w:sz w:val="11"/>
                <w:szCs w:val="11"/>
                <w:color w:val="auto"/>
              </w:rPr>
            </w:pPr>
          </w:p>
        </w:tc>
        <w:tc>
          <w:tcPr>
            <w:tcW w:w="40" w:type="dxa"/>
            <w:vAlign w:val="bottom"/>
            <w:shd w:val="clear" w:color="auto" w:fill="F4F3F3"/>
          </w:tcPr>
          <w:p>
            <w:pPr>
              <w:spacing w:after="0"/>
              <w:rPr>
                <w:sz w:val="11"/>
                <w:szCs w:val="11"/>
                <w:color w:val="auto"/>
              </w:rPr>
            </w:pPr>
          </w:p>
        </w:tc>
        <w:tc>
          <w:tcPr>
            <w:tcW w:w="580" w:type="dxa"/>
            <w:vAlign w:val="bottom"/>
            <w:shd w:val="clear" w:color="auto" w:fill="F4F3F3"/>
          </w:tcPr>
          <w:p>
            <w:pPr>
              <w:ind w:left="38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F4F3F3"/>
          </w:tcPr>
          <w:p>
            <w:pPr>
              <w:spacing w:after="0"/>
              <w:rPr>
                <w:sz w:val="11"/>
                <w:szCs w:val="11"/>
                <w:color w:val="auto"/>
              </w:rPr>
            </w:pPr>
          </w:p>
        </w:tc>
        <w:tc>
          <w:tcPr>
            <w:tcW w:w="720" w:type="dxa"/>
            <w:vAlign w:val="bottom"/>
            <w:shd w:val="clear" w:color="auto" w:fill="F4F3F3"/>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ind w:left="4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F4F3F3"/>
          </w:tcPr>
          <w:p>
            <w:pPr>
              <w:spacing w:after="0"/>
              <w:rPr>
                <w:sz w:val="11"/>
                <w:szCs w:val="11"/>
                <w:color w:val="auto"/>
              </w:rPr>
            </w:pPr>
          </w:p>
        </w:tc>
        <w:tc>
          <w:tcPr>
            <w:tcW w:w="60" w:type="dxa"/>
            <w:vAlign w:val="bottom"/>
            <w:shd w:val="clear" w:color="auto" w:fill="F4F3F3"/>
          </w:tcPr>
          <w:p>
            <w:pPr>
              <w:spacing w:after="0"/>
              <w:rPr>
                <w:sz w:val="11"/>
                <w:szCs w:val="11"/>
                <w:color w:val="auto"/>
              </w:rPr>
            </w:pPr>
          </w:p>
        </w:tc>
        <w:tc>
          <w:tcPr>
            <w:tcW w:w="58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F4F3F3"/>
          </w:tcPr>
          <w:p>
            <w:pPr>
              <w:spacing w:after="0"/>
              <w:rPr>
                <w:sz w:val="11"/>
                <w:szCs w:val="11"/>
                <w:color w:val="auto"/>
              </w:rPr>
            </w:pPr>
          </w:p>
        </w:tc>
        <w:tc>
          <w:tcPr>
            <w:tcW w:w="560" w:type="dxa"/>
            <w:vAlign w:val="bottom"/>
            <w:shd w:val="clear" w:color="auto" w:fill="F4F3F3"/>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F4F3F3"/>
          </w:tcPr>
          <w:p>
            <w:pPr>
              <w:ind w:left="42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9,684</w:t>
            </w:r>
          </w:p>
        </w:tc>
        <w:tc>
          <w:tcPr>
            <w:tcW w:w="780" w:type="dxa"/>
            <w:vAlign w:val="bottom"/>
            <w:shd w:val="clear" w:color="auto" w:fill="F4F3F3"/>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jc w:val="center"/>
              <w:ind w:left="15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829,435</w:t>
            </w:r>
          </w:p>
        </w:tc>
        <w:tc>
          <w:tcPr>
            <w:tcW w:w="0" w:type="dxa"/>
            <w:vAlign w:val="bottom"/>
          </w:tcPr>
          <w:p>
            <w:pPr>
              <w:spacing w:after="0"/>
              <w:rPr>
                <w:sz w:val="1"/>
                <w:szCs w:val="1"/>
                <w:color w:val="auto"/>
              </w:rPr>
            </w:pPr>
          </w:p>
        </w:tc>
      </w:tr>
      <w:tr>
        <w:trPr>
          <w:trHeight w:val="170"/>
        </w:trPr>
        <w:tc>
          <w:tcPr>
            <w:tcW w:w="2400" w:type="dxa"/>
            <w:vAlign w:val="bottom"/>
            <w:shd w:val="clear" w:color="auto" w:fill="F4F3F3"/>
          </w:tcPr>
          <w:p>
            <w:pPr>
              <w:ind w:left="180"/>
              <w:spacing w:after="0"/>
              <w:rPr>
                <w:sz w:val="20"/>
                <w:szCs w:val="20"/>
                <w:color w:val="auto"/>
              </w:rPr>
            </w:pPr>
            <w:r>
              <w:rPr>
                <w:rFonts w:ascii="Arial" w:cs="Arial" w:eastAsia="Arial" w:hAnsi="Arial"/>
                <w:sz w:val="13"/>
                <w:szCs w:val="13"/>
                <w:color w:val="auto"/>
              </w:rPr>
              <w:t>SAR</w:t>
            </w:r>
          </w:p>
        </w:tc>
        <w:tc>
          <w:tcPr>
            <w:tcW w:w="100" w:type="dxa"/>
            <w:vAlign w:val="bottom"/>
            <w:shd w:val="clear" w:color="auto" w:fill="F4F3F3"/>
          </w:tcPr>
          <w:p>
            <w:pPr>
              <w:spacing w:after="0"/>
              <w:rPr>
                <w:sz w:val="14"/>
                <w:szCs w:val="14"/>
                <w:color w:val="auto"/>
              </w:rPr>
            </w:pPr>
          </w:p>
        </w:tc>
        <w:tc>
          <w:tcPr>
            <w:tcW w:w="520" w:type="dxa"/>
            <w:vAlign w:val="bottom"/>
            <w:shd w:val="clear" w:color="auto" w:fill="F4F3F3"/>
          </w:tcPr>
          <w:p>
            <w:pPr>
              <w:ind w:left="20"/>
              <w:spacing w:after="0"/>
              <w:rPr>
                <w:sz w:val="20"/>
                <w:szCs w:val="20"/>
                <w:color w:val="auto"/>
              </w:rPr>
            </w:pPr>
            <w:r>
              <w:rPr>
                <w:rFonts w:ascii="Arial" w:cs="Arial" w:eastAsia="Arial" w:hAnsi="Arial"/>
                <w:sz w:val="13"/>
                <w:szCs w:val="13"/>
                <w:color w:val="auto"/>
              </w:rPr>
              <w:t>2/21/17</w:t>
            </w:r>
          </w:p>
        </w:tc>
        <w:tc>
          <w:tcPr>
            <w:tcW w:w="100" w:type="dxa"/>
            <w:vAlign w:val="bottom"/>
            <w:shd w:val="clear" w:color="auto" w:fill="F4F3F3"/>
          </w:tcPr>
          <w:p>
            <w:pPr>
              <w:spacing w:after="0"/>
              <w:rPr>
                <w:sz w:val="14"/>
                <w:szCs w:val="14"/>
                <w:color w:val="auto"/>
              </w:rPr>
            </w:pPr>
          </w:p>
        </w:tc>
        <w:tc>
          <w:tcPr>
            <w:tcW w:w="60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2/8/17</w:t>
            </w:r>
          </w:p>
        </w:tc>
        <w:tc>
          <w:tcPr>
            <w:tcW w:w="60" w:type="dxa"/>
            <w:vAlign w:val="bottom"/>
            <w:shd w:val="clear" w:color="auto" w:fill="F4F3F3"/>
          </w:tcPr>
          <w:p>
            <w:pPr>
              <w:spacing w:after="0"/>
              <w:rPr>
                <w:sz w:val="14"/>
                <w:szCs w:val="14"/>
                <w:color w:val="auto"/>
              </w:rPr>
            </w:pPr>
          </w:p>
        </w:tc>
        <w:tc>
          <w:tcPr>
            <w:tcW w:w="40" w:type="dxa"/>
            <w:vAlign w:val="bottom"/>
            <w:shd w:val="clear" w:color="auto" w:fill="F4F3F3"/>
          </w:tcPr>
          <w:p>
            <w:pPr>
              <w:spacing w:after="0"/>
              <w:rPr>
                <w:sz w:val="14"/>
                <w:szCs w:val="14"/>
                <w:color w:val="auto"/>
              </w:rPr>
            </w:pPr>
          </w:p>
        </w:tc>
        <w:tc>
          <w:tcPr>
            <w:tcW w:w="580" w:type="dxa"/>
            <w:vAlign w:val="bottom"/>
            <w:shd w:val="clear" w:color="auto" w:fill="F4F3F3"/>
          </w:tcPr>
          <w:p>
            <w:pPr>
              <w:ind w:left="380"/>
              <w:spacing w:after="0"/>
              <w:rPr>
                <w:sz w:val="20"/>
                <w:szCs w:val="20"/>
                <w:color w:val="auto"/>
              </w:rPr>
            </w:pPr>
            <w:r>
              <w:rPr>
                <w:rFonts w:ascii="Arial" w:cs="Arial" w:eastAsia="Arial" w:hAnsi="Arial"/>
                <w:sz w:val="13"/>
                <w:szCs w:val="13"/>
                <w:color w:val="auto"/>
              </w:rPr>
              <w:t>—</w:t>
            </w:r>
          </w:p>
        </w:tc>
        <w:tc>
          <w:tcPr>
            <w:tcW w:w="200" w:type="dxa"/>
            <w:vAlign w:val="bottom"/>
            <w:shd w:val="clear" w:color="auto" w:fill="F4F3F3"/>
          </w:tcPr>
          <w:p>
            <w:pPr>
              <w:spacing w:after="0"/>
              <w:rPr>
                <w:sz w:val="14"/>
                <w:szCs w:val="14"/>
                <w:color w:val="auto"/>
              </w:rPr>
            </w:pPr>
          </w:p>
        </w:tc>
        <w:tc>
          <w:tcPr>
            <w:tcW w:w="720" w:type="dxa"/>
            <w:vAlign w:val="bottom"/>
            <w:shd w:val="clear" w:color="auto" w:fill="F4F3F3"/>
          </w:tcPr>
          <w:p>
            <w:pPr>
              <w:jc w:val="right"/>
              <w:ind w:right="177"/>
              <w:spacing w:after="0"/>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ind w:left="400"/>
              <w:spacing w:after="0"/>
              <w:rPr>
                <w:sz w:val="20"/>
                <w:szCs w:val="20"/>
                <w:color w:val="auto"/>
              </w:rPr>
            </w:pPr>
            <w:r>
              <w:rPr>
                <w:rFonts w:ascii="Arial" w:cs="Arial" w:eastAsia="Arial" w:hAnsi="Arial"/>
                <w:sz w:val="13"/>
                <w:szCs w:val="13"/>
                <w:color w:val="auto"/>
              </w:rPr>
              <w:t>—</w:t>
            </w:r>
          </w:p>
        </w:tc>
        <w:tc>
          <w:tcPr>
            <w:tcW w:w="60" w:type="dxa"/>
            <w:vAlign w:val="bottom"/>
            <w:shd w:val="clear" w:color="auto" w:fill="F4F3F3"/>
          </w:tcPr>
          <w:p>
            <w:pPr>
              <w:spacing w:after="0"/>
              <w:rPr>
                <w:sz w:val="14"/>
                <w:szCs w:val="14"/>
                <w:color w:val="auto"/>
              </w:rPr>
            </w:pPr>
          </w:p>
        </w:tc>
        <w:tc>
          <w:tcPr>
            <w:tcW w:w="60" w:type="dxa"/>
            <w:vAlign w:val="bottom"/>
            <w:shd w:val="clear" w:color="auto" w:fill="F4F3F3"/>
          </w:tcPr>
          <w:p>
            <w:pPr>
              <w:spacing w:after="0"/>
              <w:rPr>
                <w:sz w:val="14"/>
                <w:szCs w:val="14"/>
                <w:color w:val="auto"/>
              </w:rPr>
            </w:pPr>
          </w:p>
        </w:tc>
        <w:tc>
          <w:tcPr>
            <w:tcW w:w="58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shd w:val="clear" w:color="auto" w:fill="F4F3F3"/>
          </w:tcPr>
          <w:p>
            <w:pPr>
              <w:spacing w:after="0"/>
              <w:rPr>
                <w:sz w:val="14"/>
                <w:szCs w:val="14"/>
                <w:color w:val="auto"/>
              </w:rPr>
            </w:pPr>
          </w:p>
        </w:tc>
        <w:tc>
          <w:tcPr>
            <w:tcW w:w="560" w:type="dxa"/>
            <w:vAlign w:val="bottom"/>
            <w:shd w:val="clear" w:color="auto" w:fill="F4F3F3"/>
          </w:tcPr>
          <w:p>
            <w:pPr>
              <w:jc w:val="right"/>
              <w:ind w:right="117"/>
              <w:spacing w:after="0"/>
              <w:rPr>
                <w:sz w:val="20"/>
                <w:szCs w:val="20"/>
                <w:color w:val="auto"/>
              </w:rPr>
            </w:pPr>
            <w:r>
              <w:rPr>
                <w:rFonts w:ascii="Arial" w:cs="Arial" w:eastAsia="Arial" w:hAnsi="Arial"/>
                <w:sz w:val="13"/>
                <w:szCs w:val="13"/>
                <w:color w:val="auto"/>
              </w:rPr>
              <w:t>—</w:t>
            </w:r>
          </w:p>
        </w:tc>
        <w:tc>
          <w:tcPr>
            <w:tcW w:w="820" w:type="dxa"/>
            <w:vAlign w:val="bottom"/>
            <w:shd w:val="clear" w:color="auto" w:fill="F4F3F3"/>
          </w:tcPr>
          <w:p>
            <w:pPr>
              <w:ind w:left="420"/>
              <w:spacing w:after="0"/>
              <w:rPr>
                <w:sz w:val="20"/>
                <w:szCs w:val="20"/>
                <w:color w:val="auto"/>
              </w:rPr>
            </w:pPr>
            <w:r>
              <w:rPr>
                <w:rFonts w:ascii="Arial" w:cs="Arial" w:eastAsia="Arial" w:hAnsi="Arial"/>
                <w:sz w:val="13"/>
                <w:szCs w:val="13"/>
                <w:color w:val="auto"/>
              </w:rPr>
              <w:t>—</w:t>
            </w:r>
          </w:p>
        </w:tc>
        <w:tc>
          <w:tcPr>
            <w:tcW w:w="600" w:type="dxa"/>
            <w:vAlign w:val="bottom"/>
            <w:shd w:val="clear" w:color="auto" w:fill="F4F3F3"/>
          </w:tcPr>
          <w:p>
            <w:pPr>
              <w:jc w:val="right"/>
              <w:ind w:right="97"/>
              <w:spacing w:after="0"/>
              <w:rPr>
                <w:sz w:val="20"/>
                <w:szCs w:val="20"/>
                <w:color w:val="auto"/>
              </w:rPr>
            </w:pPr>
            <w:r>
              <w:rPr>
                <w:rFonts w:ascii="Arial" w:cs="Arial" w:eastAsia="Arial" w:hAnsi="Arial"/>
                <w:sz w:val="13"/>
                <w:szCs w:val="13"/>
                <w:color w:val="auto"/>
              </w:rPr>
              <w:t>—</w:t>
            </w:r>
          </w:p>
        </w:tc>
        <w:tc>
          <w:tcPr>
            <w:tcW w:w="780" w:type="dxa"/>
            <w:vAlign w:val="bottom"/>
            <w:shd w:val="clear" w:color="auto" w:fill="F4F3F3"/>
          </w:tcPr>
          <w:p>
            <w:pPr>
              <w:jc w:val="right"/>
              <w:spacing w:after="0"/>
              <w:rPr>
                <w:sz w:val="20"/>
                <w:szCs w:val="20"/>
                <w:color w:val="auto"/>
              </w:rPr>
            </w:pPr>
            <w:r>
              <w:rPr>
                <w:rFonts w:ascii="Arial" w:cs="Arial" w:eastAsia="Arial" w:hAnsi="Arial"/>
                <w:sz w:val="13"/>
                <w:szCs w:val="13"/>
                <w:color w:val="auto"/>
              </w:rPr>
              <w:t>28,341</w:t>
            </w:r>
          </w:p>
        </w:tc>
        <w:tc>
          <w:tcPr>
            <w:tcW w:w="680" w:type="dxa"/>
            <w:vAlign w:val="bottom"/>
            <w:shd w:val="clear" w:color="auto" w:fill="F4F3F3"/>
          </w:tcPr>
          <w:p>
            <w:pPr>
              <w:jc w:val="center"/>
              <w:ind w:left="97"/>
              <w:spacing w:after="0"/>
              <w:rPr>
                <w:sz w:val="20"/>
                <w:szCs w:val="20"/>
                <w:color w:val="auto"/>
              </w:rPr>
            </w:pPr>
            <w:r>
              <w:rPr>
                <w:rFonts w:ascii="Arial" w:cs="Arial" w:eastAsia="Arial" w:hAnsi="Arial"/>
                <w:sz w:val="13"/>
                <w:szCs w:val="13"/>
                <w:color w:val="auto"/>
                <w:w w:val="98"/>
              </w:rPr>
              <w:t>88.31</w:t>
            </w:r>
          </w:p>
        </w:tc>
        <w:tc>
          <w:tcPr>
            <w:tcW w:w="74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891,608</w:t>
            </w:r>
          </w:p>
        </w:tc>
        <w:tc>
          <w:tcPr>
            <w:tcW w:w="0" w:type="dxa"/>
            <w:vAlign w:val="bottom"/>
          </w:tcPr>
          <w:p>
            <w:pPr>
              <w:spacing w:after="0"/>
              <w:rPr>
                <w:sz w:val="1"/>
                <w:szCs w:val="1"/>
                <w:color w:val="auto"/>
              </w:rPr>
            </w:pPr>
          </w:p>
        </w:tc>
      </w:tr>
      <w:tr>
        <w:trPr>
          <w:trHeight w:val="127"/>
        </w:trPr>
        <w:tc>
          <w:tcPr>
            <w:tcW w:w="2400" w:type="dxa"/>
            <w:vAlign w:val="bottom"/>
            <w:shd w:val="clear" w:color="auto" w:fill="F4F3F3"/>
          </w:tcPr>
          <w:p>
            <w:pPr>
              <w:ind w:left="60"/>
              <w:spacing w:after="0" w:line="127" w:lineRule="exact"/>
              <w:rPr>
                <w:sz w:val="20"/>
                <w:szCs w:val="20"/>
                <w:color w:val="auto"/>
              </w:rPr>
            </w:pPr>
            <w:r>
              <w:rPr>
                <w:rFonts w:ascii="Arial" w:cs="Arial" w:eastAsia="Arial" w:hAnsi="Arial"/>
                <w:sz w:val="13"/>
                <w:szCs w:val="13"/>
                <w:color w:val="998C87"/>
              </w:rPr>
              <w:t>Mr. Grissen</w:t>
            </w:r>
          </w:p>
        </w:tc>
        <w:tc>
          <w:tcPr>
            <w:tcW w:w="100" w:type="dxa"/>
            <w:vAlign w:val="bottom"/>
            <w:shd w:val="clear" w:color="auto" w:fill="F4F3F3"/>
          </w:tcPr>
          <w:p>
            <w:pPr>
              <w:spacing w:after="0"/>
              <w:rPr>
                <w:sz w:val="11"/>
                <w:szCs w:val="11"/>
                <w:color w:val="auto"/>
              </w:rPr>
            </w:pPr>
          </w:p>
        </w:tc>
        <w:tc>
          <w:tcPr>
            <w:tcW w:w="520" w:type="dxa"/>
            <w:vAlign w:val="bottom"/>
            <w:shd w:val="clear" w:color="auto" w:fill="F4F3F3"/>
          </w:tcPr>
          <w:p>
            <w:pPr>
              <w:spacing w:after="0"/>
              <w:rPr>
                <w:sz w:val="11"/>
                <w:szCs w:val="11"/>
                <w:color w:val="auto"/>
              </w:rPr>
            </w:pPr>
          </w:p>
        </w:tc>
        <w:tc>
          <w:tcPr>
            <w:tcW w:w="100" w:type="dxa"/>
            <w:vAlign w:val="bottom"/>
            <w:shd w:val="clear" w:color="auto" w:fill="F4F3F3"/>
          </w:tcPr>
          <w:p>
            <w:pPr>
              <w:spacing w:after="0"/>
              <w:rPr>
                <w:sz w:val="11"/>
                <w:szCs w:val="11"/>
                <w:color w:val="auto"/>
              </w:rPr>
            </w:pPr>
          </w:p>
        </w:tc>
        <w:tc>
          <w:tcPr>
            <w:tcW w:w="600" w:type="dxa"/>
            <w:vAlign w:val="bottom"/>
            <w:shd w:val="clear" w:color="auto" w:fill="F4F3F3"/>
          </w:tcPr>
          <w:p>
            <w:pPr>
              <w:spacing w:after="0"/>
              <w:rPr>
                <w:sz w:val="11"/>
                <w:szCs w:val="11"/>
                <w:color w:val="auto"/>
              </w:rPr>
            </w:pPr>
          </w:p>
        </w:tc>
        <w:tc>
          <w:tcPr>
            <w:tcW w:w="60" w:type="dxa"/>
            <w:vAlign w:val="bottom"/>
            <w:shd w:val="clear" w:color="auto" w:fill="F4F3F3"/>
          </w:tcPr>
          <w:p>
            <w:pPr>
              <w:spacing w:after="0"/>
              <w:rPr>
                <w:sz w:val="11"/>
                <w:szCs w:val="11"/>
                <w:color w:val="auto"/>
              </w:rPr>
            </w:pPr>
          </w:p>
        </w:tc>
        <w:tc>
          <w:tcPr>
            <w:tcW w:w="40" w:type="dxa"/>
            <w:vAlign w:val="bottom"/>
            <w:shd w:val="clear" w:color="auto" w:fill="F4F3F3"/>
          </w:tcPr>
          <w:p>
            <w:pPr>
              <w:spacing w:after="0"/>
              <w:rPr>
                <w:sz w:val="11"/>
                <w:szCs w:val="11"/>
                <w:color w:val="auto"/>
              </w:rPr>
            </w:pPr>
          </w:p>
        </w:tc>
        <w:tc>
          <w:tcPr>
            <w:tcW w:w="580" w:type="dxa"/>
            <w:vAlign w:val="bottom"/>
            <w:shd w:val="clear" w:color="auto" w:fill="F4F3F3"/>
          </w:tcPr>
          <w:p>
            <w:pPr>
              <w:spacing w:after="0"/>
              <w:rPr>
                <w:sz w:val="11"/>
                <w:szCs w:val="11"/>
                <w:color w:val="auto"/>
              </w:rPr>
            </w:pPr>
          </w:p>
        </w:tc>
        <w:tc>
          <w:tcPr>
            <w:tcW w:w="200" w:type="dxa"/>
            <w:vAlign w:val="bottom"/>
            <w:shd w:val="clear" w:color="auto" w:fill="F4F3F3"/>
          </w:tcPr>
          <w:p>
            <w:pPr>
              <w:spacing w:after="0"/>
              <w:rPr>
                <w:sz w:val="11"/>
                <w:szCs w:val="11"/>
                <w:color w:val="auto"/>
              </w:rPr>
            </w:pPr>
          </w:p>
        </w:tc>
        <w:tc>
          <w:tcPr>
            <w:tcW w:w="720" w:type="dxa"/>
            <w:vAlign w:val="bottom"/>
            <w:shd w:val="clear" w:color="auto" w:fill="F4F3F3"/>
          </w:tcPr>
          <w:p>
            <w:pPr>
              <w:spacing w:after="0"/>
              <w:rPr>
                <w:sz w:val="11"/>
                <w:szCs w:val="11"/>
                <w:color w:val="auto"/>
              </w:rPr>
            </w:pPr>
          </w:p>
        </w:tc>
        <w:tc>
          <w:tcPr>
            <w:tcW w:w="680" w:type="dxa"/>
            <w:vAlign w:val="bottom"/>
            <w:shd w:val="clear" w:color="auto" w:fill="F4F3F3"/>
          </w:tcPr>
          <w:p>
            <w:pPr>
              <w:spacing w:after="0"/>
              <w:rPr>
                <w:sz w:val="11"/>
                <w:szCs w:val="11"/>
                <w:color w:val="auto"/>
              </w:rPr>
            </w:pPr>
          </w:p>
        </w:tc>
        <w:tc>
          <w:tcPr>
            <w:tcW w:w="60" w:type="dxa"/>
            <w:vAlign w:val="bottom"/>
            <w:shd w:val="clear" w:color="auto" w:fill="F4F3F3"/>
          </w:tcPr>
          <w:p>
            <w:pPr>
              <w:spacing w:after="0"/>
              <w:rPr>
                <w:sz w:val="11"/>
                <w:szCs w:val="11"/>
                <w:color w:val="auto"/>
              </w:rPr>
            </w:pPr>
          </w:p>
        </w:tc>
        <w:tc>
          <w:tcPr>
            <w:tcW w:w="60" w:type="dxa"/>
            <w:vAlign w:val="bottom"/>
            <w:shd w:val="clear" w:color="auto" w:fill="F4F3F3"/>
          </w:tcPr>
          <w:p>
            <w:pPr>
              <w:spacing w:after="0"/>
              <w:rPr>
                <w:sz w:val="11"/>
                <w:szCs w:val="11"/>
                <w:color w:val="auto"/>
              </w:rPr>
            </w:pPr>
          </w:p>
        </w:tc>
        <w:tc>
          <w:tcPr>
            <w:tcW w:w="580" w:type="dxa"/>
            <w:vAlign w:val="bottom"/>
            <w:shd w:val="clear" w:color="auto" w:fill="F4F3F3"/>
          </w:tcPr>
          <w:p>
            <w:pPr>
              <w:spacing w:after="0"/>
              <w:rPr>
                <w:sz w:val="11"/>
                <w:szCs w:val="11"/>
                <w:color w:val="auto"/>
              </w:rPr>
            </w:pPr>
          </w:p>
        </w:tc>
        <w:tc>
          <w:tcPr>
            <w:tcW w:w="120" w:type="dxa"/>
            <w:vAlign w:val="bottom"/>
            <w:shd w:val="clear" w:color="auto" w:fill="F4F3F3"/>
          </w:tcPr>
          <w:p>
            <w:pPr>
              <w:spacing w:after="0"/>
              <w:rPr>
                <w:sz w:val="11"/>
                <w:szCs w:val="11"/>
                <w:color w:val="auto"/>
              </w:rPr>
            </w:pPr>
          </w:p>
        </w:tc>
        <w:tc>
          <w:tcPr>
            <w:tcW w:w="560" w:type="dxa"/>
            <w:vAlign w:val="bottom"/>
            <w:shd w:val="clear" w:color="auto" w:fill="F4F3F3"/>
          </w:tcPr>
          <w:p>
            <w:pPr>
              <w:spacing w:after="0"/>
              <w:rPr>
                <w:sz w:val="11"/>
                <w:szCs w:val="11"/>
                <w:color w:val="auto"/>
              </w:rPr>
            </w:pPr>
          </w:p>
        </w:tc>
        <w:tc>
          <w:tcPr>
            <w:tcW w:w="820" w:type="dxa"/>
            <w:vAlign w:val="bottom"/>
            <w:shd w:val="clear" w:color="auto" w:fill="F4F3F3"/>
          </w:tcPr>
          <w:p>
            <w:pPr>
              <w:spacing w:after="0"/>
              <w:rPr>
                <w:sz w:val="11"/>
                <w:szCs w:val="11"/>
                <w:color w:val="auto"/>
              </w:rPr>
            </w:pPr>
          </w:p>
        </w:tc>
        <w:tc>
          <w:tcPr>
            <w:tcW w:w="600" w:type="dxa"/>
            <w:vAlign w:val="bottom"/>
            <w:shd w:val="clear" w:color="auto" w:fill="F4F3F3"/>
          </w:tcPr>
          <w:p>
            <w:pPr>
              <w:spacing w:after="0"/>
              <w:rPr>
                <w:sz w:val="11"/>
                <w:szCs w:val="11"/>
                <w:color w:val="auto"/>
              </w:rPr>
            </w:pPr>
          </w:p>
        </w:tc>
        <w:tc>
          <w:tcPr>
            <w:tcW w:w="780" w:type="dxa"/>
            <w:vAlign w:val="bottom"/>
            <w:shd w:val="clear" w:color="auto" w:fill="F4F3F3"/>
          </w:tcPr>
          <w:p>
            <w:pPr>
              <w:spacing w:after="0"/>
              <w:rPr>
                <w:sz w:val="11"/>
                <w:szCs w:val="11"/>
                <w:color w:val="auto"/>
              </w:rPr>
            </w:pPr>
          </w:p>
        </w:tc>
        <w:tc>
          <w:tcPr>
            <w:tcW w:w="680" w:type="dxa"/>
            <w:vAlign w:val="bottom"/>
            <w:shd w:val="clear" w:color="auto" w:fill="F4F3F3"/>
          </w:tcPr>
          <w:p>
            <w:pPr>
              <w:spacing w:after="0"/>
              <w:rPr>
                <w:sz w:val="11"/>
                <w:szCs w:val="11"/>
                <w:color w:val="auto"/>
              </w:rPr>
            </w:pPr>
          </w:p>
        </w:tc>
        <w:tc>
          <w:tcPr>
            <w:tcW w:w="740" w:type="dxa"/>
            <w:vAlign w:val="bottom"/>
            <w:shd w:val="clear" w:color="auto" w:fill="F4F3F3"/>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00" w:type="dxa"/>
            <w:vAlign w:val="bottom"/>
            <w:shd w:val="clear" w:color="auto" w:fill="F4F3F3"/>
          </w:tcPr>
          <w:p>
            <w:pPr>
              <w:ind w:left="180"/>
              <w:spacing w:after="0" w:line="135" w:lineRule="exact"/>
              <w:rPr>
                <w:sz w:val="20"/>
                <w:szCs w:val="20"/>
                <w:color w:val="auto"/>
              </w:rPr>
            </w:pPr>
            <w:r>
              <w:rPr>
                <w:rFonts w:ascii="Arial" w:cs="Arial" w:eastAsia="Arial" w:hAnsi="Arial"/>
                <w:sz w:val="13"/>
                <w:szCs w:val="13"/>
                <w:color w:val="auto"/>
              </w:rPr>
              <w:t>Cash Incentive</w:t>
            </w:r>
          </w:p>
        </w:tc>
        <w:tc>
          <w:tcPr>
            <w:tcW w:w="100" w:type="dxa"/>
            <w:vAlign w:val="bottom"/>
            <w:shd w:val="clear" w:color="auto" w:fill="F4F3F3"/>
          </w:tcPr>
          <w:p>
            <w:pPr>
              <w:spacing w:after="0"/>
              <w:rPr>
                <w:sz w:val="11"/>
                <w:szCs w:val="11"/>
                <w:color w:val="auto"/>
              </w:rPr>
            </w:pPr>
          </w:p>
        </w:tc>
        <w:tc>
          <w:tcPr>
            <w:tcW w:w="520" w:type="dxa"/>
            <w:vAlign w:val="bottom"/>
            <w:shd w:val="clear" w:color="auto" w:fill="F4F3F3"/>
          </w:tcPr>
          <w:p>
            <w:pPr>
              <w:spacing w:after="0"/>
              <w:rPr>
                <w:sz w:val="11"/>
                <w:szCs w:val="11"/>
                <w:color w:val="auto"/>
              </w:rPr>
            </w:pPr>
          </w:p>
        </w:tc>
        <w:tc>
          <w:tcPr>
            <w:tcW w:w="100" w:type="dxa"/>
            <w:vAlign w:val="bottom"/>
            <w:shd w:val="clear" w:color="auto" w:fill="F4F3F3"/>
          </w:tcPr>
          <w:p>
            <w:pPr>
              <w:spacing w:after="0"/>
              <w:rPr>
                <w:sz w:val="11"/>
                <w:szCs w:val="11"/>
                <w:color w:val="auto"/>
              </w:rPr>
            </w:pPr>
          </w:p>
        </w:tc>
        <w:tc>
          <w:tcPr>
            <w:tcW w:w="600" w:type="dxa"/>
            <w:vAlign w:val="bottom"/>
            <w:shd w:val="clear" w:color="auto" w:fill="F4F3F3"/>
          </w:tcPr>
          <w:p>
            <w:pPr>
              <w:spacing w:after="0"/>
              <w:rPr>
                <w:sz w:val="11"/>
                <w:szCs w:val="11"/>
                <w:color w:val="auto"/>
              </w:rPr>
            </w:pPr>
          </w:p>
        </w:tc>
        <w:tc>
          <w:tcPr>
            <w:tcW w:w="60" w:type="dxa"/>
            <w:vAlign w:val="bottom"/>
            <w:shd w:val="clear" w:color="auto" w:fill="F4F3F3"/>
          </w:tcPr>
          <w:p>
            <w:pPr>
              <w:spacing w:after="0"/>
              <w:rPr>
                <w:sz w:val="11"/>
                <w:szCs w:val="11"/>
                <w:color w:val="auto"/>
              </w:rPr>
            </w:pPr>
          </w:p>
        </w:tc>
        <w:tc>
          <w:tcPr>
            <w:tcW w:w="40" w:type="dxa"/>
            <w:vAlign w:val="bottom"/>
            <w:shd w:val="clear" w:color="auto" w:fill="F4F3F3"/>
          </w:tcPr>
          <w:p>
            <w:pPr>
              <w:spacing w:after="0"/>
              <w:rPr>
                <w:sz w:val="11"/>
                <w:szCs w:val="11"/>
                <w:color w:val="auto"/>
              </w:rPr>
            </w:pPr>
          </w:p>
        </w:tc>
        <w:tc>
          <w:tcPr>
            <w:tcW w:w="580" w:type="dxa"/>
            <w:vAlign w:val="bottom"/>
            <w:shd w:val="clear" w:color="auto" w:fill="F4F3F3"/>
          </w:tcPr>
          <w:p>
            <w:pPr>
              <w:jc w:val="right"/>
              <w:spacing w:after="0" w:line="135" w:lineRule="exact"/>
              <w:rPr>
                <w:sz w:val="20"/>
                <w:szCs w:val="20"/>
                <w:color w:val="auto"/>
              </w:rPr>
            </w:pPr>
            <w:r>
              <w:rPr>
                <w:rFonts w:ascii="Arial" w:cs="Arial" w:eastAsia="Arial" w:hAnsi="Arial"/>
                <w:sz w:val="13"/>
                <w:szCs w:val="13"/>
                <w:color w:val="auto"/>
              </w:rPr>
              <w:t>127,500</w:t>
            </w:r>
          </w:p>
        </w:tc>
        <w:tc>
          <w:tcPr>
            <w:tcW w:w="200" w:type="dxa"/>
            <w:vAlign w:val="bottom"/>
            <w:shd w:val="clear" w:color="auto" w:fill="F4F3F3"/>
          </w:tcPr>
          <w:p>
            <w:pPr>
              <w:spacing w:after="0"/>
              <w:rPr>
                <w:sz w:val="11"/>
                <w:szCs w:val="11"/>
                <w:color w:val="auto"/>
              </w:rPr>
            </w:pPr>
          </w:p>
        </w:tc>
        <w:tc>
          <w:tcPr>
            <w:tcW w:w="720" w:type="dxa"/>
            <w:vAlign w:val="bottom"/>
            <w:shd w:val="clear" w:color="auto" w:fill="F4F3F3"/>
          </w:tcPr>
          <w:p>
            <w:pPr>
              <w:jc w:val="right"/>
              <w:ind w:right="97"/>
              <w:spacing w:after="0" w:line="135" w:lineRule="exact"/>
              <w:rPr>
                <w:sz w:val="20"/>
                <w:szCs w:val="20"/>
                <w:color w:val="auto"/>
              </w:rPr>
            </w:pPr>
            <w:r>
              <w:rPr>
                <w:rFonts w:ascii="Arial" w:cs="Arial" w:eastAsia="Arial" w:hAnsi="Arial"/>
                <w:sz w:val="13"/>
                <w:szCs w:val="13"/>
                <w:color w:val="auto"/>
              </w:rPr>
              <w:t>600,000</w:t>
            </w:r>
          </w:p>
        </w:tc>
        <w:tc>
          <w:tcPr>
            <w:tcW w:w="680" w:type="dxa"/>
            <w:vAlign w:val="bottom"/>
            <w:shd w:val="clear" w:color="auto" w:fill="F4F3F3"/>
          </w:tcPr>
          <w:p>
            <w:pPr>
              <w:jc w:val="center"/>
              <w:spacing w:after="0" w:line="135" w:lineRule="exact"/>
              <w:rPr>
                <w:sz w:val="20"/>
                <w:szCs w:val="20"/>
                <w:color w:val="auto"/>
              </w:rPr>
            </w:pPr>
            <w:r>
              <w:rPr>
                <w:rFonts w:ascii="Arial" w:cs="Arial" w:eastAsia="Arial" w:hAnsi="Arial"/>
                <w:sz w:val="13"/>
                <w:szCs w:val="13"/>
                <w:color w:val="auto"/>
                <w:w w:val="96"/>
              </w:rPr>
              <w:t>1,200,000</w:t>
            </w:r>
          </w:p>
        </w:tc>
        <w:tc>
          <w:tcPr>
            <w:tcW w:w="60" w:type="dxa"/>
            <w:vAlign w:val="bottom"/>
            <w:shd w:val="clear" w:color="auto" w:fill="F4F3F3"/>
          </w:tcPr>
          <w:p>
            <w:pPr>
              <w:spacing w:after="0"/>
              <w:rPr>
                <w:sz w:val="11"/>
                <w:szCs w:val="11"/>
                <w:color w:val="auto"/>
              </w:rPr>
            </w:pPr>
          </w:p>
        </w:tc>
        <w:tc>
          <w:tcPr>
            <w:tcW w:w="60" w:type="dxa"/>
            <w:vAlign w:val="bottom"/>
            <w:shd w:val="clear" w:color="auto" w:fill="F4F3F3"/>
          </w:tcPr>
          <w:p>
            <w:pPr>
              <w:spacing w:after="0"/>
              <w:rPr>
                <w:sz w:val="11"/>
                <w:szCs w:val="11"/>
                <w:color w:val="auto"/>
              </w:rPr>
            </w:pPr>
          </w:p>
        </w:tc>
        <w:tc>
          <w:tcPr>
            <w:tcW w:w="58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F4F3F3"/>
          </w:tcPr>
          <w:p>
            <w:pPr>
              <w:spacing w:after="0"/>
              <w:rPr>
                <w:sz w:val="11"/>
                <w:szCs w:val="11"/>
                <w:color w:val="auto"/>
              </w:rPr>
            </w:pPr>
          </w:p>
        </w:tc>
        <w:tc>
          <w:tcPr>
            <w:tcW w:w="560" w:type="dxa"/>
            <w:vAlign w:val="bottom"/>
            <w:shd w:val="clear" w:color="auto" w:fill="F4F3F3"/>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F4F3F3"/>
          </w:tcPr>
          <w:p>
            <w:pPr>
              <w:ind w:left="42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F4F3F3"/>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F4F3F3"/>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jc w:val="center"/>
              <w:ind w:left="15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F4F3F3"/>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400" w:type="dxa"/>
            <w:vAlign w:val="bottom"/>
            <w:shd w:val="clear" w:color="auto" w:fill="F4F3F3"/>
          </w:tcPr>
          <w:p>
            <w:pPr>
              <w:ind w:left="180"/>
              <w:spacing w:after="0" w:line="135" w:lineRule="exact"/>
              <w:rPr>
                <w:sz w:val="20"/>
                <w:szCs w:val="20"/>
                <w:color w:val="auto"/>
              </w:rPr>
            </w:pPr>
            <w:r>
              <w:rPr>
                <w:rFonts w:ascii="Arial" w:cs="Arial" w:eastAsia="Arial" w:hAnsi="Arial"/>
                <w:sz w:val="13"/>
                <w:szCs w:val="13"/>
                <w:color w:val="auto"/>
              </w:rPr>
              <w:t>PSU</w:t>
            </w:r>
          </w:p>
        </w:tc>
        <w:tc>
          <w:tcPr>
            <w:tcW w:w="100" w:type="dxa"/>
            <w:vAlign w:val="bottom"/>
            <w:shd w:val="clear" w:color="auto" w:fill="F4F3F3"/>
          </w:tcPr>
          <w:p>
            <w:pPr>
              <w:spacing w:after="0"/>
              <w:rPr>
                <w:sz w:val="11"/>
                <w:szCs w:val="11"/>
                <w:color w:val="auto"/>
              </w:rPr>
            </w:pPr>
          </w:p>
        </w:tc>
        <w:tc>
          <w:tcPr>
            <w:tcW w:w="520" w:type="dxa"/>
            <w:vAlign w:val="bottom"/>
            <w:shd w:val="clear" w:color="auto" w:fill="F4F3F3"/>
          </w:tcPr>
          <w:p>
            <w:pPr>
              <w:ind w:left="20"/>
              <w:spacing w:after="0" w:line="135" w:lineRule="exact"/>
              <w:rPr>
                <w:sz w:val="20"/>
                <w:szCs w:val="20"/>
                <w:color w:val="auto"/>
              </w:rPr>
            </w:pPr>
            <w:r>
              <w:rPr>
                <w:rFonts w:ascii="Arial" w:cs="Arial" w:eastAsia="Arial" w:hAnsi="Arial"/>
                <w:sz w:val="13"/>
                <w:szCs w:val="13"/>
                <w:color w:val="auto"/>
              </w:rPr>
              <w:t>2/21/17</w:t>
            </w:r>
          </w:p>
        </w:tc>
        <w:tc>
          <w:tcPr>
            <w:tcW w:w="100" w:type="dxa"/>
            <w:vAlign w:val="bottom"/>
            <w:shd w:val="clear" w:color="auto" w:fill="F4F3F3"/>
          </w:tcPr>
          <w:p>
            <w:pPr>
              <w:spacing w:after="0"/>
              <w:rPr>
                <w:sz w:val="11"/>
                <w:szCs w:val="11"/>
                <w:color w:val="auto"/>
              </w:rPr>
            </w:pPr>
          </w:p>
        </w:tc>
        <w:tc>
          <w:tcPr>
            <w:tcW w:w="60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2/8/17</w:t>
            </w:r>
          </w:p>
        </w:tc>
        <w:tc>
          <w:tcPr>
            <w:tcW w:w="60" w:type="dxa"/>
            <w:vAlign w:val="bottom"/>
            <w:shd w:val="clear" w:color="auto" w:fill="F4F3F3"/>
          </w:tcPr>
          <w:p>
            <w:pPr>
              <w:spacing w:after="0"/>
              <w:rPr>
                <w:sz w:val="11"/>
                <w:szCs w:val="11"/>
                <w:color w:val="auto"/>
              </w:rPr>
            </w:pPr>
          </w:p>
        </w:tc>
        <w:tc>
          <w:tcPr>
            <w:tcW w:w="40" w:type="dxa"/>
            <w:vAlign w:val="bottom"/>
            <w:shd w:val="clear" w:color="auto" w:fill="F4F3F3"/>
          </w:tcPr>
          <w:p>
            <w:pPr>
              <w:spacing w:after="0"/>
              <w:rPr>
                <w:sz w:val="11"/>
                <w:szCs w:val="11"/>
                <w:color w:val="auto"/>
              </w:rPr>
            </w:pPr>
          </w:p>
        </w:tc>
        <w:tc>
          <w:tcPr>
            <w:tcW w:w="580" w:type="dxa"/>
            <w:vAlign w:val="bottom"/>
            <w:shd w:val="clear" w:color="auto" w:fill="F4F3F3"/>
          </w:tcPr>
          <w:p>
            <w:pPr>
              <w:ind w:left="38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F4F3F3"/>
          </w:tcPr>
          <w:p>
            <w:pPr>
              <w:spacing w:after="0"/>
              <w:rPr>
                <w:sz w:val="11"/>
                <w:szCs w:val="11"/>
                <w:color w:val="auto"/>
              </w:rPr>
            </w:pPr>
          </w:p>
        </w:tc>
        <w:tc>
          <w:tcPr>
            <w:tcW w:w="720" w:type="dxa"/>
            <w:vAlign w:val="bottom"/>
            <w:shd w:val="clear" w:color="auto" w:fill="F4F3F3"/>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ind w:left="40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3"/>
            <w:shd w:val="clear" w:color="auto" w:fill="F4F3F3"/>
          </w:tcPr>
          <w:p>
            <w:pPr>
              <w:jc w:val="right"/>
              <w:spacing w:after="0" w:line="135" w:lineRule="exact"/>
              <w:rPr>
                <w:sz w:val="20"/>
                <w:szCs w:val="20"/>
                <w:color w:val="auto"/>
              </w:rPr>
            </w:pPr>
            <w:r>
              <w:rPr>
                <w:rFonts w:ascii="Arial" w:cs="Arial" w:eastAsia="Arial" w:hAnsi="Arial"/>
                <w:sz w:val="13"/>
                <w:szCs w:val="13"/>
                <w:color w:val="auto"/>
              </w:rPr>
              <w:t>6,456</w:t>
            </w:r>
          </w:p>
        </w:tc>
        <w:tc>
          <w:tcPr>
            <w:tcW w:w="680" w:type="dxa"/>
            <w:vAlign w:val="bottom"/>
            <w:gridSpan w:val="2"/>
            <w:shd w:val="clear" w:color="auto" w:fill="F4F3F3"/>
          </w:tcPr>
          <w:p>
            <w:pPr>
              <w:jc w:val="right"/>
              <w:ind w:right="57"/>
              <w:spacing w:after="0" w:line="135" w:lineRule="exact"/>
              <w:rPr>
                <w:sz w:val="20"/>
                <w:szCs w:val="20"/>
                <w:color w:val="auto"/>
              </w:rPr>
            </w:pPr>
            <w:r>
              <w:rPr>
                <w:rFonts w:ascii="Arial" w:cs="Arial" w:eastAsia="Arial" w:hAnsi="Arial"/>
                <w:sz w:val="13"/>
                <w:szCs w:val="13"/>
                <w:color w:val="auto"/>
              </w:rPr>
              <w:t>12,912</w:t>
            </w:r>
          </w:p>
        </w:tc>
        <w:tc>
          <w:tcPr>
            <w:tcW w:w="820" w:type="dxa"/>
            <w:vAlign w:val="bottom"/>
            <w:shd w:val="clear" w:color="auto" w:fill="F4F3F3"/>
          </w:tcPr>
          <w:p>
            <w:pPr>
              <w:jc w:val="right"/>
              <w:ind w:right="137"/>
              <w:spacing w:after="0" w:line="135" w:lineRule="exact"/>
              <w:rPr>
                <w:sz w:val="20"/>
                <w:szCs w:val="20"/>
                <w:color w:val="auto"/>
              </w:rPr>
            </w:pPr>
            <w:r>
              <w:rPr>
                <w:rFonts w:ascii="Arial" w:cs="Arial" w:eastAsia="Arial" w:hAnsi="Arial"/>
                <w:sz w:val="13"/>
                <w:szCs w:val="13"/>
                <w:color w:val="auto"/>
              </w:rPr>
              <w:t>19,368</w:t>
            </w:r>
          </w:p>
        </w:tc>
        <w:tc>
          <w:tcPr>
            <w:tcW w:w="600" w:type="dxa"/>
            <w:vAlign w:val="bottom"/>
            <w:shd w:val="clear" w:color="auto" w:fill="F4F3F3"/>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F4F3F3"/>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jc w:val="center"/>
              <w:ind w:left="15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1,086,803</w:t>
            </w:r>
          </w:p>
        </w:tc>
        <w:tc>
          <w:tcPr>
            <w:tcW w:w="0" w:type="dxa"/>
            <w:vAlign w:val="bottom"/>
          </w:tcPr>
          <w:p>
            <w:pPr>
              <w:spacing w:after="0"/>
              <w:rPr>
                <w:sz w:val="1"/>
                <w:szCs w:val="1"/>
                <w:color w:val="auto"/>
              </w:rPr>
            </w:pPr>
          </w:p>
        </w:tc>
      </w:tr>
      <w:tr>
        <w:trPr>
          <w:trHeight w:val="135"/>
        </w:trPr>
        <w:tc>
          <w:tcPr>
            <w:tcW w:w="2400" w:type="dxa"/>
            <w:vAlign w:val="bottom"/>
            <w:shd w:val="clear" w:color="auto" w:fill="F4F3F3"/>
          </w:tcPr>
          <w:p>
            <w:pPr>
              <w:ind w:left="180"/>
              <w:spacing w:after="0" w:line="135" w:lineRule="exact"/>
              <w:rPr>
                <w:sz w:val="20"/>
                <w:szCs w:val="20"/>
                <w:color w:val="auto"/>
              </w:rPr>
            </w:pPr>
            <w:r>
              <w:rPr>
                <w:rFonts w:ascii="Arial" w:cs="Arial" w:eastAsia="Arial" w:hAnsi="Arial"/>
                <w:sz w:val="13"/>
                <w:szCs w:val="13"/>
                <w:color w:val="auto"/>
              </w:rPr>
              <w:t>RSU</w:t>
            </w:r>
          </w:p>
        </w:tc>
        <w:tc>
          <w:tcPr>
            <w:tcW w:w="100" w:type="dxa"/>
            <w:vAlign w:val="bottom"/>
            <w:shd w:val="clear" w:color="auto" w:fill="F4F3F3"/>
          </w:tcPr>
          <w:p>
            <w:pPr>
              <w:spacing w:after="0"/>
              <w:rPr>
                <w:sz w:val="11"/>
                <w:szCs w:val="11"/>
                <w:color w:val="auto"/>
              </w:rPr>
            </w:pPr>
          </w:p>
        </w:tc>
        <w:tc>
          <w:tcPr>
            <w:tcW w:w="520" w:type="dxa"/>
            <w:vAlign w:val="bottom"/>
            <w:shd w:val="clear" w:color="auto" w:fill="F4F3F3"/>
          </w:tcPr>
          <w:p>
            <w:pPr>
              <w:ind w:left="20"/>
              <w:spacing w:after="0" w:line="135" w:lineRule="exact"/>
              <w:rPr>
                <w:sz w:val="20"/>
                <w:szCs w:val="20"/>
                <w:color w:val="auto"/>
              </w:rPr>
            </w:pPr>
            <w:r>
              <w:rPr>
                <w:rFonts w:ascii="Arial" w:cs="Arial" w:eastAsia="Arial" w:hAnsi="Arial"/>
                <w:sz w:val="13"/>
                <w:szCs w:val="13"/>
                <w:color w:val="auto"/>
              </w:rPr>
              <w:t>2/21/17</w:t>
            </w:r>
          </w:p>
        </w:tc>
        <w:tc>
          <w:tcPr>
            <w:tcW w:w="100" w:type="dxa"/>
            <w:vAlign w:val="bottom"/>
            <w:shd w:val="clear" w:color="auto" w:fill="F4F3F3"/>
          </w:tcPr>
          <w:p>
            <w:pPr>
              <w:spacing w:after="0"/>
              <w:rPr>
                <w:sz w:val="11"/>
                <w:szCs w:val="11"/>
                <w:color w:val="auto"/>
              </w:rPr>
            </w:pPr>
          </w:p>
        </w:tc>
        <w:tc>
          <w:tcPr>
            <w:tcW w:w="60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2/8/17</w:t>
            </w:r>
          </w:p>
        </w:tc>
        <w:tc>
          <w:tcPr>
            <w:tcW w:w="60" w:type="dxa"/>
            <w:vAlign w:val="bottom"/>
            <w:shd w:val="clear" w:color="auto" w:fill="F4F3F3"/>
          </w:tcPr>
          <w:p>
            <w:pPr>
              <w:spacing w:after="0"/>
              <w:rPr>
                <w:sz w:val="11"/>
                <w:szCs w:val="11"/>
                <w:color w:val="auto"/>
              </w:rPr>
            </w:pPr>
          </w:p>
        </w:tc>
        <w:tc>
          <w:tcPr>
            <w:tcW w:w="40" w:type="dxa"/>
            <w:vAlign w:val="bottom"/>
            <w:shd w:val="clear" w:color="auto" w:fill="F4F3F3"/>
          </w:tcPr>
          <w:p>
            <w:pPr>
              <w:spacing w:after="0"/>
              <w:rPr>
                <w:sz w:val="11"/>
                <w:szCs w:val="11"/>
                <w:color w:val="auto"/>
              </w:rPr>
            </w:pPr>
          </w:p>
        </w:tc>
        <w:tc>
          <w:tcPr>
            <w:tcW w:w="580" w:type="dxa"/>
            <w:vAlign w:val="bottom"/>
            <w:shd w:val="clear" w:color="auto" w:fill="F4F3F3"/>
          </w:tcPr>
          <w:p>
            <w:pPr>
              <w:ind w:left="38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F4F3F3"/>
          </w:tcPr>
          <w:p>
            <w:pPr>
              <w:spacing w:after="0"/>
              <w:rPr>
                <w:sz w:val="11"/>
                <w:szCs w:val="11"/>
                <w:color w:val="auto"/>
              </w:rPr>
            </w:pPr>
          </w:p>
        </w:tc>
        <w:tc>
          <w:tcPr>
            <w:tcW w:w="720" w:type="dxa"/>
            <w:vAlign w:val="bottom"/>
            <w:shd w:val="clear" w:color="auto" w:fill="F4F3F3"/>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ind w:left="4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F4F3F3"/>
          </w:tcPr>
          <w:p>
            <w:pPr>
              <w:spacing w:after="0"/>
              <w:rPr>
                <w:sz w:val="11"/>
                <w:szCs w:val="11"/>
                <w:color w:val="auto"/>
              </w:rPr>
            </w:pPr>
          </w:p>
        </w:tc>
        <w:tc>
          <w:tcPr>
            <w:tcW w:w="60" w:type="dxa"/>
            <w:vAlign w:val="bottom"/>
            <w:shd w:val="clear" w:color="auto" w:fill="F4F3F3"/>
          </w:tcPr>
          <w:p>
            <w:pPr>
              <w:spacing w:after="0"/>
              <w:rPr>
                <w:sz w:val="11"/>
                <w:szCs w:val="11"/>
                <w:color w:val="auto"/>
              </w:rPr>
            </w:pPr>
          </w:p>
        </w:tc>
        <w:tc>
          <w:tcPr>
            <w:tcW w:w="58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F4F3F3"/>
          </w:tcPr>
          <w:p>
            <w:pPr>
              <w:spacing w:after="0"/>
              <w:rPr>
                <w:sz w:val="11"/>
                <w:szCs w:val="11"/>
                <w:color w:val="auto"/>
              </w:rPr>
            </w:pPr>
          </w:p>
        </w:tc>
        <w:tc>
          <w:tcPr>
            <w:tcW w:w="560" w:type="dxa"/>
            <w:vAlign w:val="bottom"/>
            <w:shd w:val="clear" w:color="auto" w:fill="F4F3F3"/>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F4F3F3"/>
          </w:tcPr>
          <w:p>
            <w:pPr>
              <w:ind w:left="42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9,684</w:t>
            </w:r>
          </w:p>
        </w:tc>
        <w:tc>
          <w:tcPr>
            <w:tcW w:w="780" w:type="dxa"/>
            <w:vAlign w:val="bottom"/>
            <w:shd w:val="clear" w:color="auto" w:fill="F4F3F3"/>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jc w:val="center"/>
              <w:ind w:left="15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791,861</w:t>
            </w:r>
          </w:p>
        </w:tc>
        <w:tc>
          <w:tcPr>
            <w:tcW w:w="0" w:type="dxa"/>
            <w:vAlign w:val="bottom"/>
          </w:tcPr>
          <w:p>
            <w:pPr>
              <w:spacing w:after="0"/>
              <w:rPr>
                <w:sz w:val="1"/>
                <w:szCs w:val="1"/>
                <w:color w:val="auto"/>
              </w:rPr>
            </w:pPr>
          </w:p>
        </w:tc>
      </w:tr>
      <w:tr>
        <w:trPr>
          <w:trHeight w:val="170"/>
        </w:trPr>
        <w:tc>
          <w:tcPr>
            <w:tcW w:w="2400" w:type="dxa"/>
            <w:vAlign w:val="bottom"/>
            <w:shd w:val="clear" w:color="auto" w:fill="F4F3F3"/>
          </w:tcPr>
          <w:p>
            <w:pPr>
              <w:ind w:left="180"/>
              <w:spacing w:after="0"/>
              <w:rPr>
                <w:sz w:val="20"/>
                <w:szCs w:val="20"/>
                <w:color w:val="auto"/>
              </w:rPr>
            </w:pPr>
            <w:r>
              <w:rPr>
                <w:rFonts w:ascii="Arial" w:cs="Arial" w:eastAsia="Arial" w:hAnsi="Arial"/>
                <w:sz w:val="13"/>
                <w:szCs w:val="13"/>
                <w:color w:val="auto"/>
              </w:rPr>
              <w:t>SAR</w:t>
            </w:r>
          </w:p>
        </w:tc>
        <w:tc>
          <w:tcPr>
            <w:tcW w:w="100" w:type="dxa"/>
            <w:vAlign w:val="bottom"/>
            <w:shd w:val="clear" w:color="auto" w:fill="F4F3F3"/>
          </w:tcPr>
          <w:p>
            <w:pPr>
              <w:spacing w:after="0"/>
              <w:rPr>
                <w:sz w:val="14"/>
                <w:szCs w:val="14"/>
                <w:color w:val="auto"/>
              </w:rPr>
            </w:pPr>
          </w:p>
        </w:tc>
        <w:tc>
          <w:tcPr>
            <w:tcW w:w="520" w:type="dxa"/>
            <w:vAlign w:val="bottom"/>
            <w:shd w:val="clear" w:color="auto" w:fill="F4F3F3"/>
          </w:tcPr>
          <w:p>
            <w:pPr>
              <w:ind w:left="20"/>
              <w:spacing w:after="0"/>
              <w:rPr>
                <w:sz w:val="20"/>
                <w:szCs w:val="20"/>
                <w:color w:val="auto"/>
              </w:rPr>
            </w:pPr>
            <w:r>
              <w:rPr>
                <w:rFonts w:ascii="Arial" w:cs="Arial" w:eastAsia="Arial" w:hAnsi="Arial"/>
                <w:sz w:val="13"/>
                <w:szCs w:val="13"/>
                <w:color w:val="auto"/>
              </w:rPr>
              <w:t>2/21/17</w:t>
            </w:r>
          </w:p>
        </w:tc>
        <w:tc>
          <w:tcPr>
            <w:tcW w:w="100" w:type="dxa"/>
            <w:vAlign w:val="bottom"/>
            <w:shd w:val="clear" w:color="auto" w:fill="F4F3F3"/>
          </w:tcPr>
          <w:p>
            <w:pPr>
              <w:spacing w:after="0"/>
              <w:rPr>
                <w:sz w:val="14"/>
                <w:szCs w:val="14"/>
                <w:color w:val="auto"/>
              </w:rPr>
            </w:pPr>
          </w:p>
        </w:tc>
        <w:tc>
          <w:tcPr>
            <w:tcW w:w="60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2/8/17</w:t>
            </w:r>
          </w:p>
        </w:tc>
        <w:tc>
          <w:tcPr>
            <w:tcW w:w="60" w:type="dxa"/>
            <w:vAlign w:val="bottom"/>
            <w:shd w:val="clear" w:color="auto" w:fill="F4F3F3"/>
          </w:tcPr>
          <w:p>
            <w:pPr>
              <w:spacing w:after="0"/>
              <w:rPr>
                <w:sz w:val="14"/>
                <w:szCs w:val="14"/>
                <w:color w:val="auto"/>
              </w:rPr>
            </w:pPr>
          </w:p>
        </w:tc>
        <w:tc>
          <w:tcPr>
            <w:tcW w:w="40" w:type="dxa"/>
            <w:vAlign w:val="bottom"/>
            <w:shd w:val="clear" w:color="auto" w:fill="F4F3F3"/>
          </w:tcPr>
          <w:p>
            <w:pPr>
              <w:spacing w:after="0"/>
              <w:rPr>
                <w:sz w:val="14"/>
                <w:szCs w:val="14"/>
                <w:color w:val="auto"/>
              </w:rPr>
            </w:pPr>
          </w:p>
        </w:tc>
        <w:tc>
          <w:tcPr>
            <w:tcW w:w="580" w:type="dxa"/>
            <w:vAlign w:val="bottom"/>
            <w:shd w:val="clear" w:color="auto" w:fill="F4F3F3"/>
          </w:tcPr>
          <w:p>
            <w:pPr>
              <w:ind w:left="380"/>
              <w:spacing w:after="0"/>
              <w:rPr>
                <w:sz w:val="20"/>
                <w:szCs w:val="20"/>
                <w:color w:val="auto"/>
              </w:rPr>
            </w:pPr>
            <w:r>
              <w:rPr>
                <w:rFonts w:ascii="Arial" w:cs="Arial" w:eastAsia="Arial" w:hAnsi="Arial"/>
                <w:sz w:val="13"/>
                <w:szCs w:val="13"/>
                <w:color w:val="auto"/>
              </w:rPr>
              <w:t>—</w:t>
            </w:r>
          </w:p>
        </w:tc>
        <w:tc>
          <w:tcPr>
            <w:tcW w:w="200" w:type="dxa"/>
            <w:vAlign w:val="bottom"/>
            <w:shd w:val="clear" w:color="auto" w:fill="F4F3F3"/>
          </w:tcPr>
          <w:p>
            <w:pPr>
              <w:spacing w:after="0"/>
              <w:rPr>
                <w:sz w:val="14"/>
                <w:szCs w:val="14"/>
                <w:color w:val="auto"/>
              </w:rPr>
            </w:pPr>
          </w:p>
        </w:tc>
        <w:tc>
          <w:tcPr>
            <w:tcW w:w="720" w:type="dxa"/>
            <w:vAlign w:val="bottom"/>
            <w:shd w:val="clear" w:color="auto" w:fill="F4F3F3"/>
          </w:tcPr>
          <w:p>
            <w:pPr>
              <w:jc w:val="right"/>
              <w:ind w:right="177"/>
              <w:spacing w:after="0"/>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ind w:left="400"/>
              <w:spacing w:after="0"/>
              <w:rPr>
                <w:sz w:val="20"/>
                <w:szCs w:val="20"/>
                <w:color w:val="auto"/>
              </w:rPr>
            </w:pPr>
            <w:r>
              <w:rPr>
                <w:rFonts w:ascii="Arial" w:cs="Arial" w:eastAsia="Arial" w:hAnsi="Arial"/>
                <w:sz w:val="13"/>
                <w:szCs w:val="13"/>
                <w:color w:val="auto"/>
              </w:rPr>
              <w:t>—</w:t>
            </w:r>
          </w:p>
        </w:tc>
        <w:tc>
          <w:tcPr>
            <w:tcW w:w="60" w:type="dxa"/>
            <w:vAlign w:val="bottom"/>
            <w:shd w:val="clear" w:color="auto" w:fill="F4F3F3"/>
          </w:tcPr>
          <w:p>
            <w:pPr>
              <w:spacing w:after="0"/>
              <w:rPr>
                <w:sz w:val="14"/>
                <w:szCs w:val="14"/>
                <w:color w:val="auto"/>
              </w:rPr>
            </w:pPr>
          </w:p>
        </w:tc>
        <w:tc>
          <w:tcPr>
            <w:tcW w:w="60" w:type="dxa"/>
            <w:vAlign w:val="bottom"/>
            <w:shd w:val="clear" w:color="auto" w:fill="F4F3F3"/>
          </w:tcPr>
          <w:p>
            <w:pPr>
              <w:spacing w:after="0"/>
              <w:rPr>
                <w:sz w:val="14"/>
                <w:szCs w:val="14"/>
                <w:color w:val="auto"/>
              </w:rPr>
            </w:pPr>
          </w:p>
        </w:tc>
        <w:tc>
          <w:tcPr>
            <w:tcW w:w="58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shd w:val="clear" w:color="auto" w:fill="F4F3F3"/>
          </w:tcPr>
          <w:p>
            <w:pPr>
              <w:spacing w:after="0"/>
              <w:rPr>
                <w:sz w:val="14"/>
                <w:szCs w:val="14"/>
                <w:color w:val="auto"/>
              </w:rPr>
            </w:pPr>
          </w:p>
        </w:tc>
        <w:tc>
          <w:tcPr>
            <w:tcW w:w="560" w:type="dxa"/>
            <w:vAlign w:val="bottom"/>
            <w:shd w:val="clear" w:color="auto" w:fill="F4F3F3"/>
          </w:tcPr>
          <w:p>
            <w:pPr>
              <w:jc w:val="right"/>
              <w:ind w:right="117"/>
              <w:spacing w:after="0"/>
              <w:rPr>
                <w:sz w:val="20"/>
                <w:szCs w:val="20"/>
                <w:color w:val="auto"/>
              </w:rPr>
            </w:pPr>
            <w:r>
              <w:rPr>
                <w:rFonts w:ascii="Arial" w:cs="Arial" w:eastAsia="Arial" w:hAnsi="Arial"/>
                <w:sz w:val="13"/>
                <w:szCs w:val="13"/>
                <w:color w:val="auto"/>
              </w:rPr>
              <w:t>—</w:t>
            </w:r>
          </w:p>
        </w:tc>
        <w:tc>
          <w:tcPr>
            <w:tcW w:w="820" w:type="dxa"/>
            <w:vAlign w:val="bottom"/>
            <w:shd w:val="clear" w:color="auto" w:fill="F4F3F3"/>
          </w:tcPr>
          <w:p>
            <w:pPr>
              <w:ind w:left="420"/>
              <w:spacing w:after="0"/>
              <w:rPr>
                <w:sz w:val="20"/>
                <w:szCs w:val="20"/>
                <w:color w:val="auto"/>
              </w:rPr>
            </w:pPr>
            <w:r>
              <w:rPr>
                <w:rFonts w:ascii="Arial" w:cs="Arial" w:eastAsia="Arial" w:hAnsi="Arial"/>
                <w:sz w:val="13"/>
                <w:szCs w:val="13"/>
                <w:color w:val="auto"/>
              </w:rPr>
              <w:t>—</w:t>
            </w:r>
          </w:p>
        </w:tc>
        <w:tc>
          <w:tcPr>
            <w:tcW w:w="600" w:type="dxa"/>
            <w:vAlign w:val="bottom"/>
            <w:shd w:val="clear" w:color="auto" w:fill="F4F3F3"/>
          </w:tcPr>
          <w:p>
            <w:pPr>
              <w:jc w:val="right"/>
              <w:ind w:right="97"/>
              <w:spacing w:after="0"/>
              <w:rPr>
                <w:sz w:val="20"/>
                <w:szCs w:val="20"/>
                <w:color w:val="auto"/>
              </w:rPr>
            </w:pPr>
            <w:r>
              <w:rPr>
                <w:rFonts w:ascii="Arial" w:cs="Arial" w:eastAsia="Arial" w:hAnsi="Arial"/>
                <w:sz w:val="13"/>
                <w:szCs w:val="13"/>
                <w:color w:val="auto"/>
              </w:rPr>
              <w:t>—</w:t>
            </w:r>
          </w:p>
        </w:tc>
        <w:tc>
          <w:tcPr>
            <w:tcW w:w="780" w:type="dxa"/>
            <w:vAlign w:val="bottom"/>
            <w:shd w:val="clear" w:color="auto" w:fill="F4F3F3"/>
          </w:tcPr>
          <w:p>
            <w:pPr>
              <w:jc w:val="right"/>
              <w:spacing w:after="0"/>
              <w:rPr>
                <w:sz w:val="20"/>
                <w:szCs w:val="20"/>
                <w:color w:val="auto"/>
              </w:rPr>
            </w:pPr>
            <w:r>
              <w:rPr>
                <w:rFonts w:ascii="Arial" w:cs="Arial" w:eastAsia="Arial" w:hAnsi="Arial"/>
                <w:sz w:val="13"/>
                <w:szCs w:val="13"/>
                <w:color w:val="auto"/>
              </w:rPr>
              <w:t>28,341</w:t>
            </w:r>
          </w:p>
        </w:tc>
        <w:tc>
          <w:tcPr>
            <w:tcW w:w="680" w:type="dxa"/>
            <w:vAlign w:val="bottom"/>
            <w:shd w:val="clear" w:color="auto" w:fill="F4F3F3"/>
          </w:tcPr>
          <w:p>
            <w:pPr>
              <w:jc w:val="center"/>
              <w:ind w:left="97"/>
              <w:spacing w:after="0"/>
              <w:rPr>
                <w:sz w:val="20"/>
                <w:szCs w:val="20"/>
                <w:color w:val="auto"/>
              </w:rPr>
            </w:pPr>
            <w:r>
              <w:rPr>
                <w:rFonts w:ascii="Arial" w:cs="Arial" w:eastAsia="Arial" w:hAnsi="Arial"/>
                <w:sz w:val="13"/>
                <w:szCs w:val="13"/>
                <w:color w:val="auto"/>
                <w:w w:val="98"/>
              </w:rPr>
              <w:t>88.31</w:t>
            </w:r>
          </w:p>
        </w:tc>
        <w:tc>
          <w:tcPr>
            <w:tcW w:w="74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838,610</w:t>
            </w:r>
          </w:p>
        </w:tc>
        <w:tc>
          <w:tcPr>
            <w:tcW w:w="0" w:type="dxa"/>
            <w:vAlign w:val="bottom"/>
          </w:tcPr>
          <w:p>
            <w:pPr>
              <w:spacing w:after="0"/>
              <w:rPr>
                <w:sz w:val="1"/>
                <w:szCs w:val="1"/>
                <w:color w:val="auto"/>
              </w:rPr>
            </w:pPr>
          </w:p>
        </w:tc>
      </w:tr>
      <w:tr>
        <w:trPr>
          <w:trHeight w:val="127"/>
        </w:trPr>
        <w:tc>
          <w:tcPr>
            <w:tcW w:w="2400" w:type="dxa"/>
            <w:vAlign w:val="bottom"/>
            <w:shd w:val="clear" w:color="auto" w:fill="F4F3F3"/>
          </w:tcPr>
          <w:p>
            <w:pPr>
              <w:ind w:left="60"/>
              <w:spacing w:after="0" w:line="127" w:lineRule="exact"/>
              <w:rPr>
                <w:sz w:val="20"/>
                <w:szCs w:val="20"/>
                <w:color w:val="auto"/>
              </w:rPr>
            </w:pPr>
            <w:r>
              <w:rPr>
                <w:rFonts w:ascii="Arial" w:cs="Arial" w:eastAsia="Arial" w:hAnsi="Arial"/>
                <w:sz w:val="13"/>
                <w:szCs w:val="13"/>
                <w:color w:val="998C87"/>
              </w:rPr>
              <w:t>Ms. Oberg</w:t>
            </w:r>
          </w:p>
        </w:tc>
        <w:tc>
          <w:tcPr>
            <w:tcW w:w="100" w:type="dxa"/>
            <w:vAlign w:val="bottom"/>
            <w:shd w:val="clear" w:color="auto" w:fill="F4F3F3"/>
          </w:tcPr>
          <w:p>
            <w:pPr>
              <w:spacing w:after="0"/>
              <w:rPr>
                <w:sz w:val="11"/>
                <w:szCs w:val="11"/>
                <w:color w:val="auto"/>
              </w:rPr>
            </w:pPr>
          </w:p>
        </w:tc>
        <w:tc>
          <w:tcPr>
            <w:tcW w:w="520" w:type="dxa"/>
            <w:vAlign w:val="bottom"/>
            <w:shd w:val="clear" w:color="auto" w:fill="F4F3F3"/>
          </w:tcPr>
          <w:p>
            <w:pPr>
              <w:spacing w:after="0"/>
              <w:rPr>
                <w:sz w:val="11"/>
                <w:szCs w:val="11"/>
                <w:color w:val="auto"/>
              </w:rPr>
            </w:pPr>
          </w:p>
        </w:tc>
        <w:tc>
          <w:tcPr>
            <w:tcW w:w="100" w:type="dxa"/>
            <w:vAlign w:val="bottom"/>
            <w:shd w:val="clear" w:color="auto" w:fill="F4F3F3"/>
          </w:tcPr>
          <w:p>
            <w:pPr>
              <w:spacing w:after="0"/>
              <w:rPr>
                <w:sz w:val="11"/>
                <w:szCs w:val="11"/>
                <w:color w:val="auto"/>
              </w:rPr>
            </w:pPr>
          </w:p>
        </w:tc>
        <w:tc>
          <w:tcPr>
            <w:tcW w:w="600" w:type="dxa"/>
            <w:vAlign w:val="bottom"/>
            <w:shd w:val="clear" w:color="auto" w:fill="F4F3F3"/>
          </w:tcPr>
          <w:p>
            <w:pPr>
              <w:spacing w:after="0"/>
              <w:rPr>
                <w:sz w:val="11"/>
                <w:szCs w:val="11"/>
                <w:color w:val="auto"/>
              </w:rPr>
            </w:pPr>
          </w:p>
        </w:tc>
        <w:tc>
          <w:tcPr>
            <w:tcW w:w="60" w:type="dxa"/>
            <w:vAlign w:val="bottom"/>
            <w:shd w:val="clear" w:color="auto" w:fill="F4F3F3"/>
          </w:tcPr>
          <w:p>
            <w:pPr>
              <w:spacing w:after="0"/>
              <w:rPr>
                <w:sz w:val="11"/>
                <w:szCs w:val="11"/>
                <w:color w:val="auto"/>
              </w:rPr>
            </w:pPr>
          </w:p>
        </w:tc>
        <w:tc>
          <w:tcPr>
            <w:tcW w:w="40" w:type="dxa"/>
            <w:vAlign w:val="bottom"/>
            <w:shd w:val="clear" w:color="auto" w:fill="F4F3F3"/>
          </w:tcPr>
          <w:p>
            <w:pPr>
              <w:spacing w:after="0"/>
              <w:rPr>
                <w:sz w:val="11"/>
                <w:szCs w:val="11"/>
                <w:color w:val="auto"/>
              </w:rPr>
            </w:pPr>
          </w:p>
        </w:tc>
        <w:tc>
          <w:tcPr>
            <w:tcW w:w="580" w:type="dxa"/>
            <w:vAlign w:val="bottom"/>
            <w:shd w:val="clear" w:color="auto" w:fill="F4F3F3"/>
          </w:tcPr>
          <w:p>
            <w:pPr>
              <w:spacing w:after="0"/>
              <w:rPr>
                <w:sz w:val="11"/>
                <w:szCs w:val="11"/>
                <w:color w:val="auto"/>
              </w:rPr>
            </w:pPr>
          </w:p>
        </w:tc>
        <w:tc>
          <w:tcPr>
            <w:tcW w:w="200" w:type="dxa"/>
            <w:vAlign w:val="bottom"/>
            <w:shd w:val="clear" w:color="auto" w:fill="F4F3F3"/>
          </w:tcPr>
          <w:p>
            <w:pPr>
              <w:spacing w:after="0"/>
              <w:rPr>
                <w:sz w:val="11"/>
                <w:szCs w:val="11"/>
                <w:color w:val="auto"/>
              </w:rPr>
            </w:pPr>
          </w:p>
        </w:tc>
        <w:tc>
          <w:tcPr>
            <w:tcW w:w="720" w:type="dxa"/>
            <w:vAlign w:val="bottom"/>
            <w:shd w:val="clear" w:color="auto" w:fill="F4F3F3"/>
          </w:tcPr>
          <w:p>
            <w:pPr>
              <w:spacing w:after="0"/>
              <w:rPr>
                <w:sz w:val="11"/>
                <w:szCs w:val="11"/>
                <w:color w:val="auto"/>
              </w:rPr>
            </w:pPr>
          </w:p>
        </w:tc>
        <w:tc>
          <w:tcPr>
            <w:tcW w:w="680" w:type="dxa"/>
            <w:vAlign w:val="bottom"/>
            <w:shd w:val="clear" w:color="auto" w:fill="F4F3F3"/>
          </w:tcPr>
          <w:p>
            <w:pPr>
              <w:spacing w:after="0"/>
              <w:rPr>
                <w:sz w:val="11"/>
                <w:szCs w:val="11"/>
                <w:color w:val="auto"/>
              </w:rPr>
            </w:pPr>
          </w:p>
        </w:tc>
        <w:tc>
          <w:tcPr>
            <w:tcW w:w="60" w:type="dxa"/>
            <w:vAlign w:val="bottom"/>
            <w:shd w:val="clear" w:color="auto" w:fill="F4F3F3"/>
          </w:tcPr>
          <w:p>
            <w:pPr>
              <w:spacing w:after="0"/>
              <w:rPr>
                <w:sz w:val="11"/>
                <w:szCs w:val="11"/>
                <w:color w:val="auto"/>
              </w:rPr>
            </w:pPr>
          </w:p>
        </w:tc>
        <w:tc>
          <w:tcPr>
            <w:tcW w:w="60" w:type="dxa"/>
            <w:vAlign w:val="bottom"/>
            <w:shd w:val="clear" w:color="auto" w:fill="F4F3F3"/>
          </w:tcPr>
          <w:p>
            <w:pPr>
              <w:spacing w:after="0"/>
              <w:rPr>
                <w:sz w:val="11"/>
                <w:szCs w:val="11"/>
                <w:color w:val="auto"/>
              </w:rPr>
            </w:pPr>
          </w:p>
        </w:tc>
        <w:tc>
          <w:tcPr>
            <w:tcW w:w="580" w:type="dxa"/>
            <w:vAlign w:val="bottom"/>
            <w:shd w:val="clear" w:color="auto" w:fill="F4F3F3"/>
          </w:tcPr>
          <w:p>
            <w:pPr>
              <w:spacing w:after="0"/>
              <w:rPr>
                <w:sz w:val="11"/>
                <w:szCs w:val="11"/>
                <w:color w:val="auto"/>
              </w:rPr>
            </w:pPr>
          </w:p>
        </w:tc>
        <w:tc>
          <w:tcPr>
            <w:tcW w:w="120" w:type="dxa"/>
            <w:vAlign w:val="bottom"/>
            <w:shd w:val="clear" w:color="auto" w:fill="F4F3F3"/>
          </w:tcPr>
          <w:p>
            <w:pPr>
              <w:spacing w:after="0"/>
              <w:rPr>
                <w:sz w:val="11"/>
                <w:szCs w:val="11"/>
                <w:color w:val="auto"/>
              </w:rPr>
            </w:pPr>
          </w:p>
        </w:tc>
        <w:tc>
          <w:tcPr>
            <w:tcW w:w="560" w:type="dxa"/>
            <w:vAlign w:val="bottom"/>
            <w:shd w:val="clear" w:color="auto" w:fill="F4F3F3"/>
          </w:tcPr>
          <w:p>
            <w:pPr>
              <w:spacing w:after="0"/>
              <w:rPr>
                <w:sz w:val="11"/>
                <w:szCs w:val="11"/>
                <w:color w:val="auto"/>
              </w:rPr>
            </w:pPr>
          </w:p>
        </w:tc>
        <w:tc>
          <w:tcPr>
            <w:tcW w:w="820" w:type="dxa"/>
            <w:vAlign w:val="bottom"/>
            <w:shd w:val="clear" w:color="auto" w:fill="F4F3F3"/>
          </w:tcPr>
          <w:p>
            <w:pPr>
              <w:spacing w:after="0"/>
              <w:rPr>
                <w:sz w:val="11"/>
                <w:szCs w:val="11"/>
                <w:color w:val="auto"/>
              </w:rPr>
            </w:pPr>
          </w:p>
        </w:tc>
        <w:tc>
          <w:tcPr>
            <w:tcW w:w="600" w:type="dxa"/>
            <w:vAlign w:val="bottom"/>
            <w:shd w:val="clear" w:color="auto" w:fill="F4F3F3"/>
          </w:tcPr>
          <w:p>
            <w:pPr>
              <w:spacing w:after="0"/>
              <w:rPr>
                <w:sz w:val="11"/>
                <w:szCs w:val="11"/>
                <w:color w:val="auto"/>
              </w:rPr>
            </w:pPr>
          </w:p>
        </w:tc>
        <w:tc>
          <w:tcPr>
            <w:tcW w:w="780" w:type="dxa"/>
            <w:vAlign w:val="bottom"/>
            <w:shd w:val="clear" w:color="auto" w:fill="F4F3F3"/>
          </w:tcPr>
          <w:p>
            <w:pPr>
              <w:spacing w:after="0"/>
              <w:rPr>
                <w:sz w:val="11"/>
                <w:szCs w:val="11"/>
                <w:color w:val="auto"/>
              </w:rPr>
            </w:pPr>
          </w:p>
        </w:tc>
        <w:tc>
          <w:tcPr>
            <w:tcW w:w="680" w:type="dxa"/>
            <w:vAlign w:val="bottom"/>
            <w:shd w:val="clear" w:color="auto" w:fill="F4F3F3"/>
          </w:tcPr>
          <w:p>
            <w:pPr>
              <w:spacing w:after="0"/>
              <w:rPr>
                <w:sz w:val="11"/>
                <w:szCs w:val="11"/>
                <w:color w:val="auto"/>
              </w:rPr>
            </w:pPr>
          </w:p>
        </w:tc>
        <w:tc>
          <w:tcPr>
            <w:tcW w:w="740" w:type="dxa"/>
            <w:vAlign w:val="bottom"/>
            <w:shd w:val="clear" w:color="auto" w:fill="F4F3F3"/>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00" w:type="dxa"/>
            <w:vAlign w:val="bottom"/>
            <w:shd w:val="clear" w:color="auto" w:fill="F4F3F3"/>
          </w:tcPr>
          <w:p>
            <w:pPr>
              <w:ind w:left="180"/>
              <w:spacing w:after="0" w:line="135" w:lineRule="exact"/>
              <w:rPr>
                <w:sz w:val="20"/>
                <w:szCs w:val="20"/>
                <w:color w:val="auto"/>
              </w:rPr>
            </w:pPr>
            <w:r>
              <w:rPr>
                <w:rFonts w:ascii="Arial" w:cs="Arial" w:eastAsia="Arial" w:hAnsi="Arial"/>
                <w:sz w:val="13"/>
                <w:szCs w:val="13"/>
                <w:color w:val="auto"/>
              </w:rPr>
              <w:t>Cash Incentive</w:t>
            </w:r>
          </w:p>
        </w:tc>
        <w:tc>
          <w:tcPr>
            <w:tcW w:w="100" w:type="dxa"/>
            <w:vAlign w:val="bottom"/>
            <w:shd w:val="clear" w:color="auto" w:fill="F4F3F3"/>
          </w:tcPr>
          <w:p>
            <w:pPr>
              <w:spacing w:after="0"/>
              <w:rPr>
                <w:sz w:val="11"/>
                <w:szCs w:val="11"/>
                <w:color w:val="auto"/>
              </w:rPr>
            </w:pPr>
          </w:p>
        </w:tc>
        <w:tc>
          <w:tcPr>
            <w:tcW w:w="520" w:type="dxa"/>
            <w:vAlign w:val="bottom"/>
            <w:shd w:val="clear" w:color="auto" w:fill="F4F3F3"/>
          </w:tcPr>
          <w:p>
            <w:pPr>
              <w:spacing w:after="0"/>
              <w:rPr>
                <w:sz w:val="11"/>
                <w:szCs w:val="11"/>
                <w:color w:val="auto"/>
              </w:rPr>
            </w:pPr>
          </w:p>
        </w:tc>
        <w:tc>
          <w:tcPr>
            <w:tcW w:w="100" w:type="dxa"/>
            <w:vAlign w:val="bottom"/>
            <w:shd w:val="clear" w:color="auto" w:fill="F4F3F3"/>
          </w:tcPr>
          <w:p>
            <w:pPr>
              <w:spacing w:after="0"/>
              <w:rPr>
                <w:sz w:val="11"/>
                <w:szCs w:val="11"/>
                <w:color w:val="auto"/>
              </w:rPr>
            </w:pPr>
          </w:p>
        </w:tc>
        <w:tc>
          <w:tcPr>
            <w:tcW w:w="600" w:type="dxa"/>
            <w:vAlign w:val="bottom"/>
            <w:shd w:val="clear" w:color="auto" w:fill="F4F3F3"/>
          </w:tcPr>
          <w:p>
            <w:pPr>
              <w:spacing w:after="0"/>
              <w:rPr>
                <w:sz w:val="11"/>
                <w:szCs w:val="11"/>
                <w:color w:val="auto"/>
              </w:rPr>
            </w:pPr>
          </w:p>
        </w:tc>
        <w:tc>
          <w:tcPr>
            <w:tcW w:w="60" w:type="dxa"/>
            <w:vAlign w:val="bottom"/>
            <w:shd w:val="clear" w:color="auto" w:fill="F4F3F3"/>
          </w:tcPr>
          <w:p>
            <w:pPr>
              <w:spacing w:after="0"/>
              <w:rPr>
                <w:sz w:val="11"/>
                <w:szCs w:val="11"/>
                <w:color w:val="auto"/>
              </w:rPr>
            </w:pPr>
          </w:p>
        </w:tc>
        <w:tc>
          <w:tcPr>
            <w:tcW w:w="40" w:type="dxa"/>
            <w:vAlign w:val="bottom"/>
            <w:shd w:val="clear" w:color="auto" w:fill="F4F3F3"/>
          </w:tcPr>
          <w:p>
            <w:pPr>
              <w:spacing w:after="0"/>
              <w:rPr>
                <w:sz w:val="11"/>
                <w:szCs w:val="11"/>
                <w:color w:val="auto"/>
              </w:rPr>
            </w:pPr>
          </w:p>
        </w:tc>
        <w:tc>
          <w:tcPr>
            <w:tcW w:w="580" w:type="dxa"/>
            <w:vAlign w:val="bottom"/>
            <w:shd w:val="clear" w:color="auto" w:fill="F4F3F3"/>
          </w:tcPr>
          <w:p>
            <w:pPr>
              <w:jc w:val="right"/>
              <w:spacing w:after="0" w:line="135" w:lineRule="exact"/>
              <w:rPr>
                <w:sz w:val="20"/>
                <w:szCs w:val="20"/>
                <w:color w:val="auto"/>
              </w:rPr>
            </w:pPr>
            <w:r>
              <w:rPr>
                <w:rFonts w:ascii="Arial" w:cs="Arial" w:eastAsia="Arial" w:hAnsi="Arial"/>
                <w:sz w:val="13"/>
                <w:szCs w:val="13"/>
                <w:color w:val="auto"/>
              </w:rPr>
              <w:t>126,563</w:t>
            </w:r>
          </w:p>
        </w:tc>
        <w:tc>
          <w:tcPr>
            <w:tcW w:w="200" w:type="dxa"/>
            <w:vAlign w:val="bottom"/>
            <w:shd w:val="clear" w:color="auto" w:fill="F4F3F3"/>
          </w:tcPr>
          <w:p>
            <w:pPr>
              <w:spacing w:after="0"/>
              <w:rPr>
                <w:sz w:val="11"/>
                <w:szCs w:val="11"/>
                <w:color w:val="auto"/>
              </w:rPr>
            </w:pPr>
          </w:p>
        </w:tc>
        <w:tc>
          <w:tcPr>
            <w:tcW w:w="720" w:type="dxa"/>
            <w:vAlign w:val="bottom"/>
            <w:shd w:val="clear" w:color="auto" w:fill="F4F3F3"/>
          </w:tcPr>
          <w:p>
            <w:pPr>
              <w:jc w:val="right"/>
              <w:ind w:right="97"/>
              <w:spacing w:after="0" w:line="135" w:lineRule="exact"/>
              <w:rPr>
                <w:sz w:val="20"/>
                <w:szCs w:val="20"/>
                <w:color w:val="auto"/>
              </w:rPr>
            </w:pPr>
            <w:r>
              <w:rPr>
                <w:rFonts w:ascii="Arial" w:cs="Arial" w:eastAsia="Arial" w:hAnsi="Arial"/>
                <w:sz w:val="13"/>
                <w:szCs w:val="13"/>
                <w:color w:val="auto"/>
              </w:rPr>
              <w:t>562,500</w:t>
            </w:r>
          </w:p>
        </w:tc>
        <w:tc>
          <w:tcPr>
            <w:tcW w:w="680" w:type="dxa"/>
            <w:vAlign w:val="bottom"/>
            <w:shd w:val="clear" w:color="auto" w:fill="F4F3F3"/>
          </w:tcPr>
          <w:p>
            <w:pPr>
              <w:jc w:val="center"/>
              <w:spacing w:after="0" w:line="135" w:lineRule="exact"/>
              <w:rPr>
                <w:sz w:val="20"/>
                <w:szCs w:val="20"/>
                <w:color w:val="auto"/>
              </w:rPr>
            </w:pPr>
            <w:r>
              <w:rPr>
                <w:rFonts w:ascii="Arial" w:cs="Arial" w:eastAsia="Arial" w:hAnsi="Arial"/>
                <w:sz w:val="13"/>
                <w:szCs w:val="13"/>
                <w:color w:val="auto"/>
                <w:w w:val="96"/>
              </w:rPr>
              <w:t>1,125,000</w:t>
            </w:r>
          </w:p>
        </w:tc>
        <w:tc>
          <w:tcPr>
            <w:tcW w:w="60" w:type="dxa"/>
            <w:vAlign w:val="bottom"/>
            <w:shd w:val="clear" w:color="auto" w:fill="F4F3F3"/>
          </w:tcPr>
          <w:p>
            <w:pPr>
              <w:spacing w:after="0"/>
              <w:rPr>
                <w:sz w:val="11"/>
                <w:szCs w:val="11"/>
                <w:color w:val="auto"/>
              </w:rPr>
            </w:pPr>
          </w:p>
        </w:tc>
        <w:tc>
          <w:tcPr>
            <w:tcW w:w="60" w:type="dxa"/>
            <w:vAlign w:val="bottom"/>
            <w:shd w:val="clear" w:color="auto" w:fill="F4F3F3"/>
          </w:tcPr>
          <w:p>
            <w:pPr>
              <w:spacing w:after="0"/>
              <w:rPr>
                <w:sz w:val="11"/>
                <w:szCs w:val="11"/>
                <w:color w:val="auto"/>
              </w:rPr>
            </w:pPr>
          </w:p>
        </w:tc>
        <w:tc>
          <w:tcPr>
            <w:tcW w:w="58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F4F3F3"/>
          </w:tcPr>
          <w:p>
            <w:pPr>
              <w:spacing w:after="0"/>
              <w:rPr>
                <w:sz w:val="11"/>
                <w:szCs w:val="11"/>
                <w:color w:val="auto"/>
              </w:rPr>
            </w:pPr>
          </w:p>
        </w:tc>
        <w:tc>
          <w:tcPr>
            <w:tcW w:w="560" w:type="dxa"/>
            <w:vAlign w:val="bottom"/>
            <w:shd w:val="clear" w:color="auto" w:fill="F4F3F3"/>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F4F3F3"/>
          </w:tcPr>
          <w:p>
            <w:pPr>
              <w:ind w:left="42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F4F3F3"/>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F4F3F3"/>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jc w:val="center"/>
              <w:ind w:left="15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F4F3F3"/>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400" w:type="dxa"/>
            <w:vAlign w:val="bottom"/>
            <w:shd w:val="clear" w:color="auto" w:fill="F4F3F3"/>
          </w:tcPr>
          <w:p>
            <w:pPr>
              <w:ind w:left="180"/>
              <w:spacing w:after="0" w:line="135" w:lineRule="exact"/>
              <w:rPr>
                <w:sz w:val="20"/>
                <w:szCs w:val="20"/>
                <w:color w:val="auto"/>
              </w:rPr>
            </w:pPr>
            <w:r>
              <w:rPr>
                <w:rFonts w:ascii="Arial" w:cs="Arial" w:eastAsia="Arial" w:hAnsi="Arial"/>
                <w:sz w:val="13"/>
                <w:szCs w:val="13"/>
                <w:color w:val="auto"/>
              </w:rPr>
              <w:t>PSU</w:t>
            </w:r>
          </w:p>
        </w:tc>
        <w:tc>
          <w:tcPr>
            <w:tcW w:w="100" w:type="dxa"/>
            <w:vAlign w:val="bottom"/>
            <w:shd w:val="clear" w:color="auto" w:fill="F4F3F3"/>
          </w:tcPr>
          <w:p>
            <w:pPr>
              <w:spacing w:after="0"/>
              <w:rPr>
                <w:sz w:val="11"/>
                <w:szCs w:val="11"/>
                <w:color w:val="auto"/>
              </w:rPr>
            </w:pPr>
          </w:p>
        </w:tc>
        <w:tc>
          <w:tcPr>
            <w:tcW w:w="520" w:type="dxa"/>
            <w:vAlign w:val="bottom"/>
            <w:shd w:val="clear" w:color="auto" w:fill="F4F3F3"/>
          </w:tcPr>
          <w:p>
            <w:pPr>
              <w:ind w:left="20"/>
              <w:spacing w:after="0" w:line="135" w:lineRule="exact"/>
              <w:rPr>
                <w:sz w:val="20"/>
                <w:szCs w:val="20"/>
                <w:color w:val="auto"/>
              </w:rPr>
            </w:pPr>
            <w:r>
              <w:rPr>
                <w:rFonts w:ascii="Arial" w:cs="Arial" w:eastAsia="Arial" w:hAnsi="Arial"/>
                <w:sz w:val="13"/>
                <w:szCs w:val="13"/>
                <w:color w:val="auto"/>
              </w:rPr>
              <w:t>2/21/17</w:t>
            </w:r>
          </w:p>
        </w:tc>
        <w:tc>
          <w:tcPr>
            <w:tcW w:w="100" w:type="dxa"/>
            <w:vAlign w:val="bottom"/>
            <w:shd w:val="clear" w:color="auto" w:fill="F4F3F3"/>
          </w:tcPr>
          <w:p>
            <w:pPr>
              <w:spacing w:after="0"/>
              <w:rPr>
                <w:sz w:val="11"/>
                <w:szCs w:val="11"/>
                <w:color w:val="auto"/>
              </w:rPr>
            </w:pPr>
          </w:p>
        </w:tc>
        <w:tc>
          <w:tcPr>
            <w:tcW w:w="60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2/8/17</w:t>
            </w:r>
          </w:p>
        </w:tc>
        <w:tc>
          <w:tcPr>
            <w:tcW w:w="60" w:type="dxa"/>
            <w:vAlign w:val="bottom"/>
            <w:shd w:val="clear" w:color="auto" w:fill="F4F3F3"/>
          </w:tcPr>
          <w:p>
            <w:pPr>
              <w:spacing w:after="0"/>
              <w:rPr>
                <w:sz w:val="11"/>
                <w:szCs w:val="11"/>
                <w:color w:val="auto"/>
              </w:rPr>
            </w:pPr>
          </w:p>
        </w:tc>
        <w:tc>
          <w:tcPr>
            <w:tcW w:w="40" w:type="dxa"/>
            <w:vAlign w:val="bottom"/>
            <w:shd w:val="clear" w:color="auto" w:fill="F4F3F3"/>
          </w:tcPr>
          <w:p>
            <w:pPr>
              <w:spacing w:after="0"/>
              <w:rPr>
                <w:sz w:val="11"/>
                <w:szCs w:val="11"/>
                <w:color w:val="auto"/>
              </w:rPr>
            </w:pPr>
          </w:p>
        </w:tc>
        <w:tc>
          <w:tcPr>
            <w:tcW w:w="580" w:type="dxa"/>
            <w:vAlign w:val="bottom"/>
            <w:shd w:val="clear" w:color="auto" w:fill="F4F3F3"/>
          </w:tcPr>
          <w:p>
            <w:pPr>
              <w:ind w:left="38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F4F3F3"/>
          </w:tcPr>
          <w:p>
            <w:pPr>
              <w:spacing w:after="0"/>
              <w:rPr>
                <w:sz w:val="11"/>
                <w:szCs w:val="11"/>
                <w:color w:val="auto"/>
              </w:rPr>
            </w:pPr>
          </w:p>
        </w:tc>
        <w:tc>
          <w:tcPr>
            <w:tcW w:w="720" w:type="dxa"/>
            <w:vAlign w:val="bottom"/>
            <w:shd w:val="clear" w:color="auto" w:fill="F4F3F3"/>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ind w:left="4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F4F3F3"/>
          </w:tcPr>
          <w:p>
            <w:pPr>
              <w:spacing w:after="0"/>
              <w:rPr>
                <w:sz w:val="11"/>
                <w:szCs w:val="11"/>
                <w:color w:val="auto"/>
              </w:rPr>
            </w:pPr>
          </w:p>
        </w:tc>
        <w:tc>
          <w:tcPr>
            <w:tcW w:w="60" w:type="dxa"/>
            <w:vAlign w:val="bottom"/>
            <w:shd w:val="clear" w:color="auto" w:fill="F4F3F3"/>
          </w:tcPr>
          <w:p>
            <w:pPr>
              <w:spacing w:after="0"/>
              <w:rPr>
                <w:sz w:val="11"/>
                <w:szCs w:val="11"/>
                <w:color w:val="auto"/>
              </w:rPr>
            </w:pPr>
          </w:p>
        </w:tc>
        <w:tc>
          <w:tcPr>
            <w:tcW w:w="580" w:type="dxa"/>
            <w:vAlign w:val="bottom"/>
            <w:shd w:val="clear" w:color="auto" w:fill="F4F3F3"/>
          </w:tcPr>
          <w:p>
            <w:pPr>
              <w:jc w:val="right"/>
              <w:spacing w:after="0" w:line="135" w:lineRule="exact"/>
              <w:rPr>
                <w:sz w:val="20"/>
                <w:szCs w:val="20"/>
                <w:color w:val="auto"/>
              </w:rPr>
            </w:pPr>
            <w:r>
              <w:rPr>
                <w:rFonts w:ascii="Arial" w:cs="Arial" w:eastAsia="Arial" w:hAnsi="Arial"/>
                <w:sz w:val="13"/>
                <w:szCs w:val="13"/>
                <w:color w:val="auto"/>
              </w:rPr>
              <w:t>5,889</w:t>
            </w:r>
          </w:p>
        </w:tc>
        <w:tc>
          <w:tcPr>
            <w:tcW w:w="680" w:type="dxa"/>
            <w:vAlign w:val="bottom"/>
            <w:gridSpan w:val="2"/>
            <w:shd w:val="clear" w:color="auto" w:fill="F4F3F3"/>
          </w:tcPr>
          <w:p>
            <w:pPr>
              <w:jc w:val="right"/>
              <w:ind w:right="57"/>
              <w:spacing w:after="0" w:line="135" w:lineRule="exact"/>
              <w:rPr>
                <w:sz w:val="20"/>
                <w:szCs w:val="20"/>
                <w:color w:val="auto"/>
              </w:rPr>
            </w:pPr>
            <w:r>
              <w:rPr>
                <w:rFonts w:ascii="Arial" w:cs="Arial" w:eastAsia="Arial" w:hAnsi="Arial"/>
                <w:sz w:val="13"/>
                <w:szCs w:val="13"/>
                <w:color w:val="auto"/>
              </w:rPr>
              <w:t>11,778</w:t>
            </w:r>
          </w:p>
        </w:tc>
        <w:tc>
          <w:tcPr>
            <w:tcW w:w="820" w:type="dxa"/>
            <w:vAlign w:val="bottom"/>
            <w:shd w:val="clear" w:color="auto" w:fill="F4F3F3"/>
          </w:tcPr>
          <w:p>
            <w:pPr>
              <w:jc w:val="right"/>
              <w:ind w:right="137"/>
              <w:spacing w:after="0" w:line="135" w:lineRule="exact"/>
              <w:rPr>
                <w:sz w:val="20"/>
                <w:szCs w:val="20"/>
                <w:color w:val="auto"/>
              </w:rPr>
            </w:pPr>
            <w:r>
              <w:rPr>
                <w:rFonts w:ascii="Arial" w:cs="Arial" w:eastAsia="Arial" w:hAnsi="Arial"/>
                <w:sz w:val="13"/>
                <w:szCs w:val="13"/>
                <w:color w:val="auto"/>
              </w:rPr>
              <w:t>17,667</w:t>
            </w:r>
          </w:p>
        </w:tc>
        <w:tc>
          <w:tcPr>
            <w:tcW w:w="600" w:type="dxa"/>
            <w:vAlign w:val="bottom"/>
            <w:shd w:val="clear" w:color="auto" w:fill="F4F3F3"/>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F4F3F3"/>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jc w:val="center"/>
              <w:ind w:left="15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991,354</w:t>
            </w:r>
          </w:p>
        </w:tc>
        <w:tc>
          <w:tcPr>
            <w:tcW w:w="0" w:type="dxa"/>
            <w:vAlign w:val="bottom"/>
          </w:tcPr>
          <w:p>
            <w:pPr>
              <w:spacing w:after="0"/>
              <w:rPr>
                <w:sz w:val="1"/>
                <w:szCs w:val="1"/>
                <w:color w:val="auto"/>
              </w:rPr>
            </w:pPr>
          </w:p>
        </w:tc>
      </w:tr>
      <w:tr>
        <w:trPr>
          <w:trHeight w:val="135"/>
        </w:trPr>
        <w:tc>
          <w:tcPr>
            <w:tcW w:w="2400" w:type="dxa"/>
            <w:vAlign w:val="bottom"/>
            <w:shd w:val="clear" w:color="auto" w:fill="F4F3F3"/>
          </w:tcPr>
          <w:p>
            <w:pPr>
              <w:ind w:left="180"/>
              <w:spacing w:after="0" w:line="135" w:lineRule="exact"/>
              <w:rPr>
                <w:sz w:val="20"/>
                <w:szCs w:val="20"/>
                <w:color w:val="auto"/>
              </w:rPr>
            </w:pPr>
            <w:r>
              <w:rPr>
                <w:rFonts w:ascii="Arial" w:cs="Arial" w:eastAsia="Arial" w:hAnsi="Arial"/>
                <w:sz w:val="13"/>
                <w:szCs w:val="13"/>
                <w:color w:val="auto"/>
              </w:rPr>
              <w:t>RSU</w:t>
            </w:r>
          </w:p>
        </w:tc>
        <w:tc>
          <w:tcPr>
            <w:tcW w:w="100" w:type="dxa"/>
            <w:vAlign w:val="bottom"/>
            <w:shd w:val="clear" w:color="auto" w:fill="F4F3F3"/>
          </w:tcPr>
          <w:p>
            <w:pPr>
              <w:spacing w:after="0"/>
              <w:rPr>
                <w:sz w:val="11"/>
                <w:szCs w:val="11"/>
                <w:color w:val="auto"/>
              </w:rPr>
            </w:pPr>
          </w:p>
        </w:tc>
        <w:tc>
          <w:tcPr>
            <w:tcW w:w="520" w:type="dxa"/>
            <w:vAlign w:val="bottom"/>
            <w:shd w:val="clear" w:color="auto" w:fill="F4F3F3"/>
          </w:tcPr>
          <w:p>
            <w:pPr>
              <w:ind w:left="20"/>
              <w:spacing w:after="0" w:line="135" w:lineRule="exact"/>
              <w:rPr>
                <w:sz w:val="20"/>
                <w:szCs w:val="20"/>
                <w:color w:val="auto"/>
              </w:rPr>
            </w:pPr>
            <w:r>
              <w:rPr>
                <w:rFonts w:ascii="Arial" w:cs="Arial" w:eastAsia="Arial" w:hAnsi="Arial"/>
                <w:sz w:val="13"/>
                <w:szCs w:val="13"/>
                <w:color w:val="auto"/>
              </w:rPr>
              <w:t>2/21/17</w:t>
            </w:r>
          </w:p>
        </w:tc>
        <w:tc>
          <w:tcPr>
            <w:tcW w:w="100" w:type="dxa"/>
            <w:vAlign w:val="bottom"/>
            <w:shd w:val="clear" w:color="auto" w:fill="F4F3F3"/>
          </w:tcPr>
          <w:p>
            <w:pPr>
              <w:spacing w:after="0"/>
              <w:rPr>
                <w:sz w:val="11"/>
                <w:szCs w:val="11"/>
                <w:color w:val="auto"/>
              </w:rPr>
            </w:pPr>
          </w:p>
        </w:tc>
        <w:tc>
          <w:tcPr>
            <w:tcW w:w="60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2/8/17</w:t>
            </w:r>
          </w:p>
        </w:tc>
        <w:tc>
          <w:tcPr>
            <w:tcW w:w="60" w:type="dxa"/>
            <w:vAlign w:val="bottom"/>
            <w:shd w:val="clear" w:color="auto" w:fill="F4F3F3"/>
          </w:tcPr>
          <w:p>
            <w:pPr>
              <w:spacing w:after="0"/>
              <w:rPr>
                <w:sz w:val="11"/>
                <w:szCs w:val="11"/>
                <w:color w:val="auto"/>
              </w:rPr>
            </w:pPr>
          </w:p>
        </w:tc>
        <w:tc>
          <w:tcPr>
            <w:tcW w:w="40" w:type="dxa"/>
            <w:vAlign w:val="bottom"/>
            <w:shd w:val="clear" w:color="auto" w:fill="F4F3F3"/>
          </w:tcPr>
          <w:p>
            <w:pPr>
              <w:spacing w:after="0"/>
              <w:rPr>
                <w:sz w:val="11"/>
                <w:szCs w:val="11"/>
                <w:color w:val="auto"/>
              </w:rPr>
            </w:pPr>
          </w:p>
        </w:tc>
        <w:tc>
          <w:tcPr>
            <w:tcW w:w="580" w:type="dxa"/>
            <w:vAlign w:val="bottom"/>
            <w:shd w:val="clear" w:color="auto" w:fill="F4F3F3"/>
          </w:tcPr>
          <w:p>
            <w:pPr>
              <w:ind w:left="38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F4F3F3"/>
          </w:tcPr>
          <w:p>
            <w:pPr>
              <w:spacing w:after="0"/>
              <w:rPr>
                <w:sz w:val="11"/>
                <w:szCs w:val="11"/>
                <w:color w:val="auto"/>
              </w:rPr>
            </w:pPr>
          </w:p>
        </w:tc>
        <w:tc>
          <w:tcPr>
            <w:tcW w:w="720" w:type="dxa"/>
            <w:vAlign w:val="bottom"/>
            <w:shd w:val="clear" w:color="auto" w:fill="F4F3F3"/>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ind w:left="4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F4F3F3"/>
          </w:tcPr>
          <w:p>
            <w:pPr>
              <w:spacing w:after="0"/>
              <w:rPr>
                <w:sz w:val="11"/>
                <w:szCs w:val="11"/>
                <w:color w:val="auto"/>
              </w:rPr>
            </w:pPr>
          </w:p>
        </w:tc>
        <w:tc>
          <w:tcPr>
            <w:tcW w:w="60" w:type="dxa"/>
            <w:vAlign w:val="bottom"/>
            <w:shd w:val="clear" w:color="auto" w:fill="F4F3F3"/>
          </w:tcPr>
          <w:p>
            <w:pPr>
              <w:spacing w:after="0"/>
              <w:rPr>
                <w:sz w:val="11"/>
                <w:szCs w:val="11"/>
                <w:color w:val="auto"/>
              </w:rPr>
            </w:pPr>
          </w:p>
        </w:tc>
        <w:tc>
          <w:tcPr>
            <w:tcW w:w="58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F4F3F3"/>
          </w:tcPr>
          <w:p>
            <w:pPr>
              <w:spacing w:after="0"/>
              <w:rPr>
                <w:sz w:val="11"/>
                <w:szCs w:val="11"/>
                <w:color w:val="auto"/>
              </w:rPr>
            </w:pPr>
          </w:p>
        </w:tc>
        <w:tc>
          <w:tcPr>
            <w:tcW w:w="560" w:type="dxa"/>
            <w:vAlign w:val="bottom"/>
            <w:shd w:val="clear" w:color="auto" w:fill="F4F3F3"/>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F4F3F3"/>
          </w:tcPr>
          <w:p>
            <w:pPr>
              <w:ind w:left="42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8,835</w:t>
            </w:r>
          </w:p>
        </w:tc>
        <w:tc>
          <w:tcPr>
            <w:tcW w:w="780" w:type="dxa"/>
            <w:vAlign w:val="bottom"/>
            <w:shd w:val="clear" w:color="auto" w:fill="F4F3F3"/>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jc w:val="center"/>
              <w:ind w:left="157"/>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F4F3F3"/>
          </w:tcPr>
          <w:p>
            <w:pPr>
              <w:jc w:val="right"/>
              <w:ind w:right="17"/>
              <w:spacing w:after="0" w:line="135" w:lineRule="exact"/>
              <w:rPr>
                <w:sz w:val="20"/>
                <w:szCs w:val="20"/>
                <w:color w:val="auto"/>
              </w:rPr>
            </w:pPr>
            <w:r>
              <w:rPr>
                <w:rFonts w:ascii="Arial" w:cs="Arial" w:eastAsia="Arial" w:hAnsi="Arial"/>
                <w:sz w:val="13"/>
                <w:szCs w:val="13"/>
                <w:color w:val="auto"/>
              </w:rPr>
              <w:t>722,438</w:t>
            </w:r>
          </w:p>
        </w:tc>
        <w:tc>
          <w:tcPr>
            <w:tcW w:w="0" w:type="dxa"/>
            <w:vAlign w:val="bottom"/>
          </w:tcPr>
          <w:p>
            <w:pPr>
              <w:spacing w:after="0"/>
              <w:rPr>
                <w:sz w:val="1"/>
                <w:szCs w:val="1"/>
                <w:color w:val="auto"/>
              </w:rPr>
            </w:pPr>
          </w:p>
        </w:tc>
      </w:tr>
      <w:tr>
        <w:trPr>
          <w:trHeight w:val="170"/>
        </w:trPr>
        <w:tc>
          <w:tcPr>
            <w:tcW w:w="2400" w:type="dxa"/>
            <w:vAlign w:val="bottom"/>
            <w:shd w:val="clear" w:color="auto" w:fill="F4F3F3"/>
          </w:tcPr>
          <w:p>
            <w:pPr>
              <w:ind w:left="180"/>
              <w:spacing w:after="0"/>
              <w:rPr>
                <w:sz w:val="20"/>
                <w:szCs w:val="20"/>
                <w:color w:val="auto"/>
              </w:rPr>
            </w:pPr>
            <w:r>
              <w:rPr>
                <w:rFonts w:ascii="Arial" w:cs="Arial" w:eastAsia="Arial" w:hAnsi="Arial"/>
                <w:sz w:val="13"/>
                <w:szCs w:val="13"/>
                <w:color w:val="auto"/>
              </w:rPr>
              <w:t>SAR</w:t>
            </w:r>
          </w:p>
        </w:tc>
        <w:tc>
          <w:tcPr>
            <w:tcW w:w="100" w:type="dxa"/>
            <w:vAlign w:val="bottom"/>
            <w:shd w:val="clear" w:color="auto" w:fill="F4F3F3"/>
          </w:tcPr>
          <w:p>
            <w:pPr>
              <w:spacing w:after="0"/>
              <w:rPr>
                <w:sz w:val="14"/>
                <w:szCs w:val="14"/>
                <w:color w:val="auto"/>
              </w:rPr>
            </w:pPr>
          </w:p>
        </w:tc>
        <w:tc>
          <w:tcPr>
            <w:tcW w:w="520" w:type="dxa"/>
            <w:vAlign w:val="bottom"/>
            <w:shd w:val="clear" w:color="auto" w:fill="F4F3F3"/>
          </w:tcPr>
          <w:p>
            <w:pPr>
              <w:ind w:left="20"/>
              <w:spacing w:after="0"/>
              <w:rPr>
                <w:sz w:val="20"/>
                <w:szCs w:val="20"/>
                <w:color w:val="auto"/>
              </w:rPr>
            </w:pPr>
            <w:r>
              <w:rPr>
                <w:rFonts w:ascii="Arial" w:cs="Arial" w:eastAsia="Arial" w:hAnsi="Arial"/>
                <w:sz w:val="13"/>
                <w:szCs w:val="13"/>
                <w:color w:val="auto"/>
              </w:rPr>
              <w:t>2/21/17</w:t>
            </w:r>
          </w:p>
        </w:tc>
        <w:tc>
          <w:tcPr>
            <w:tcW w:w="100" w:type="dxa"/>
            <w:vAlign w:val="bottom"/>
            <w:shd w:val="clear" w:color="auto" w:fill="F4F3F3"/>
          </w:tcPr>
          <w:p>
            <w:pPr>
              <w:spacing w:after="0"/>
              <w:rPr>
                <w:sz w:val="14"/>
                <w:szCs w:val="14"/>
                <w:color w:val="auto"/>
              </w:rPr>
            </w:pPr>
          </w:p>
        </w:tc>
        <w:tc>
          <w:tcPr>
            <w:tcW w:w="60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2/8/17</w:t>
            </w:r>
          </w:p>
        </w:tc>
        <w:tc>
          <w:tcPr>
            <w:tcW w:w="60" w:type="dxa"/>
            <w:vAlign w:val="bottom"/>
            <w:shd w:val="clear" w:color="auto" w:fill="F4F3F3"/>
          </w:tcPr>
          <w:p>
            <w:pPr>
              <w:spacing w:after="0"/>
              <w:rPr>
                <w:sz w:val="14"/>
                <w:szCs w:val="14"/>
                <w:color w:val="auto"/>
              </w:rPr>
            </w:pPr>
          </w:p>
        </w:tc>
        <w:tc>
          <w:tcPr>
            <w:tcW w:w="40" w:type="dxa"/>
            <w:vAlign w:val="bottom"/>
            <w:shd w:val="clear" w:color="auto" w:fill="F4F3F3"/>
          </w:tcPr>
          <w:p>
            <w:pPr>
              <w:spacing w:after="0"/>
              <w:rPr>
                <w:sz w:val="14"/>
                <w:szCs w:val="14"/>
                <w:color w:val="auto"/>
              </w:rPr>
            </w:pPr>
          </w:p>
        </w:tc>
        <w:tc>
          <w:tcPr>
            <w:tcW w:w="580" w:type="dxa"/>
            <w:vAlign w:val="bottom"/>
            <w:shd w:val="clear" w:color="auto" w:fill="F4F3F3"/>
          </w:tcPr>
          <w:p>
            <w:pPr>
              <w:ind w:left="380"/>
              <w:spacing w:after="0"/>
              <w:rPr>
                <w:sz w:val="20"/>
                <w:szCs w:val="20"/>
                <w:color w:val="auto"/>
              </w:rPr>
            </w:pPr>
            <w:r>
              <w:rPr>
                <w:rFonts w:ascii="Arial" w:cs="Arial" w:eastAsia="Arial" w:hAnsi="Arial"/>
                <w:sz w:val="13"/>
                <w:szCs w:val="13"/>
                <w:color w:val="auto"/>
              </w:rPr>
              <w:t>—</w:t>
            </w:r>
          </w:p>
        </w:tc>
        <w:tc>
          <w:tcPr>
            <w:tcW w:w="200" w:type="dxa"/>
            <w:vAlign w:val="bottom"/>
            <w:shd w:val="clear" w:color="auto" w:fill="F4F3F3"/>
          </w:tcPr>
          <w:p>
            <w:pPr>
              <w:spacing w:after="0"/>
              <w:rPr>
                <w:sz w:val="14"/>
                <w:szCs w:val="14"/>
                <w:color w:val="auto"/>
              </w:rPr>
            </w:pPr>
          </w:p>
        </w:tc>
        <w:tc>
          <w:tcPr>
            <w:tcW w:w="720" w:type="dxa"/>
            <w:vAlign w:val="bottom"/>
            <w:shd w:val="clear" w:color="auto" w:fill="F4F3F3"/>
          </w:tcPr>
          <w:p>
            <w:pPr>
              <w:jc w:val="right"/>
              <w:ind w:right="177"/>
              <w:spacing w:after="0"/>
              <w:rPr>
                <w:sz w:val="20"/>
                <w:szCs w:val="20"/>
                <w:color w:val="auto"/>
              </w:rPr>
            </w:pPr>
            <w:r>
              <w:rPr>
                <w:rFonts w:ascii="Arial" w:cs="Arial" w:eastAsia="Arial" w:hAnsi="Arial"/>
                <w:sz w:val="13"/>
                <w:szCs w:val="13"/>
                <w:color w:val="auto"/>
              </w:rPr>
              <w:t>—</w:t>
            </w:r>
          </w:p>
        </w:tc>
        <w:tc>
          <w:tcPr>
            <w:tcW w:w="680" w:type="dxa"/>
            <w:vAlign w:val="bottom"/>
            <w:shd w:val="clear" w:color="auto" w:fill="F4F3F3"/>
          </w:tcPr>
          <w:p>
            <w:pPr>
              <w:ind w:left="400"/>
              <w:spacing w:after="0"/>
              <w:rPr>
                <w:sz w:val="20"/>
                <w:szCs w:val="20"/>
                <w:color w:val="auto"/>
              </w:rPr>
            </w:pPr>
            <w:r>
              <w:rPr>
                <w:rFonts w:ascii="Arial" w:cs="Arial" w:eastAsia="Arial" w:hAnsi="Arial"/>
                <w:sz w:val="13"/>
                <w:szCs w:val="13"/>
                <w:color w:val="auto"/>
              </w:rPr>
              <w:t>—</w:t>
            </w:r>
          </w:p>
        </w:tc>
        <w:tc>
          <w:tcPr>
            <w:tcW w:w="60" w:type="dxa"/>
            <w:vAlign w:val="bottom"/>
            <w:shd w:val="clear" w:color="auto" w:fill="F4F3F3"/>
          </w:tcPr>
          <w:p>
            <w:pPr>
              <w:spacing w:after="0"/>
              <w:rPr>
                <w:sz w:val="14"/>
                <w:szCs w:val="14"/>
                <w:color w:val="auto"/>
              </w:rPr>
            </w:pPr>
          </w:p>
        </w:tc>
        <w:tc>
          <w:tcPr>
            <w:tcW w:w="60" w:type="dxa"/>
            <w:vAlign w:val="bottom"/>
            <w:shd w:val="clear" w:color="auto" w:fill="F4F3F3"/>
          </w:tcPr>
          <w:p>
            <w:pPr>
              <w:spacing w:after="0"/>
              <w:rPr>
                <w:sz w:val="14"/>
                <w:szCs w:val="14"/>
                <w:color w:val="auto"/>
              </w:rPr>
            </w:pPr>
          </w:p>
        </w:tc>
        <w:tc>
          <w:tcPr>
            <w:tcW w:w="58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shd w:val="clear" w:color="auto" w:fill="F4F3F3"/>
          </w:tcPr>
          <w:p>
            <w:pPr>
              <w:spacing w:after="0"/>
              <w:rPr>
                <w:sz w:val="14"/>
                <w:szCs w:val="14"/>
                <w:color w:val="auto"/>
              </w:rPr>
            </w:pPr>
          </w:p>
        </w:tc>
        <w:tc>
          <w:tcPr>
            <w:tcW w:w="560" w:type="dxa"/>
            <w:vAlign w:val="bottom"/>
            <w:shd w:val="clear" w:color="auto" w:fill="F4F3F3"/>
          </w:tcPr>
          <w:p>
            <w:pPr>
              <w:jc w:val="right"/>
              <w:ind w:right="117"/>
              <w:spacing w:after="0"/>
              <w:rPr>
                <w:sz w:val="20"/>
                <w:szCs w:val="20"/>
                <w:color w:val="auto"/>
              </w:rPr>
            </w:pPr>
            <w:r>
              <w:rPr>
                <w:rFonts w:ascii="Arial" w:cs="Arial" w:eastAsia="Arial" w:hAnsi="Arial"/>
                <w:sz w:val="13"/>
                <w:szCs w:val="13"/>
                <w:color w:val="auto"/>
              </w:rPr>
              <w:t>—</w:t>
            </w:r>
          </w:p>
        </w:tc>
        <w:tc>
          <w:tcPr>
            <w:tcW w:w="820" w:type="dxa"/>
            <w:vAlign w:val="bottom"/>
            <w:shd w:val="clear" w:color="auto" w:fill="F4F3F3"/>
          </w:tcPr>
          <w:p>
            <w:pPr>
              <w:ind w:left="420"/>
              <w:spacing w:after="0"/>
              <w:rPr>
                <w:sz w:val="20"/>
                <w:szCs w:val="20"/>
                <w:color w:val="auto"/>
              </w:rPr>
            </w:pPr>
            <w:r>
              <w:rPr>
                <w:rFonts w:ascii="Arial" w:cs="Arial" w:eastAsia="Arial" w:hAnsi="Arial"/>
                <w:sz w:val="13"/>
                <w:szCs w:val="13"/>
                <w:color w:val="auto"/>
              </w:rPr>
              <w:t>—</w:t>
            </w:r>
          </w:p>
        </w:tc>
        <w:tc>
          <w:tcPr>
            <w:tcW w:w="600" w:type="dxa"/>
            <w:vAlign w:val="bottom"/>
            <w:shd w:val="clear" w:color="auto" w:fill="F4F3F3"/>
          </w:tcPr>
          <w:p>
            <w:pPr>
              <w:jc w:val="right"/>
              <w:ind w:right="97"/>
              <w:spacing w:after="0"/>
              <w:rPr>
                <w:sz w:val="20"/>
                <w:szCs w:val="20"/>
                <w:color w:val="auto"/>
              </w:rPr>
            </w:pPr>
            <w:r>
              <w:rPr>
                <w:rFonts w:ascii="Arial" w:cs="Arial" w:eastAsia="Arial" w:hAnsi="Arial"/>
                <w:sz w:val="13"/>
                <w:szCs w:val="13"/>
                <w:color w:val="auto"/>
              </w:rPr>
              <w:t>—</w:t>
            </w:r>
          </w:p>
        </w:tc>
        <w:tc>
          <w:tcPr>
            <w:tcW w:w="780" w:type="dxa"/>
            <w:vAlign w:val="bottom"/>
            <w:shd w:val="clear" w:color="auto" w:fill="F4F3F3"/>
          </w:tcPr>
          <w:p>
            <w:pPr>
              <w:jc w:val="right"/>
              <w:spacing w:after="0"/>
              <w:rPr>
                <w:sz w:val="20"/>
                <w:szCs w:val="20"/>
                <w:color w:val="auto"/>
              </w:rPr>
            </w:pPr>
            <w:r>
              <w:rPr>
                <w:rFonts w:ascii="Arial" w:cs="Arial" w:eastAsia="Arial" w:hAnsi="Arial"/>
                <w:sz w:val="13"/>
                <w:szCs w:val="13"/>
                <w:color w:val="auto"/>
              </w:rPr>
              <w:t>25,854</w:t>
            </w:r>
          </w:p>
        </w:tc>
        <w:tc>
          <w:tcPr>
            <w:tcW w:w="680" w:type="dxa"/>
            <w:vAlign w:val="bottom"/>
            <w:shd w:val="clear" w:color="auto" w:fill="F4F3F3"/>
          </w:tcPr>
          <w:p>
            <w:pPr>
              <w:jc w:val="center"/>
              <w:ind w:left="97"/>
              <w:spacing w:after="0"/>
              <w:rPr>
                <w:sz w:val="20"/>
                <w:szCs w:val="20"/>
                <w:color w:val="auto"/>
              </w:rPr>
            </w:pPr>
            <w:r>
              <w:rPr>
                <w:rFonts w:ascii="Arial" w:cs="Arial" w:eastAsia="Arial" w:hAnsi="Arial"/>
                <w:sz w:val="13"/>
                <w:szCs w:val="13"/>
                <w:color w:val="auto"/>
                <w:w w:val="98"/>
              </w:rPr>
              <w:t>88.31</w:t>
            </w:r>
          </w:p>
        </w:tc>
        <w:tc>
          <w:tcPr>
            <w:tcW w:w="740" w:type="dxa"/>
            <w:vAlign w:val="bottom"/>
            <w:shd w:val="clear" w:color="auto" w:fill="F4F3F3"/>
          </w:tcPr>
          <w:p>
            <w:pPr>
              <w:jc w:val="right"/>
              <w:ind w:right="17"/>
              <w:spacing w:after="0"/>
              <w:rPr>
                <w:sz w:val="20"/>
                <w:szCs w:val="20"/>
                <w:color w:val="auto"/>
              </w:rPr>
            </w:pPr>
            <w:r>
              <w:rPr>
                <w:rFonts w:ascii="Arial" w:cs="Arial" w:eastAsia="Arial" w:hAnsi="Arial"/>
                <w:sz w:val="13"/>
                <w:szCs w:val="13"/>
                <w:color w:val="auto"/>
              </w:rPr>
              <w:t>765,020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-3408680</wp:posOffset>
            </wp:positionV>
            <wp:extent cx="6989445" cy="34175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89445" cy="3417570"/>
                    </a:xfrm>
                    <a:prstGeom prst="rect">
                      <a:avLst/>
                    </a:prstGeom>
                    <a:noFill/>
                  </pic:spPr>
                </pic:pic>
              </a:graphicData>
            </a:graphic>
          </wp:anchor>
        </w:drawing>
      </w:r>
    </w:p>
    <w:p>
      <w:pPr>
        <w:spacing w:after="0" w:line="223" w:lineRule="exact"/>
        <w:rPr>
          <w:sz w:val="20"/>
          <w:szCs w:val="20"/>
          <w:color w:val="auto"/>
        </w:rPr>
      </w:pPr>
    </w:p>
    <w:p>
      <w:pPr>
        <w:jc w:val="both"/>
        <w:ind w:left="420" w:right="200" w:hanging="210"/>
        <w:spacing w:after="0" w:line="202" w:lineRule="auto"/>
        <w:tabs>
          <w:tab w:leader="none" w:pos="420" w:val="left"/>
        </w:tabs>
        <w:numPr>
          <w:ilvl w:val="0"/>
          <w:numId w:val="106"/>
        </w:numPr>
        <w:rPr>
          <w:rFonts w:ascii="Arial" w:cs="Arial" w:eastAsia="Arial" w:hAnsi="Arial"/>
          <w:sz w:val="24"/>
          <w:szCs w:val="24"/>
          <w:color w:val="333333"/>
          <w:vertAlign w:val="superscript"/>
        </w:rPr>
      </w:pPr>
      <w:r>
        <w:rPr>
          <w:rFonts w:ascii="Arial" w:cs="Arial" w:eastAsia="Arial" w:hAnsi="Arial"/>
          <w:sz w:val="14"/>
          <w:szCs w:val="14"/>
          <w:color w:val="333333"/>
        </w:rPr>
        <w:t>The Committee approved the annual stock awards for Mr. Capuano, Ms. Linnartz, Mr. Grissen and Ms. Oberg at its February 8, 2017 meeting, and the Board approved the annual stock awards for Mr. Sorenson at its February 10, 2017 meeting. Pursuant to the Company’s equity compensation grant procedures described in the CD&amp;A, the grant date of these awards was February 21, 2017, the second trading day following the Company’s annual earnings conference call for the 2016 fiscal year.</w:t>
      </w:r>
    </w:p>
    <w:p>
      <w:pPr>
        <w:ind w:left="420" w:right="80" w:hanging="210"/>
        <w:spacing w:after="0" w:line="182" w:lineRule="auto"/>
        <w:tabs>
          <w:tab w:leader="none" w:pos="420" w:val="left"/>
        </w:tabs>
        <w:numPr>
          <w:ilvl w:val="0"/>
          <w:numId w:val="106"/>
        </w:numPr>
        <w:rPr>
          <w:rFonts w:ascii="Arial" w:cs="Arial" w:eastAsia="Arial" w:hAnsi="Arial"/>
          <w:sz w:val="23"/>
          <w:szCs w:val="23"/>
          <w:color w:val="333333"/>
          <w:vertAlign w:val="superscript"/>
        </w:rPr>
      </w:pPr>
      <w:r>
        <w:rPr>
          <w:rFonts w:ascii="Arial" w:cs="Arial" w:eastAsia="Arial" w:hAnsi="Arial"/>
          <w:sz w:val="14"/>
          <w:szCs w:val="14"/>
          <w:color w:val="333333"/>
        </w:rPr>
        <w:t>The amounts reported in these columns include potential payouts corresponding to achievement of the threshold, target and maximum performance objectives under the Company’s annual cash incentive program.</w:t>
      </w:r>
    </w:p>
    <w:p>
      <w:pPr>
        <w:spacing w:after="0" w:line="1" w:lineRule="exact"/>
        <w:rPr>
          <w:rFonts w:ascii="Arial" w:cs="Arial" w:eastAsia="Arial" w:hAnsi="Arial"/>
          <w:sz w:val="23"/>
          <w:szCs w:val="23"/>
          <w:color w:val="333333"/>
          <w:vertAlign w:val="superscript"/>
        </w:rPr>
      </w:pPr>
    </w:p>
    <w:p>
      <w:pPr>
        <w:ind w:left="420" w:right="180" w:hanging="210"/>
        <w:spacing w:after="0" w:line="204" w:lineRule="auto"/>
        <w:tabs>
          <w:tab w:leader="none" w:pos="420" w:val="left"/>
        </w:tabs>
        <w:numPr>
          <w:ilvl w:val="0"/>
          <w:numId w:val="106"/>
        </w:numPr>
        <w:rPr>
          <w:rFonts w:ascii="Arial" w:cs="Arial" w:eastAsia="Arial" w:hAnsi="Arial"/>
          <w:sz w:val="24"/>
          <w:szCs w:val="24"/>
          <w:color w:val="333333"/>
          <w:vertAlign w:val="superscript"/>
        </w:rPr>
      </w:pPr>
      <w:r>
        <w:rPr>
          <w:rFonts w:ascii="Arial" w:cs="Arial" w:eastAsia="Arial" w:hAnsi="Arial"/>
          <w:sz w:val="14"/>
          <w:szCs w:val="14"/>
          <w:color w:val="333333"/>
        </w:rPr>
        <w:t>These columns report the number of shares issuable under PSUs granted to the NEOs for the 2017-2019 performance period. Annual PSUs reported in these columns are conditioned on the achievement over a three-year performance period of Global RevPAR Index, Global Gross Room Openings and Global Net Administrative Expense goals, with threshold representing 50% of the target number of shares and maximum representing 150% of target. For these PSUs, one-third of the target number of shares is subject to each performance objective, with otherwise identical terms.</w:t>
      </w:r>
    </w:p>
    <w:p>
      <w:pPr>
        <w:spacing w:after="0" w:line="2" w:lineRule="exact"/>
        <w:rPr>
          <w:rFonts w:ascii="Arial" w:cs="Arial" w:eastAsia="Arial" w:hAnsi="Arial"/>
          <w:sz w:val="24"/>
          <w:szCs w:val="24"/>
          <w:color w:val="333333"/>
          <w:vertAlign w:val="superscript"/>
        </w:rPr>
      </w:pPr>
    </w:p>
    <w:p>
      <w:pPr>
        <w:ind w:left="420" w:right="100" w:hanging="210"/>
        <w:spacing w:after="0" w:line="200" w:lineRule="auto"/>
        <w:tabs>
          <w:tab w:leader="none" w:pos="420" w:val="left"/>
        </w:tabs>
        <w:numPr>
          <w:ilvl w:val="0"/>
          <w:numId w:val="106"/>
        </w:numPr>
        <w:rPr>
          <w:rFonts w:ascii="Arial" w:cs="Arial" w:eastAsia="Arial" w:hAnsi="Arial"/>
          <w:sz w:val="24"/>
          <w:szCs w:val="24"/>
          <w:color w:val="333333"/>
          <w:vertAlign w:val="superscript"/>
        </w:rPr>
      </w:pPr>
      <w:r>
        <w:rPr>
          <w:rFonts w:ascii="Arial" w:cs="Arial" w:eastAsia="Arial" w:hAnsi="Arial"/>
          <w:sz w:val="14"/>
          <w:szCs w:val="14"/>
          <w:color w:val="333333"/>
        </w:rPr>
        <w:t>The value reported for Stock Awards and SAR Awards is the aggregate grant date fair value of the awards granted in 2017 as determined in accordance with accounting standards for share-based payments, although the Company recognizes the value of the awards for financial reporting purposes over the service period of the awards. The assumptions for making the valuation determinations are set forth in</w:t>
      </w:r>
    </w:p>
    <w:p>
      <w:pPr>
        <w:spacing w:after="0" w:line="108" w:lineRule="exact"/>
        <w:rPr>
          <w:sz w:val="20"/>
          <w:szCs w:val="20"/>
          <w:color w:val="auto"/>
        </w:rPr>
      </w:pPr>
    </w:p>
    <w:tbl>
      <w:tblPr>
        <w:tblLayout w:type="fixed"/>
        <w:tblInd w:w="9180" w:type="dxa"/>
        <w:tblCellMar>
          <w:top w:w="0" w:type="dxa"/>
          <w:left w:w="0" w:type="dxa"/>
          <w:bottom w:w="0" w:type="dxa"/>
          <w:right w:w="0" w:type="dxa"/>
        </w:tblCellMar>
      </w:tblPr>
      <w:tr>
        <w:trPr>
          <w:trHeight w:val="214"/>
        </w:trPr>
        <w:tc>
          <w:tcPr>
            <w:tcW w:w="1660" w:type="dxa"/>
            <w:vAlign w:val="bottom"/>
          </w:tcPr>
          <w:p>
            <w:pPr>
              <w:spacing w:after="0"/>
              <w:rPr>
                <w:sz w:val="20"/>
                <w:szCs w:val="20"/>
                <w:color w:val="auto"/>
              </w:rPr>
            </w:pPr>
            <w:r>
              <w:rPr>
                <w:rFonts w:ascii="Arial" w:cs="Arial" w:eastAsia="Arial" w:hAnsi="Arial"/>
                <w:sz w:val="15"/>
                <w:szCs w:val="15"/>
                <w:color w:val="998C87"/>
              </w:rPr>
              <w:t>2018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47</w:t>
            </w:r>
          </w:p>
        </w:tc>
      </w:tr>
    </w:tbl>
    <w:p>
      <w:pPr>
        <w:sectPr>
          <w:pgSz w:w="11900" w:h="16838" w:orient="portrait"/>
          <w:cols w:equalWidth="0" w:num="1">
            <w:col w:w="11220"/>
          </w:cols>
          <w:pgMar w:left="240" w:top="455" w:right="4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36" w:lineRule="exact"/>
        <w:rPr>
          <w:sz w:val="20"/>
          <w:szCs w:val="20"/>
          <w:color w:val="auto"/>
        </w:rPr>
      </w:pPr>
    </w:p>
    <w:p>
      <w:pPr>
        <w:ind w:left="420" w:right="200"/>
        <w:spacing w:after="0" w:line="290" w:lineRule="auto"/>
        <w:rPr>
          <w:sz w:val="20"/>
          <w:szCs w:val="20"/>
          <w:color w:val="auto"/>
        </w:rPr>
      </w:pPr>
      <w:r>
        <w:rPr>
          <w:rFonts w:ascii="Arial" w:cs="Arial" w:eastAsia="Arial" w:hAnsi="Arial"/>
          <w:sz w:val="14"/>
          <w:szCs w:val="14"/>
          <w:color w:val="333333"/>
        </w:rPr>
        <w:t>the footnotes captioned “Share-Based Compensation” to our financial statements in the Company’s Form 10-K for the fiscal year 2017. For PSUs, the value reported is based on the probable outcome with respect to performance.</w:t>
      </w:r>
    </w:p>
    <w:p>
      <w:pPr>
        <w:spacing w:after="0" w:line="28" w:lineRule="exact"/>
        <w:rPr>
          <w:sz w:val="20"/>
          <w:szCs w:val="20"/>
          <w:color w:val="auto"/>
        </w:rPr>
      </w:pPr>
    </w:p>
    <w:p>
      <w:pPr>
        <w:ind w:left="220" w:right="200"/>
        <w:spacing w:after="0" w:line="242" w:lineRule="auto"/>
        <w:rPr>
          <w:sz w:val="20"/>
          <w:szCs w:val="20"/>
          <w:color w:val="auto"/>
        </w:rPr>
      </w:pPr>
      <w:r>
        <w:rPr>
          <w:rFonts w:ascii="Arial" w:cs="Arial" w:eastAsia="Arial" w:hAnsi="Arial"/>
          <w:sz w:val="17"/>
          <w:szCs w:val="17"/>
          <w:color w:val="auto"/>
        </w:rPr>
        <w:t>The Grants of Plan-Based Awards table reports the dollar value of cash-based annual incentive program awards (at their threshold, target and maximum achievement levels) and the number and grant date fair value of PSUs, RSUs and SARs granted under the Stock Plan to each NEO during the 2017 fiscal year. With regard to cash incentives, this table reports the range of potential amounts that could have been earned by the executive under the annual cash incentive program for 2017, whereas the Non-Equity Incentive Plan Compensation column in the Summary Compensation Table reports the actual value earned by the executive for 2017.</w:t>
      </w:r>
    </w:p>
    <w:p>
      <w:pPr>
        <w:spacing w:after="0" w:line="67" w:lineRule="exact"/>
        <w:rPr>
          <w:sz w:val="20"/>
          <w:szCs w:val="20"/>
          <w:color w:val="auto"/>
        </w:rPr>
      </w:pPr>
    </w:p>
    <w:p>
      <w:pPr>
        <w:ind w:left="220" w:right="240"/>
        <w:spacing w:after="0" w:line="274" w:lineRule="auto"/>
        <w:rPr>
          <w:sz w:val="20"/>
          <w:szCs w:val="20"/>
          <w:color w:val="auto"/>
        </w:rPr>
      </w:pPr>
      <w:r>
        <w:rPr>
          <w:rFonts w:ascii="Arial" w:cs="Arial" w:eastAsia="Arial" w:hAnsi="Arial"/>
          <w:sz w:val="17"/>
          <w:szCs w:val="17"/>
          <w:color w:val="auto"/>
        </w:rPr>
        <w:t>Annual Incentives. The Compensation Policy Committee carefully evaluates rigorous performance factors for each NEO under the annual cash incentive program. The performance factors used for 2017 are described below.</w:t>
      </w:r>
    </w:p>
    <w:p>
      <w:pPr>
        <w:spacing w:after="0" w:line="53" w:lineRule="exact"/>
        <w:rPr>
          <w:sz w:val="20"/>
          <w:szCs w:val="20"/>
          <w:color w:val="auto"/>
        </w:rPr>
      </w:pPr>
    </w:p>
    <w:p>
      <w:pPr>
        <w:ind w:left="420" w:right="140" w:hanging="210"/>
        <w:spacing w:after="0" w:line="239" w:lineRule="auto"/>
        <w:tabs>
          <w:tab w:leader="none" w:pos="420" w:val="left"/>
        </w:tabs>
        <w:numPr>
          <w:ilvl w:val="0"/>
          <w:numId w:val="107"/>
        </w:numPr>
        <w:rPr>
          <w:rFonts w:ascii="Arial" w:cs="Arial" w:eastAsia="Arial" w:hAnsi="Arial"/>
          <w:sz w:val="17"/>
          <w:szCs w:val="17"/>
          <w:color w:val="auto"/>
        </w:rPr>
      </w:pPr>
      <w:r>
        <w:rPr>
          <w:rFonts w:ascii="Arial" w:cs="Arial" w:eastAsia="Arial" w:hAnsi="Arial"/>
          <w:sz w:val="17"/>
          <w:szCs w:val="17"/>
          <w:u w:val="single" w:color="auto"/>
          <w:color w:val="998C87"/>
        </w:rPr>
        <w:t>Adjusted EPS and Operating Profit</w:t>
      </w:r>
      <w:r>
        <w:rPr>
          <w:rFonts w:ascii="Arial" w:cs="Arial" w:eastAsia="Arial" w:hAnsi="Arial"/>
          <w:sz w:val="17"/>
          <w:szCs w:val="17"/>
          <w:color w:val="000000"/>
        </w:rPr>
        <w:t>: The Company places a heavy emphasis on adjusted EPS as a performance measure because adjusted</w:t>
      </w:r>
      <w:r>
        <w:rPr>
          <w:rFonts w:ascii="Arial" w:cs="Arial" w:eastAsia="Arial" w:hAnsi="Arial"/>
          <w:sz w:val="17"/>
          <w:szCs w:val="17"/>
          <w:color w:val="998C87"/>
        </w:rPr>
        <w:t xml:space="preserve"> </w:t>
      </w:r>
      <w:r>
        <w:rPr>
          <w:rFonts w:ascii="Arial" w:cs="Arial" w:eastAsia="Arial" w:hAnsi="Arial"/>
          <w:sz w:val="17"/>
          <w:szCs w:val="17"/>
          <w:color w:val="000000"/>
        </w:rPr>
        <w:t>EPS is an important indicator of Company profitability and aligns the interests of management with those of stockholders. For purposes of the annual cash incentive program, the Company modifies EPS as reported under U.S. GAAP during the target-setting process for items that are not expected to have a direct impact on the business going forward such as merger and related costs, changes in purchase accounting, windfall tax adjustments and gain on sale. For 2017, EPS was adjusted to exclude merger and related costs, windfall tax adjustments, the provisional charge resulting from the U.S. Tax Cuts and Jobs Act of 2017, changes in purchase accounting, and the gains on the sale of the Charlotte Marriott and the sale of the Company’s ownership interest in Avendra (“Adjusted EPS”).</w:t>
      </w:r>
    </w:p>
    <w:p>
      <w:pPr>
        <w:spacing w:after="0" w:line="81" w:lineRule="exact"/>
        <w:rPr>
          <w:sz w:val="20"/>
          <w:szCs w:val="20"/>
          <w:color w:val="auto"/>
        </w:rPr>
      </w:pPr>
    </w:p>
    <w:p>
      <w:pPr>
        <w:ind w:left="460" w:right="160"/>
        <w:spacing w:after="0" w:line="236" w:lineRule="auto"/>
        <w:rPr>
          <w:sz w:val="20"/>
          <w:szCs w:val="20"/>
          <w:color w:val="auto"/>
        </w:rPr>
      </w:pPr>
      <w:r>
        <w:rPr>
          <w:rFonts w:ascii="Arial" w:cs="Arial" w:eastAsia="Arial" w:hAnsi="Arial"/>
          <w:sz w:val="17"/>
          <w:szCs w:val="17"/>
          <w:color w:val="auto"/>
        </w:rPr>
        <w:t>For 2017, the Company established the Adjusted EPS target primarily through an extensive annual budgeting process whereby each hotel and individual corporate unit developed and submitted a budget. The Company then developed a consolidated Company budget considering external market factors such as global and domestic economic forecasts and lodging industry outlook as well as internal factors such as current revenue from group bookings, expected unit growth for the year and expected capital needs. In addition, in setting the Adjusted EPS target, the Committee incorporates what it anticipates will be the approximate impact on EPS of the Company’s planned share buy-back program for the year and expected asset sales. The Adjusted EPS target excludes merger-related costs, windfall tax adjustments and gains on sale. The Board reviewed and approved the budget in February 2017. Considering these factors, the Committee set the Adjusted EPS target for 2017 at a level that the Committee believed was achievable but not certain to be met, which was $3.77. This target was approximately 14% higher than the Company’s full-year 2016 combined results. Adjusted EPS for 2017 was $4.12 which resulted in a maximum achievement level and payout relative to target. For 2017, the Committee had established the following payout scale for Adjusted EPS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148590</wp:posOffset>
            </wp:positionV>
            <wp:extent cx="6844030" cy="8051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44030" cy="805180"/>
                    </a:xfrm>
                    <a:prstGeom prst="rect">
                      <a:avLst/>
                    </a:prstGeom>
                    <a:noFill/>
                  </pic:spPr>
                </pic:pic>
              </a:graphicData>
            </a:graphic>
          </wp:anchor>
        </w:drawing>
      </w:r>
    </w:p>
    <w:p>
      <w:pPr>
        <w:spacing w:after="0" w:line="199" w:lineRule="exact"/>
        <w:rPr>
          <w:sz w:val="20"/>
          <w:szCs w:val="20"/>
          <w:color w:val="auto"/>
        </w:rPr>
      </w:pPr>
    </w:p>
    <w:tbl>
      <w:tblPr>
        <w:tblLayout w:type="fixed"/>
        <w:tblInd w:w="440" w:type="dxa"/>
        <w:tblCellMar>
          <w:top w:w="0" w:type="dxa"/>
          <w:left w:w="0" w:type="dxa"/>
          <w:bottom w:w="0" w:type="dxa"/>
          <w:right w:w="0" w:type="dxa"/>
        </w:tblCellMar>
      </w:tblPr>
      <w:tr>
        <w:trPr>
          <w:trHeight w:val="184"/>
        </w:trPr>
        <w:tc>
          <w:tcPr>
            <w:tcW w:w="7220" w:type="dxa"/>
            <w:vAlign w:val="bottom"/>
            <w:shd w:val="clear" w:color="auto" w:fill="998C87"/>
          </w:tcPr>
          <w:p>
            <w:pPr>
              <w:ind w:left="180"/>
              <w:spacing w:after="0"/>
              <w:rPr>
                <w:sz w:val="20"/>
                <w:szCs w:val="20"/>
                <w:color w:val="auto"/>
              </w:rPr>
            </w:pPr>
            <w:r>
              <w:rPr>
                <w:rFonts w:ascii="Arial" w:cs="Arial" w:eastAsia="Arial" w:hAnsi="Arial"/>
                <w:sz w:val="16"/>
                <w:szCs w:val="16"/>
                <w:b w:val="1"/>
                <w:bCs w:val="1"/>
                <w:color w:val="FFFFFF"/>
              </w:rPr>
              <w:t>Adjusted EPS</w:t>
            </w:r>
          </w:p>
        </w:tc>
        <w:tc>
          <w:tcPr>
            <w:tcW w:w="1660" w:type="dxa"/>
            <w:vAlign w:val="bottom"/>
            <w:shd w:val="clear" w:color="auto" w:fill="998C87"/>
          </w:tcPr>
          <w:p>
            <w:pPr>
              <w:spacing w:after="0"/>
              <w:rPr>
                <w:sz w:val="16"/>
                <w:szCs w:val="16"/>
                <w:color w:val="auto"/>
              </w:rPr>
            </w:pPr>
          </w:p>
        </w:tc>
        <w:tc>
          <w:tcPr>
            <w:tcW w:w="1900" w:type="dxa"/>
            <w:vAlign w:val="bottom"/>
            <w:shd w:val="clear" w:color="auto" w:fill="998C87"/>
          </w:tcPr>
          <w:p>
            <w:pPr>
              <w:spacing w:after="0"/>
              <w:rPr>
                <w:sz w:val="16"/>
                <w:szCs w:val="16"/>
                <w:color w:val="auto"/>
              </w:rPr>
            </w:pPr>
          </w:p>
        </w:tc>
      </w:tr>
      <w:tr>
        <w:trPr>
          <w:trHeight w:val="236"/>
        </w:trPr>
        <w:tc>
          <w:tcPr>
            <w:tcW w:w="7220" w:type="dxa"/>
            <w:vAlign w:val="bottom"/>
            <w:shd w:val="clear" w:color="auto" w:fill="998C87"/>
          </w:tcPr>
          <w:p>
            <w:pPr>
              <w:ind w:left="180"/>
              <w:spacing w:after="0"/>
              <w:rPr>
                <w:sz w:val="20"/>
                <w:szCs w:val="20"/>
                <w:color w:val="auto"/>
              </w:rPr>
            </w:pPr>
            <w:r>
              <w:rPr>
                <w:rFonts w:ascii="Arial" w:cs="Arial" w:eastAsia="Arial" w:hAnsi="Arial"/>
                <w:sz w:val="16"/>
                <w:szCs w:val="16"/>
                <w:b w:val="1"/>
                <w:bCs w:val="1"/>
                <w:color w:val="FFFFFF"/>
              </w:rPr>
              <w:t>Achievement vs. Target</w:t>
            </w:r>
          </w:p>
        </w:tc>
        <w:tc>
          <w:tcPr>
            <w:tcW w:w="1660" w:type="dxa"/>
            <w:vAlign w:val="bottom"/>
            <w:shd w:val="clear" w:color="auto" w:fill="998C87"/>
          </w:tcPr>
          <w:p>
            <w:pPr>
              <w:ind w:left="200"/>
              <w:spacing w:after="0"/>
              <w:rPr>
                <w:sz w:val="20"/>
                <w:szCs w:val="20"/>
                <w:color w:val="auto"/>
              </w:rPr>
            </w:pPr>
            <w:r>
              <w:rPr>
                <w:rFonts w:ascii="Arial" w:cs="Arial" w:eastAsia="Arial" w:hAnsi="Arial"/>
                <w:sz w:val="16"/>
                <w:szCs w:val="16"/>
                <w:b w:val="1"/>
                <w:bCs w:val="1"/>
                <w:color w:val="FFFFFF"/>
              </w:rPr>
              <w:t>Incentive Award</w:t>
            </w:r>
          </w:p>
        </w:tc>
        <w:tc>
          <w:tcPr>
            <w:tcW w:w="1900" w:type="dxa"/>
            <w:vAlign w:val="bottom"/>
            <w:shd w:val="clear" w:color="auto" w:fill="998C87"/>
          </w:tcPr>
          <w:p>
            <w:pPr>
              <w:jc w:val="right"/>
              <w:spacing w:after="0"/>
              <w:rPr>
                <w:sz w:val="20"/>
                <w:szCs w:val="20"/>
                <w:color w:val="auto"/>
              </w:rPr>
            </w:pPr>
            <w:r>
              <w:rPr>
                <w:rFonts w:ascii="Arial" w:cs="Arial" w:eastAsia="Arial" w:hAnsi="Arial"/>
                <w:sz w:val="16"/>
                <w:szCs w:val="16"/>
                <w:b w:val="1"/>
                <w:bCs w:val="1"/>
                <w:color w:val="FFFFFF"/>
              </w:rPr>
              <w:t>Payout as % of Target*</w:t>
            </w:r>
          </w:p>
        </w:tc>
      </w:tr>
      <w:tr>
        <w:trPr>
          <w:trHeight w:val="202"/>
        </w:trPr>
        <w:tc>
          <w:tcPr>
            <w:tcW w:w="7220" w:type="dxa"/>
            <w:vAlign w:val="bottom"/>
            <w:shd w:val="clear" w:color="auto" w:fill="F4F3F3"/>
          </w:tcPr>
          <w:p>
            <w:pPr>
              <w:ind w:left="180"/>
              <w:spacing w:after="0"/>
              <w:rPr>
                <w:sz w:val="20"/>
                <w:szCs w:val="20"/>
                <w:color w:val="auto"/>
              </w:rPr>
            </w:pPr>
            <w:r>
              <w:rPr>
                <w:rFonts w:ascii="Arial" w:cs="Arial" w:eastAsia="Arial" w:hAnsi="Arial"/>
                <w:sz w:val="17"/>
                <w:szCs w:val="17"/>
                <w:color w:val="auto"/>
              </w:rPr>
              <w:t>Below 87%</w:t>
            </w:r>
          </w:p>
        </w:tc>
        <w:tc>
          <w:tcPr>
            <w:tcW w:w="1660" w:type="dxa"/>
            <w:vAlign w:val="bottom"/>
            <w:shd w:val="clear" w:color="auto" w:fill="F4F3F3"/>
          </w:tcPr>
          <w:p>
            <w:pPr>
              <w:ind w:left="160"/>
              <w:spacing w:after="0"/>
              <w:rPr>
                <w:sz w:val="20"/>
                <w:szCs w:val="20"/>
                <w:color w:val="auto"/>
              </w:rPr>
            </w:pPr>
            <w:r>
              <w:rPr>
                <w:rFonts w:ascii="Arial" w:cs="Arial" w:eastAsia="Arial" w:hAnsi="Arial"/>
                <w:sz w:val="17"/>
                <w:szCs w:val="17"/>
                <w:color w:val="auto"/>
              </w:rPr>
              <w:t>No Payment</w:t>
            </w:r>
          </w:p>
        </w:tc>
        <w:tc>
          <w:tcPr>
            <w:tcW w:w="1900" w:type="dxa"/>
            <w:vAlign w:val="bottom"/>
            <w:shd w:val="clear" w:color="auto" w:fill="F4F3F3"/>
          </w:tcPr>
          <w:p>
            <w:pPr>
              <w:jc w:val="right"/>
              <w:spacing w:after="0"/>
              <w:rPr>
                <w:sz w:val="20"/>
                <w:szCs w:val="20"/>
                <w:color w:val="auto"/>
              </w:rPr>
            </w:pPr>
            <w:r>
              <w:rPr>
                <w:rFonts w:ascii="Arial" w:cs="Arial" w:eastAsia="Arial" w:hAnsi="Arial"/>
                <w:sz w:val="17"/>
                <w:szCs w:val="17"/>
                <w:color w:val="auto"/>
              </w:rPr>
              <w:t>0%</w:t>
            </w:r>
          </w:p>
        </w:tc>
      </w:tr>
      <w:tr>
        <w:trPr>
          <w:trHeight w:val="216"/>
        </w:trPr>
        <w:tc>
          <w:tcPr>
            <w:tcW w:w="7220" w:type="dxa"/>
            <w:vAlign w:val="bottom"/>
            <w:shd w:val="clear" w:color="auto" w:fill="F4F3F3"/>
          </w:tcPr>
          <w:p>
            <w:pPr>
              <w:ind w:left="180"/>
              <w:spacing w:after="0"/>
              <w:rPr>
                <w:sz w:val="20"/>
                <w:szCs w:val="20"/>
                <w:color w:val="auto"/>
              </w:rPr>
            </w:pPr>
            <w:r>
              <w:rPr>
                <w:rFonts w:ascii="Arial" w:cs="Arial" w:eastAsia="Arial" w:hAnsi="Arial"/>
                <w:sz w:val="17"/>
                <w:szCs w:val="17"/>
                <w:color w:val="auto"/>
              </w:rPr>
              <w:t>87%</w:t>
            </w:r>
          </w:p>
        </w:tc>
        <w:tc>
          <w:tcPr>
            <w:tcW w:w="1660" w:type="dxa"/>
            <w:vAlign w:val="bottom"/>
            <w:shd w:val="clear" w:color="auto" w:fill="F4F3F3"/>
          </w:tcPr>
          <w:p>
            <w:pPr>
              <w:ind w:left="140"/>
              <w:spacing w:after="0"/>
              <w:rPr>
                <w:sz w:val="20"/>
                <w:szCs w:val="20"/>
                <w:color w:val="auto"/>
              </w:rPr>
            </w:pPr>
            <w:r>
              <w:rPr>
                <w:rFonts w:ascii="Arial" w:cs="Arial" w:eastAsia="Arial" w:hAnsi="Arial"/>
                <w:sz w:val="17"/>
                <w:szCs w:val="17"/>
                <w:color w:val="auto"/>
              </w:rPr>
              <w:t>Threshold Payment</w:t>
            </w:r>
          </w:p>
        </w:tc>
        <w:tc>
          <w:tcPr>
            <w:tcW w:w="1900" w:type="dxa"/>
            <w:vAlign w:val="bottom"/>
            <w:shd w:val="clear" w:color="auto" w:fill="F4F3F3"/>
          </w:tcPr>
          <w:p>
            <w:pPr>
              <w:jc w:val="right"/>
              <w:spacing w:after="0"/>
              <w:rPr>
                <w:sz w:val="20"/>
                <w:szCs w:val="20"/>
                <w:color w:val="auto"/>
              </w:rPr>
            </w:pPr>
            <w:r>
              <w:rPr>
                <w:rFonts w:ascii="Arial" w:cs="Arial" w:eastAsia="Arial" w:hAnsi="Arial"/>
                <w:sz w:val="17"/>
                <w:szCs w:val="17"/>
                <w:color w:val="auto"/>
              </w:rPr>
              <w:t>25%</w:t>
            </w:r>
          </w:p>
        </w:tc>
      </w:tr>
      <w:tr>
        <w:trPr>
          <w:trHeight w:val="216"/>
        </w:trPr>
        <w:tc>
          <w:tcPr>
            <w:tcW w:w="7220" w:type="dxa"/>
            <w:vAlign w:val="bottom"/>
            <w:shd w:val="clear" w:color="auto" w:fill="F4F3F3"/>
          </w:tcPr>
          <w:p>
            <w:pPr>
              <w:ind w:left="180"/>
              <w:spacing w:after="0"/>
              <w:rPr>
                <w:sz w:val="20"/>
                <w:szCs w:val="20"/>
                <w:color w:val="auto"/>
              </w:rPr>
            </w:pPr>
            <w:r>
              <w:rPr>
                <w:rFonts w:ascii="Arial" w:cs="Arial" w:eastAsia="Arial" w:hAnsi="Arial"/>
                <w:sz w:val="17"/>
                <w:szCs w:val="17"/>
                <w:color w:val="auto"/>
              </w:rPr>
              <w:t>100%</w:t>
            </w:r>
          </w:p>
        </w:tc>
        <w:tc>
          <w:tcPr>
            <w:tcW w:w="1660" w:type="dxa"/>
            <w:vAlign w:val="bottom"/>
            <w:shd w:val="clear" w:color="auto" w:fill="F4F3F3"/>
          </w:tcPr>
          <w:p>
            <w:pPr>
              <w:ind w:left="140"/>
              <w:spacing w:after="0"/>
              <w:rPr>
                <w:sz w:val="20"/>
                <w:szCs w:val="20"/>
                <w:color w:val="auto"/>
              </w:rPr>
            </w:pPr>
            <w:r>
              <w:rPr>
                <w:rFonts w:ascii="Arial" w:cs="Arial" w:eastAsia="Arial" w:hAnsi="Arial"/>
                <w:sz w:val="17"/>
                <w:szCs w:val="17"/>
                <w:color w:val="auto"/>
              </w:rPr>
              <w:t>Target Payment</w:t>
            </w:r>
          </w:p>
        </w:tc>
        <w:tc>
          <w:tcPr>
            <w:tcW w:w="1900" w:type="dxa"/>
            <w:vAlign w:val="bottom"/>
            <w:shd w:val="clear" w:color="auto" w:fill="F4F3F3"/>
          </w:tcPr>
          <w:p>
            <w:pPr>
              <w:jc w:val="right"/>
              <w:spacing w:after="0"/>
              <w:rPr>
                <w:sz w:val="20"/>
                <w:szCs w:val="20"/>
                <w:color w:val="auto"/>
              </w:rPr>
            </w:pPr>
            <w:r>
              <w:rPr>
                <w:rFonts w:ascii="Arial" w:cs="Arial" w:eastAsia="Arial" w:hAnsi="Arial"/>
                <w:sz w:val="17"/>
                <w:szCs w:val="17"/>
                <w:color w:val="auto"/>
              </w:rPr>
              <w:t>100%</w:t>
            </w:r>
          </w:p>
        </w:tc>
      </w:tr>
      <w:tr>
        <w:trPr>
          <w:trHeight w:val="216"/>
        </w:trPr>
        <w:tc>
          <w:tcPr>
            <w:tcW w:w="7220" w:type="dxa"/>
            <w:vAlign w:val="bottom"/>
            <w:shd w:val="clear" w:color="auto" w:fill="F4F3F3"/>
          </w:tcPr>
          <w:p>
            <w:pPr>
              <w:ind w:left="180"/>
              <w:spacing w:after="0"/>
              <w:rPr>
                <w:sz w:val="20"/>
                <w:szCs w:val="20"/>
                <w:color w:val="auto"/>
              </w:rPr>
            </w:pPr>
            <w:r>
              <w:rPr>
                <w:rFonts w:ascii="Arial" w:cs="Arial" w:eastAsia="Arial" w:hAnsi="Arial"/>
                <w:sz w:val="17"/>
                <w:szCs w:val="17"/>
                <w:color w:val="auto"/>
              </w:rPr>
              <w:t>107% and Above</w:t>
            </w:r>
          </w:p>
        </w:tc>
        <w:tc>
          <w:tcPr>
            <w:tcW w:w="1660" w:type="dxa"/>
            <w:vAlign w:val="bottom"/>
            <w:shd w:val="clear" w:color="auto" w:fill="F4F3F3"/>
          </w:tcPr>
          <w:p>
            <w:pPr>
              <w:ind w:left="160"/>
              <w:spacing w:after="0"/>
              <w:rPr>
                <w:sz w:val="20"/>
                <w:szCs w:val="20"/>
                <w:color w:val="auto"/>
              </w:rPr>
            </w:pPr>
            <w:r>
              <w:rPr>
                <w:rFonts w:ascii="Arial" w:cs="Arial" w:eastAsia="Arial" w:hAnsi="Arial"/>
                <w:sz w:val="17"/>
                <w:szCs w:val="17"/>
                <w:color w:val="auto"/>
              </w:rPr>
              <w:t>Maximum Payment</w:t>
            </w:r>
          </w:p>
        </w:tc>
        <w:tc>
          <w:tcPr>
            <w:tcW w:w="1900" w:type="dxa"/>
            <w:vAlign w:val="bottom"/>
            <w:shd w:val="clear" w:color="auto" w:fill="F4F3F3"/>
          </w:tcPr>
          <w:p>
            <w:pPr>
              <w:jc w:val="right"/>
              <w:spacing w:after="0"/>
              <w:rPr>
                <w:sz w:val="20"/>
                <w:szCs w:val="20"/>
                <w:color w:val="auto"/>
              </w:rPr>
            </w:pPr>
            <w:r>
              <w:rPr>
                <w:rFonts w:ascii="Arial" w:cs="Arial" w:eastAsia="Arial" w:hAnsi="Arial"/>
                <w:sz w:val="17"/>
                <w:szCs w:val="17"/>
                <w:color w:val="auto"/>
              </w:rPr>
              <w:t>200%</w:t>
            </w:r>
          </w:p>
        </w:tc>
      </w:tr>
    </w:tbl>
    <w:p>
      <w:pPr>
        <w:spacing w:after="0" w:line="243" w:lineRule="exact"/>
        <w:rPr>
          <w:sz w:val="20"/>
          <w:szCs w:val="20"/>
          <w:color w:val="auto"/>
        </w:rPr>
      </w:pPr>
    </w:p>
    <w:p>
      <w:pPr>
        <w:ind w:left="420" w:hanging="210"/>
        <w:spacing w:after="0"/>
        <w:tabs>
          <w:tab w:leader="none" w:pos="420" w:val="left"/>
        </w:tabs>
        <w:numPr>
          <w:ilvl w:val="0"/>
          <w:numId w:val="108"/>
        </w:numPr>
        <w:rPr>
          <w:rFonts w:ascii="Arial" w:cs="Arial" w:eastAsia="Arial" w:hAnsi="Arial"/>
          <w:sz w:val="14"/>
          <w:szCs w:val="14"/>
          <w:color w:val="333333"/>
        </w:rPr>
      </w:pPr>
      <w:r>
        <w:rPr>
          <w:rFonts w:ascii="Arial" w:cs="Arial" w:eastAsia="Arial" w:hAnsi="Arial"/>
          <w:sz w:val="14"/>
          <w:szCs w:val="14"/>
          <w:color w:val="333333"/>
        </w:rPr>
        <w:t>If the achievement falls between two of the stated performance levels, the incentive payment is interpolated between the corresponding incentive levels.</w:t>
      </w:r>
    </w:p>
    <w:p>
      <w:pPr>
        <w:spacing w:after="0" w:line="107" w:lineRule="exact"/>
        <w:rPr>
          <w:sz w:val="20"/>
          <w:szCs w:val="20"/>
          <w:color w:val="auto"/>
        </w:rPr>
      </w:pPr>
    </w:p>
    <w:p>
      <w:pPr>
        <w:ind w:left="460" w:right="380"/>
        <w:spacing w:after="0" w:line="253" w:lineRule="auto"/>
        <w:rPr>
          <w:sz w:val="20"/>
          <w:szCs w:val="20"/>
          <w:color w:val="auto"/>
        </w:rPr>
      </w:pPr>
      <w:r>
        <w:rPr>
          <w:rFonts w:ascii="Arial" w:cs="Arial" w:eastAsia="Arial" w:hAnsi="Arial"/>
          <w:sz w:val="17"/>
          <w:szCs w:val="17"/>
          <w:color w:val="auto"/>
        </w:rPr>
        <w:t>For Mr. Grissen, in addition to Adjusted EPS, his financial performance objectives included operating profit from the Americas division, his primary area of responsibility. The Americas Adjusted Operating Profit target was $1,946 million and the results were $2,085 million, corresponding with a maximum achievement level and payout.</w:t>
      </w:r>
    </w:p>
    <w:p>
      <w:pPr>
        <w:spacing w:after="0" w:line="70" w:lineRule="exact"/>
        <w:rPr>
          <w:sz w:val="20"/>
          <w:szCs w:val="20"/>
          <w:color w:val="auto"/>
        </w:rPr>
      </w:pPr>
    </w:p>
    <w:p>
      <w:pPr>
        <w:ind w:left="420" w:right="100" w:hanging="210"/>
        <w:spacing w:after="0" w:line="239" w:lineRule="auto"/>
        <w:tabs>
          <w:tab w:leader="none" w:pos="420"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998C87"/>
        </w:rPr>
        <w:t>Room Growth</w:t>
      </w:r>
      <w:r>
        <w:rPr>
          <w:rFonts w:ascii="Arial" w:cs="Arial" w:eastAsia="Arial" w:hAnsi="Arial"/>
          <w:sz w:val="17"/>
          <w:szCs w:val="17"/>
          <w:color w:val="000000"/>
        </w:rPr>
        <w:t>: Assessment of room growth is based on a net present value estimate/calculation utilized by our management and Board in</w:t>
      </w:r>
      <w:r>
        <w:rPr>
          <w:rFonts w:ascii="Arial" w:cs="Arial" w:eastAsia="Arial" w:hAnsi="Arial"/>
          <w:sz w:val="17"/>
          <w:szCs w:val="17"/>
          <w:color w:val="998C87"/>
        </w:rPr>
        <w:t xml:space="preserve"> </w:t>
      </w:r>
      <w:r>
        <w:rPr>
          <w:rFonts w:ascii="Arial" w:cs="Arial" w:eastAsia="Arial" w:hAnsi="Arial"/>
          <w:sz w:val="17"/>
          <w:szCs w:val="17"/>
          <w:color w:val="000000"/>
        </w:rPr>
        <w:t>evaluating the potential performance of completed development projects. The room growth target was reviewed and approved by the Board in February 2017 at a level significantly above 2016 targets due to the larger number of rooms in our system at the beginning of the year as a result of the Starwood combination. This target level is based on an extensive annual budgeting process whereby a budget was developed for each geographic region that was identified for potential growth and was consolidated and finalized by the Company’s Lodging Development Department after consideration of external market factors such as global and domestic economic forecasts and lodging industry outlook. For Mr. Grissen, this same process is followed to establish the room growth target for the Americas division.</w:t>
      </w:r>
    </w:p>
    <w:p>
      <w:pPr>
        <w:spacing w:after="0" w:line="112" w:lineRule="exact"/>
        <w:rPr>
          <w:sz w:val="20"/>
          <w:szCs w:val="20"/>
          <w:color w:val="auto"/>
        </w:rPr>
      </w:pPr>
    </w:p>
    <w:p>
      <w:pPr>
        <w:ind w:left="540" w:hanging="330"/>
        <w:spacing w:after="0"/>
        <w:tabs>
          <w:tab w:leader="none" w:pos="540" w:val="left"/>
        </w:tabs>
        <w:numPr>
          <w:ilvl w:val="0"/>
          <w:numId w:val="110"/>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20"/>
          </w:cols>
          <w:pgMar w:left="240" w:top="455" w:right="4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1" w:lineRule="exact"/>
        <w:rPr>
          <w:sz w:val="20"/>
          <w:szCs w:val="20"/>
          <w:color w:val="auto"/>
        </w:rPr>
      </w:pPr>
    </w:p>
    <w:p>
      <w:pPr>
        <w:ind w:left="460" w:right="20"/>
        <w:spacing w:after="0" w:line="242" w:lineRule="auto"/>
        <w:rPr>
          <w:sz w:val="20"/>
          <w:szCs w:val="20"/>
          <w:color w:val="auto"/>
        </w:rPr>
      </w:pPr>
      <w:r>
        <w:rPr>
          <w:rFonts w:ascii="Arial" w:cs="Arial" w:eastAsia="Arial" w:hAnsi="Arial"/>
          <w:sz w:val="17"/>
          <w:szCs w:val="17"/>
          <w:color w:val="auto"/>
        </w:rPr>
        <w:t>For each NEO except Mr. Capuano, achievement of less than the target results in no component payout, and for Mr. Capuano achievement of 59% of the target results in a threshold component payout. Maximum payout is achieved at achievement of 118% of the room growth target for each NEO other than Mr. Capuano, for whom maximum is achievement of 176% of target. The Committee established a wider performance and payout range for Mr. Capuano to more accurately measure and incentivize him for achieving growth goals. For 2017, the net present value of rooms approved for development significantly exceeded each NEO’s target performance level.</w:t>
      </w:r>
    </w:p>
    <w:p>
      <w:pPr>
        <w:spacing w:after="0" w:line="80" w:lineRule="exact"/>
        <w:rPr>
          <w:sz w:val="20"/>
          <w:szCs w:val="20"/>
          <w:color w:val="auto"/>
        </w:rPr>
      </w:pPr>
    </w:p>
    <w:p>
      <w:pPr>
        <w:jc w:val="both"/>
        <w:ind w:left="420" w:right="160" w:hanging="210"/>
        <w:spacing w:after="0" w:line="253" w:lineRule="auto"/>
        <w:tabs>
          <w:tab w:leader="none" w:pos="420" w:val="left"/>
        </w:tabs>
        <w:numPr>
          <w:ilvl w:val="0"/>
          <w:numId w:val="111"/>
        </w:numPr>
        <w:rPr>
          <w:rFonts w:ascii="Arial" w:cs="Arial" w:eastAsia="Arial" w:hAnsi="Arial"/>
          <w:sz w:val="17"/>
          <w:szCs w:val="17"/>
          <w:color w:val="auto"/>
        </w:rPr>
      </w:pPr>
      <w:r>
        <w:rPr>
          <w:rFonts w:ascii="Arial" w:cs="Arial" w:eastAsia="Arial" w:hAnsi="Arial"/>
          <w:sz w:val="17"/>
          <w:szCs w:val="17"/>
          <w:u w:val="single" w:color="auto"/>
          <w:color w:val="998C87"/>
        </w:rPr>
        <w:t>Global Sales</w:t>
      </w:r>
      <w:r>
        <w:rPr>
          <w:rFonts w:ascii="Arial" w:cs="Arial" w:eastAsia="Arial" w:hAnsi="Arial"/>
          <w:sz w:val="17"/>
          <w:szCs w:val="17"/>
          <w:color w:val="000000"/>
        </w:rPr>
        <w:t>: Assessment of sales is measured by percentage point difference between the actual growth rate over the prior year versus the</w:t>
      </w:r>
      <w:r>
        <w:rPr>
          <w:rFonts w:ascii="Arial" w:cs="Arial" w:eastAsia="Arial" w:hAnsi="Arial"/>
          <w:sz w:val="17"/>
          <w:szCs w:val="17"/>
          <w:color w:val="998C87"/>
        </w:rPr>
        <w:t xml:space="preserve"> </w:t>
      </w:r>
      <w:r>
        <w:rPr>
          <w:rFonts w:ascii="Arial" w:cs="Arial" w:eastAsia="Arial" w:hAnsi="Arial"/>
          <w:sz w:val="17"/>
          <w:szCs w:val="17"/>
          <w:color w:val="000000"/>
        </w:rPr>
        <w:t>budgeted growth percentage for global constant dollar RevPAR. For 2017, the Company’s results exceeded the maximum performance level, resulting in a maximum payout.</w:t>
      </w:r>
    </w:p>
    <w:p>
      <w:pPr>
        <w:spacing w:after="0" w:line="69" w:lineRule="exact"/>
        <w:rPr>
          <w:rFonts w:ascii="Arial" w:cs="Arial" w:eastAsia="Arial" w:hAnsi="Arial"/>
          <w:sz w:val="17"/>
          <w:szCs w:val="17"/>
          <w:color w:val="auto"/>
        </w:rPr>
      </w:pPr>
    </w:p>
    <w:p>
      <w:pPr>
        <w:ind w:left="420" w:right="100" w:hanging="210"/>
        <w:spacing w:after="0" w:line="242" w:lineRule="auto"/>
        <w:tabs>
          <w:tab w:leader="none" w:pos="420" w:val="left"/>
        </w:tabs>
        <w:numPr>
          <w:ilvl w:val="0"/>
          <w:numId w:val="111"/>
        </w:numPr>
        <w:rPr>
          <w:rFonts w:ascii="Arial" w:cs="Arial" w:eastAsia="Arial" w:hAnsi="Arial"/>
          <w:sz w:val="17"/>
          <w:szCs w:val="17"/>
          <w:color w:val="auto"/>
        </w:rPr>
      </w:pPr>
      <w:r>
        <w:rPr>
          <w:rFonts w:ascii="Arial" w:cs="Arial" w:eastAsia="Arial" w:hAnsi="Arial"/>
          <w:sz w:val="17"/>
          <w:szCs w:val="17"/>
          <w:u w:val="single" w:color="auto"/>
          <w:color w:val="998C87"/>
        </w:rPr>
        <w:t>Associate Engagement</w:t>
      </w:r>
      <w:r>
        <w:rPr>
          <w:rFonts w:ascii="Arial" w:cs="Arial" w:eastAsia="Arial" w:hAnsi="Arial"/>
          <w:sz w:val="17"/>
          <w:szCs w:val="17"/>
          <w:color w:val="000000"/>
        </w:rPr>
        <w:t>: Assessment of associate engagement is measured by the results of the Company’s annual associate engagement</w:t>
      </w:r>
      <w:r>
        <w:rPr>
          <w:rFonts w:ascii="Arial" w:cs="Arial" w:eastAsia="Arial" w:hAnsi="Arial"/>
          <w:sz w:val="17"/>
          <w:szCs w:val="17"/>
          <w:color w:val="998C87"/>
        </w:rPr>
        <w:t xml:space="preserve"> </w:t>
      </w:r>
      <w:r>
        <w:rPr>
          <w:rFonts w:ascii="Arial" w:cs="Arial" w:eastAsia="Arial" w:hAnsi="Arial"/>
          <w:sz w:val="17"/>
          <w:szCs w:val="17"/>
          <w:color w:val="000000"/>
        </w:rPr>
        <w:t>survey (conducted by a third-party) as compared against external benchmark results provided by the third-party company. For 2017, the Company exceeded the “Best Employer” benchmark, which resulted in a maximum achievement level and payout. The Americas division was slightly below the “Best Employer” benchmark but significantly above the “Consumer Services” benchmark, which resulted in an above target but below maximum payout.</w:t>
      </w:r>
    </w:p>
    <w:p>
      <w:pPr>
        <w:spacing w:after="0" w:line="80" w:lineRule="exact"/>
        <w:rPr>
          <w:rFonts w:ascii="Arial" w:cs="Arial" w:eastAsia="Arial" w:hAnsi="Arial"/>
          <w:sz w:val="17"/>
          <w:szCs w:val="17"/>
          <w:color w:val="auto"/>
        </w:rPr>
      </w:pPr>
    </w:p>
    <w:p>
      <w:pPr>
        <w:ind w:left="420" w:right="20" w:hanging="210"/>
        <w:spacing w:after="0" w:line="236" w:lineRule="auto"/>
        <w:tabs>
          <w:tab w:leader="none" w:pos="420" w:val="left"/>
        </w:tabs>
        <w:numPr>
          <w:ilvl w:val="0"/>
          <w:numId w:val="111"/>
        </w:numPr>
        <w:rPr>
          <w:rFonts w:ascii="Arial" w:cs="Arial" w:eastAsia="Arial" w:hAnsi="Arial"/>
          <w:sz w:val="17"/>
          <w:szCs w:val="17"/>
          <w:color w:val="auto"/>
        </w:rPr>
      </w:pPr>
      <w:r>
        <w:rPr>
          <w:rFonts w:ascii="Arial" w:cs="Arial" w:eastAsia="Arial" w:hAnsi="Arial"/>
          <w:sz w:val="17"/>
          <w:szCs w:val="17"/>
          <w:u w:val="single" w:color="auto"/>
          <w:color w:val="998C87"/>
        </w:rPr>
        <w:t>RevPAR Index</w:t>
      </w:r>
      <w:r>
        <w:rPr>
          <w:rFonts w:ascii="Arial" w:cs="Arial" w:eastAsia="Arial" w:hAnsi="Arial"/>
          <w:sz w:val="17"/>
          <w:szCs w:val="17"/>
          <w:color w:val="000000"/>
        </w:rPr>
        <w:t>: The Company retains a third party to collect and compile the data used to calculate a worldwide RevPAR Index, or Americas</w:t>
      </w:r>
      <w:r>
        <w:rPr>
          <w:rFonts w:ascii="Arial" w:cs="Arial" w:eastAsia="Arial" w:hAnsi="Arial"/>
          <w:sz w:val="17"/>
          <w:szCs w:val="17"/>
          <w:color w:val="998C87"/>
        </w:rPr>
        <w:t xml:space="preserve"> </w:t>
      </w:r>
      <w:r>
        <w:rPr>
          <w:rFonts w:ascii="Arial" w:cs="Arial" w:eastAsia="Arial" w:hAnsi="Arial"/>
          <w:sz w:val="17"/>
          <w:szCs w:val="17"/>
          <w:color w:val="000000"/>
        </w:rPr>
        <w:t>RevPAR Index for Mr. Grissen. RevPAR Index measures each hotel’s RevPAR against the RevPAR of a group of comparable hotels generally in the same market and lodging segment, stated as a percentage. RevPAR Index is an industry-specific measure of relative performance. Worldwide RevPAR Index is a weighted average of the RevPAR Index of all our hotels (or all hotels in the Americas for Mr. Grissen) except for such hotels that recently opened, recently underwent a significant renovation, or had incomplete competitive reporting. In order for any payout to occur, the Company’s worldwide (or Americas) RevPAR Index score must exceed 100. A score above 100 indicates that the Company has a premium RevPAR relative to its competitors. RevPAR Index must reflect an increase over prior year RevPAR Index results to exceed target component payout. Since the Company’s historical positioning relative to competitors has been strong, year-over-year increases in RevPAR Index indicate additional improvements in relative performance. For 2017, the Company and the Americas division achieved an overall RevPAR Index score above 100 and a year-over-year increase of .7 points and .3 points, respectively, resulting in a below target payout.</w:t>
      </w:r>
    </w:p>
    <w:p>
      <w:pPr>
        <w:spacing w:after="0" w:line="87" w:lineRule="exact"/>
        <w:rPr>
          <w:rFonts w:ascii="Arial" w:cs="Arial" w:eastAsia="Arial" w:hAnsi="Arial"/>
          <w:sz w:val="17"/>
          <w:szCs w:val="17"/>
          <w:color w:val="auto"/>
        </w:rPr>
      </w:pPr>
    </w:p>
    <w:p>
      <w:pPr>
        <w:ind w:left="420" w:right="120" w:hanging="210"/>
        <w:spacing w:after="0" w:line="239" w:lineRule="auto"/>
        <w:tabs>
          <w:tab w:leader="none" w:pos="420" w:val="left"/>
        </w:tabs>
        <w:numPr>
          <w:ilvl w:val="0"/>
          <w:numId w:val="111"/>
        </w:numPr>
        <w:rPr>
          <w:rFonts w:ascii="Arial" w:cs="Arial" w:eastAsia="Arial" w:hAnsi="Arial"/>
          <w:sz w:val="17"/>
          <w:szCs w:val="17"/>
          <w:color w:val="auto"/>
        </w:rPr>
      </w:pPr>
      <w:r>
        <w:rPr>
          <w:rFonts w:ascii="Arial" w:cs="Arial" w:eastAsia="Arial" w:hAnsi="Arial"/>
          <w:sz w:val="17"/>
          <w:szCs w:val="17"/>
          <w:u w:val="single" w:color="auto"/>
          <w:color w:val="998C87"/>
        </w:rPr>
        <w:t>Individual Achievement</w:t>
      </w:r>
      <w:r>
        <w:rPr>
          <w:rFonts w:ascii="Arial" w:cs="Arial" w:eastAsia="Arial" w:hAnsi="Arial"/>
          <w:sz w:val="17"/>
          <w:szCs w:val="17"/>
          <w:color w:val="000000"/>
        </w:rPr>
        <w:t>: Each year the Company sets specific, individual performance objectives for the NEOs. Each NEO has a different set</w:t>
      </w:r>
      <w:r>
        <w:rPr>
          <w:rFonts w:ascii="Arial" w:cs="Arial" w:eastAsia="Arial" w:hAnsi="Arial"/>
          <w:sz w:val="17"/>
          <w:szCs w:val="17"/>
          <w:color w:val="998C87"/>
        </w:rPr>
        <w:t xml:space="preserve"> </w:t>
      </w:r>
      <w:r>
        <w:rPr>
          <w:rFonts w:ascii="Arial" w:cs="Arial" w:eastAsia="Arial" w:hAnsi="Arial"/>
          <w:sz w:val="17"/>
          <w:szCs w:val="17"/>
          <w:color w:val="000000"/>
        </w:rPr>
        <w:t>of objectives that is aligned to his or her unique responsibilities and role within the Company. The objectives are developed by the Chief Executive Officer and members of his executive team, and reviewed, modified as necessary and approved by the Committee (or the Board in the case of Mr. Sorenson’s management objectives). The management objectives generally are difficult to accomplish and relate to key duties of the positions. Examples of the types of management objectives are: successfully integrate hotels acquired as a result of the Starwood combination; execute brand distinction strategies; achieve enhancements in loyalty programs and measures; and execute agreements in support of continued growth.</w:t>
      </w:r>
    </w:p>
    <w:p>
      <w:pPr>
        <w:spacing w:after="0" w:line="67" w:lineRule="exact"/>
        <w:rPr>
          <w:sz w:val="20"/>
          <w:szCs w:val="20"/>
          <w:color w:val="auto"/>
        </w:rPr>
      </w:pPr>
    </w:p>
    <w:p>
      <w:pPr>
        <w:ind w:left="320" w:right="20"/>
        <w:spacing w:after="0" w:line="237" w:lineRule="auto"/>
        <w:rPr>
          <w:sz w:val="20"/>
          <w:szCs w:val="20"/>
          <w:color w:val="auto"/>
        </w:rPr>
      </w:pPr>
      <w:r>
        <w:rPr>
          <w:rFonts w:ascii="Arial" w:cs="Arial" w:eastAsia="Arial" w:hAnsi="Arial"/>
          <w:sz w:val="17"/>
          <w:szCs w:val="17"/>
          <w:color w:val="auto"/>
        </w:rPr>
        <w:t>The Committee applies a rigorous and largely subjective assessment of each NEO’s qualitative performance relative to the management objectives. The management objectives are not assigned specific weightings and may be modified by the Committee during the performance period if a change in business circumstances warrants. The actual payments relating to management objectives are determined by the Committee based on its subjective assessment of each NEO’s job performance for the year. Maximum or above-target payouts typically occur if the Committee views the NEO’s overall performance to have been superior after its review of the achievement levels for each of the objectives. No payments are made if performance is below threshold expectations. For each of the five years preceding 2017, the NEOs received award levels varying from above-target to a maximum payout for individual achievement reflecting consistently strong performance in recent years. For 2017, each NEO achieved key individual objectives, including operations objectives such as the initiatives identified above, resulting in an above target to maximum payout.</w:t>
      </w:r>
    </w:p>
    <w:p>
      <w:pPr>
        <w:spacing w:after="0" w:line="116" w:lineRule="exact"/>
        <w:rPr>
          <w:sz w:val="20"/>
          <w:szCs w:val="20"/>
          <w:color w:val="auto"/>
        </w:rPr>
      </w:pPr>
    </w:p>
    <w:tbl>
      <w:tblPr>
        <w:tblLayout w:type="fixed"/>
        <w:tblInd w:w="9180" w:type="dxa"/>
        <w:tblCellMar>
          <w:top w:w="0" w:type="dxa"/>
          <w:left w:w="0" w:type="dxa"/>
          <w:bottom w:w="0" w:type="dxa"/>
          <w:right w:w="0" w:type="dxa"/>
        </w:tblCellMar>
      </w:tblPr>
      <w:tr>
        <w:trPr>
          <w:trHeight w:val="214"/>
        </w:trPr>
        <w:tc>
          <w:tcPr>
            <w:tcW w:w="1660" w:type="dxa"/>
            <w:vAlign w:val="bottom"/>
          </w:tcPr>
          <w:p>
            <w:pPr>
              <w:spacing w:after="0"/>
              <w:rPr>
                <w:sz w:val="20"/>
                <w:szCs w:val="20"/>
                <w:color w:val="auto"/>
              </w:rPr>
            </w:pPr>
            <w:r>
              <w:rPr>
                <w:rFonts w:ascii="Arial" w:cs="Arial" w:eastAsia="Arial" w:hAnsi="Arial"/>
                <w:sz w:val="15"/>
                <w:szCs w:val="15"/>
                <w:color w:val="998C87"/>
              </w:rPr>
              <w:t>2018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49</w:t>
            </w:r>
          </w:p>
        </w:tc>
      </w:tr>
    </w:tbl>
    <w:p>
      <w:pPr>
        <w:sectPr>
          <w:pgSz w:w="11900" w:h="16838" w:orient="portrait"/>
          <w:cols w:equalWidth="0" w:num="1">
            <w:col w:w="11220"/>
          </w:cols>
          <w:pgMar w:left="240" w:top="455" w:right="4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Outstanding Equity Awards at 2017 Fiscal Year-End</w:t>
      </w:r>
    </w:p>
    <w:p>
      <w:pPr>
        <w:spacing w:after="0" w:line="103" w:lineRule="exact"/>
        <w:rPr>
          <w:sz w:val="20"/>
          <w:szCs w:val="20"/>
          <w:color w:val="auto"/>
        </w:rPr>
      </w:pPr>
    </w:p>
    <w:p>
      <w:pPr>
        <w:ind w:left="220" w:right="520"/>
        <w:spacing w:after="0" w:line="253" w:lineRule="auto"/>
        <w:rPr>
          <w:sz w:val="20"/>
          <w:szCs w:val="20"/>
          <w:color w:val="auto"/>
        </w:rPr>
      </w:pPr>
      <w:r>
        <w:rPr>
          <w:rFonts w:ascii="Arial" w:cs="Arial" w:eastAsia="Arial" w:hAnsi="Arial"/>
          <w:sz w:val="17"/>
          <w:szCs w:val="17"/>
          <w:color w:val="auto"/>
        </w:rPr>
        <w:t>The following table shows information about outstanding Company SARs, RSUs and PSUs at December 31, 2017, our fiscal year-end. The Intrinsic Value and Market Value figures for the Company stock awards are based on the closing price as of December 29, 2017 of the Company’s Class A common stock, which was $135.73.</w:t>
      </w: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154"/>
        </w:trPr>
        <w:tc>
          <w:tcPr>
            <w:tcW w:w="1300" w:type="dxa"/>
            <w:vAlign w:val="bottom"/>
            <w:shd w:val="clear" w:color="auto" w:fill="998C87"/>
          </w:tcPr>
          <w:p>
            <w:pPr>
              <w:spacing w:after="0"/>
              <w:rPr>
                <w:sz w:val="13"/>
                <w:szCs w:val="13"/>
                <w:color w:val="auto"/>
              </w:rPr>
            </w:pPr>
          </w:p>
        </w:tc>
        <w:tc>
          <w:tcPr>
            <w:tcW w:w="220" w:type="dxa"/>
            <w:vAlign w:val="bottom"/>
            <w:shd w:val="clear" w:color="auto" w:fill="998C87"/>
          </w:tcPr>
          <w:p>
            <w:pPr>
              <w:spacing w:after="0"/>
              <w:rPr>
                <w:sz w:val="13"/>
                <w:szCs w:val="13"/>
                <w:color w:val="auto"/>
              </w:rPr>
            </w:pPr>
          </w:p>
        </w:tc>
        <w:tc>
          <w:tcPr>
            <w:tcW w:w="670" w:type="dxa"/>
            <w:vAlign w:val="bottom"/>
            <w:shd w:val="clear" w:color="auto" w:fill="998C87"/>
          </w:tcPr>
          <w:p>
            <w:pPr>
              <w:spacing w:after="0"/>
              <w:rPr>
                <w:sz w:val="13"/>
                <w:szCs w:val="13"/>
                <w:color w:val="auto"/>
              </w:rPr>
            </w:pPr>
          </w:p>
        </w:tc>
        <w:tc>
          <w:tcPr>
            <w:tcW w:w="1010" w:type="dxa"/>
            <w:vAlign w:val="bottom"/>
            <w:shd w:val="clear" w:color="auto" w:fill="998C87"/>
          </w:tcPr>
          <w:p>
            <w:pPr>
              <w:spacing w:after="0"/>
              <w:rPr>
                <w:sz w:val="13"/>
                <w:szCs w:val="13"/>
                <w:color w:val="auto"/>
              </w:rPr>
            </w:pPr>
          </w:p>
        </w:tc>
        <w:tc>
          <w:tcPr>
            <w:tcW w:w="240" w:type="dxa"/>
            <w:vAlign w:val="bottom"/>
            <w:shd w:val="clear" w:color="auto" w:fill="998C87"/>
          </w:tcPr>
          <w:p>
            <w:pPr>
              <w:spacing w:after="0"/>
              <w:rPr>
                <w:sz w:val="13"/>
                <w:szCs w:val="13"/>
                <w:color w:val="auto"/>
              </w:rPr>
            </w:pPr>
          </w:p>
        </w:tc>
        <w:tc>
          <w:tcPr>
            <w:tcW w:w="1560" w:type="dxa"/>
            <w:vAlign w:val="bottom"/>
            <w:gridSpan w:val="3"/>
            <w:vMerge w:val="restart"/>
            <w:shd w:val="clear" w:color="auto" w:fill="998C87"/>
          </w:tcPr>
          <w:p>
            <w:pPr>
              <w:jc w:val="center"/>
              <w:ind w:right="240"/>
              <w:spacing w:after="0"/>
              <w:rPr>
                <w:sz w:val="20"/>
                <w:szCs w:val="20"/>
                <w:color w:val="auto"/>
              </w:rPr>
            </w:pPr>
            <w:r>
              <w:rPr>
                <w:rFonts w:ascii="Arial" w:cs="Arial" w:eastAsia="Arial" w:hAnsi="Arial"/>
                <w:sz w:val="13"/>
                <w:szCs w:val="13"/>
                <w:b w:val="1"/>
                <w:bCs w:val="1"/>
                <w:color w:val="FFFFFF"/>
                <w:w w:val="98"/>
              </w:rPr>
              <w:t>Number of</w:t>
            </w:r>
          </w:p>
        </w:tc>
        <w:tc>
          <w:tcPr>
            <w:tcW w:w="220" w:type="dxa"/>
            <w:vAlign w:val="bottom"/>
            <w:shd w:val="clear" w:color="auto" w:fill="998C87"/>
          </w:tcPr>
          <w:p>
            <w:pPr>
              <w:spacing w:after="0"/>
              <w:rPr>
                <w:sz w:val="13"/>
                <w:szCs w:val="13"/>
                <w:color w:val="auto"/>
              </w:rPr>
            </w:pPr>
          </w:p>
        </w:tc>
        <w:tc>
          <w:tcPr>
            <w:tcW w:w="1600" w:type="dxa"/>
            <w:vAlign w:val="bottom"/>
            <w:gridSpan w:val="3"/>
            <w:shd w:val="clear" w:color="auto" w:fill="998C87"/>
          </w:tcPr>
          <w:p>
            <w:pPr>
              <w:jc w:val="right"/>
              <w:ind w:right="271"/>
              <w:spacing w:after="0"/>
              <w:rPr>
                <w:sz w:val="20"/>
                <w:szCs w:val="20"/>
                <w:color w:val="auto"/>
              </w:rPr>
            </w:pPr>
            <w:r>
              <w:rPr>
                <w:rFonts w:ascii="Arial" w:cs="Arial" w:eastAsia="Arial" w:hAnsi="Arial"/>
                <w:sz w:val="13"/>
                <w:szCs w:val="13"/>
                <w:b w:val="1"/>
                <w:bCs w:val="1"/>
                <w:color w:val="FFFFFF"/>
              </w:rPr>
              <w:t>SAR Awards</w:t>
            </w:r>
          </w:p>
        </w:tc>
        <w:tc>
          <w:tcPr>
            <w:tcW w:w="220" w:type="dxa"/>
            <w:vAlign w:val="bottom"/>
            <w:shd w:val="clear" w:color="auto" w:fill="998C87"/>
          </w:tcPr>
          <w:p>
            <w:pPr>
              <w:spacing w:after="0"/>
              <w:rPr>
                <w:sz w:val="13"/>
                <w:szCs w:val="13"/>
                <w:color w:val="auto"/>
              </w:rPr>
            </w:pPr>
          </w:p>
        </w:tc>
        <w:tc>
          <w:tcPr>
            <w:tcW w:w="1080" w:type="dxa"/>
            <w:vAlign w:val="bottom"/>
            <w:shd w:val="clear" w:color="auto" w:fill="998C87"/>
          </w:tcPr>
          <w:p>
            <w:pPr>
              <w:spacing w:after="0"/>
              <w:rPr>
                <w:sz w:val="13"/>
                <w:szCs w:val="13"/>
                <w:color w:val="auto"/>
              </w:rPr>
            </w:pPr>
          </w:p>
        </w:tc>
        <w:tc>
          <w:tcPr>
            <w:tcW w:w="700" w:type="dxa"/>
            <w:vAlign w:val="bottom"/>
            <w:shd w:val="clear" w:color="auto" w:fill="998C87"/>
          </w:tcPr>
          <w:p>
            <w:pPr>
              <w:spacing w:after="0"/>
              <w:rPr>
                <w:sz w:val="13"/>
                <w:szCs w:val="13"/>
                <w:color w:val="auto"/>
              </w:rPr>
            </w:pPr>
          </w:p>
        </w:tc>
        <w:tc>
          <w:tcPr>
            <w:tcW w:w="180" w:type="dxa"/>
            <w:vAlign w:val="bottom"/>
            <w:shd w:val="clear" w:color="auto" w:fill="998C87"/>
          </w:tcPr>
          <w:p>
            <w:pPr>
              <w:spacing w:after="0"/>
              <w:rPr>
                <w:sz w:val="13"/>
                <w:szCs w:val="13"/>
                <w:color w:val="auto"/>
              </w:rPr>
            </w:pPr>
          </w:p>
        </w:tc>
        <w:tc>
          <w:tcPr>
            <w:tcW w:w="2000" w:type="dxa"/>
            <w:vAlign w:val="bottom"/>
            <w:gridSpan w:val="2"/>
            <w:shd w:val="clear" w:color="auto" w:fill="998C87"/>
          </w:tcPr>
          <w:p>
            <w:pPr>
              <w:jc w:val="right"/>
              <w:ind w:right="509"/>
              <w:spacing w:after="0"/>
              <w:rPr>
                <w:sz w:val="20"/>
                <w:szCs w:val="20"/>
                <w:color w:val="auto"/>
              </w:rPr>
            </w:pPr>
            <w:r>
              <w:rPr>
                <w:rFonts w:ascii="Arial" w:cs="Arial" w:eastAsia="Arial" w:hAnsi="Arial"/>
                <w:sz w:val="13"/>
                <w:szCs w:val="13"/>
                <w:b w:val="1"/>
                <w:bCs w:val="1"/>
                <w:color w:val="FFFFFF"/>
              </w:rPr>
              <w:t>Stock Awards</w:t>
            </w:r>
          </w:p>
        </w:tc>
        <w:tc>
          <w:tcPr>
            <w:tcW w:w="0" w:type="dxa"/>
            <w:vAlign w:val="bottom"/>
          </w:tcPr>
          <w:p>
            <w:pPr>
              <w:spacing w:after="0"/>
              <w:rPr>
                <w:sz w:val="1"/>
                <w:szCs w:val="1"/>
                <w:color w:val="auto"/>
              </w:rPr>
            </w:pPr>
          </w:p>
        </w:tc>
      </w:tr>
      <w:tr>
        <w:trPr>
          <w:trHeight w:val="126"/>
        </w:trPr>
        <w:tc>
          <w:tcPr>
            <w:tcW w:w="1300" w:type="dxa"/>
            <w:vAlign w:val="bottom"/>
            <w:shd w:val="clear" w:color="auto" w:fill="998C87"/>
          </w:tcPr>
          <w:p>
            <w:pPr>
              <w:spacing w:after="0"/>
              <w:rPr>
                <w:sz w:val="10"/>
                <w:szCs w:val="10"/>
                <w:color w:val="auto"/>
              </w:rPr>
            </w:pPr>
          </w:p>
        </w:tc>
        <w:tc>
          <w:tcPr>
            <w:tcW w:w="220" w:type="dxa"/>
            <w:vAlign w:val="bottom"/>
            <w:shd w:val="clear" w:color="auto" w:fill="998C87"/>
          </w:tcPr>
          <w:p>
            <w:pPr>
              <w:spacing w:after="0"/>
              <w:rPr>
                <w:sz w:val="10"/>
                <w:szCs w:val="10"/>
                <w:color w:val="auto"/>
              </w:rPr>
            </w:pPr>
          </w:p>
        </w:tc>
        <w:tc>
          <w:tcPr>
            <w:tcW w:w="670" w:type="dxa"/>
            <w:vAlign w:val="bottom"/>
            <w:shd w:val="clear" w:color="auto" w:fill="998C87"/>
          </w:tcPr>
          <w:p>
            <w:pPr>
              <w:spacing w:after="0"/>
              <w:rPr>
                <w:sz w:val="10"/>
                <w:szCs w:val="10"/>
                <w:color w:val="auto"/>
              </w:rPr>
            </w:pPr>
          </w:p>
        </w:tc>
        <w:tc>
          <w:tcPr>
            <w:tcW w:w="1010" w:type="dxa"/>
            <w:vAlign w:val="bottom"/>
            <w:shd w:val="clear" w:color="auto" w:fill="998C87"/>
          </w:tcPr>
          <w:p>
            <w:pPr>
              <w:spacing w:after="0"/>
              <w:rPr>
                <w:sz w:val="10"/>
                <w:szCs w:val="10"/>
                <w:color w:val="auto"/>
              </w:rPr>
            </w:pPr>
          </w:p>
        </w:tc>
        <w:tc>
          <w:tcPr>
            <w:tcW w:w="240" w:type="dxa"/>
            <w:vAlign w:val="bottom"/>
            <w:shd w:val="clear" w:color="auto" w:fill="998C87"/>
          </w:tcPr>
          <w:p>
            <w:pPr>
              <w:spacing w:after="0"/>
              <w:rPr>
                <w:sz w:val="10"/>
                <w:szCs w:val="10"/>
                <w:color w:val="auto"/>
              </w:rPr>
            </w:pPr>
          </w:p>
        </w:tc>
        <w:tc>
          <w:tcPr>
            <w:tcW w:w="1560" w:type="dxa"/>
            <w:vAlign w:val="bottom"/>
            <w:gridSpan w:val="3"/>
            <w:vMerge w:val="continue"/>
            <w:shd w:val="clear" w:color="auto" w:fill="998C87"/>
          </w:tcPr>
          <w:p>
            <w:pPr>
              <w:spacing w:after="0"/>
              <w:rPr>
                <w:sz w:val="10"/>
                <w:szCs w:val="10"/>
                <w:color w:val="auto"/>
              </w:rPr>
            </w:pPr>
          </w:p>
        </w:tc>
        <w:tc>
          <w:tcPr>
            <w:tcW w:w="220" w:type="dxa"/>
            <w:vAlign w:val="bottom"/>
            <w:shd w:val="clear" w:color="auto" w:fill="998C87"/>
          </w:tcPr>
          <w:p>
            <w:pPr>
              <w:spacing w:after="0"/>
              <w:rPr>
                <w:sz w:val="10"/>
                <w:szCs w:val="10"/>
                <w:color w:val="auto"/>
              </w:rPr>
            </w:pPr>
          </w:p>
        </w:tc>
        <w:tc>
          <w:tcPr>
            <w:tcW w:w="700" w:type="dxa"/>
            <w:vAlign w:val="bottom"/>
            <w:shd w:val="clear" w:color="auto" w:fill="998C87"/>
          </w:tcPr>
          <w:p>
            <w:pPr>
              <w:spacing w:after="0"/>
              <w:rPr>
                <w:sz w:val="10"/>
                <w:szCs w:val="10"/>
                <w:color w:val="auto"/>
              </w:rPr>
            </w:pPr>
          </w:p>
        </w:tc>
        <w:tc>
          <w:tcPr>
            <w:tcW w:w="240" w:type="dxa"/>
            <w:vAlign w:val="bottom"/>
            <w:shd w:val="clear" w:color="auto" w:fill="998C87"/>
          </w:tcPr>
          <w:p>
            <w:pPr>
              <w:spacing w:after="0"/>
              <w:rPr>
                <w:sz w:val="10"/>
                <w:szCs w:val="10"/>
                <w:color w:val="auto"/>
              </w:rPr>
            </w:pPr>
          </w:p>
        </w:tc>
        <w:tc>
          <w:tcPr>
            <w:tcW w:w="660" w:type="dxa"/>
            <w:vAlign w:val="bottom"/>
            <w:shd w:val="clear" w:color="auto" w:fill="998C87"/>
          </w:tcPr>
          <w:p>
            <w:pPr>
              <w:spacing w:after="0"/>
              <w:rPr>
                <w:sz w:val="10"/>
                <w:szCs w:val="10"/>
                <w:color w:val="auto"/>
              </w:rPr>
            </w:pPr>
          </w:p>
        </w:tc>
        <w:tc>
          <w:tcPr>
            <w:tcW w:w="220" w:type="dxa"/>
            <w:vAlign w:val="bottom"/>
            <w:shd w:val="clear" w:color="auto" w:fill="998C87"/>
          </w:tcPr>
          <w:p>
            <w:pPr>
              <w:spacing w:after="0"/>
              <w:rPr>
                <w:sz w:val="10"/>
                <w:szCs w:val="10"/>
                <w:color w:val="auto"/>
              </w:rPr>
            </w:pPr>
          </w:p>
        </w:tc>
        <w:tc>
          <w:tcPr>
            <w:tcW w:w="1080" w:type="dxa"/>
            <w:vAlign w:val="bottom"/>
            <w:shd w:val="clear" w:color="auto" w:fill="998C87"/>
          </w:tcPr>
          <w:p>
            <w:pPr>
              <w:spacing w:after="0"/>
              <w:rPr>
                <w:sz w:val="10"/>
                <w:szCs w:val="10"/>
                <w:color w:val="auto"/>
              </w:rPr>
            </w:pPr>
          </w:p>
        </w:tc>
        <w:tc>
          <w:tcPr>
            <w:tcW w:w="700" w:type="dxa"/>
            <w:vAlign w:val="bottom"/>
            <w:shd w:val="clear" w:color="auto" w:fill="998C87"/>
          </w:tcPr>
          <w:p>
            <w:pPr>
              <w:spacing w:after="0"/>
              <w:rPr>
                <w:sz w:val="10"/>
                <w:szCs w:val="10"/>
                <w:color w:val="auto"/>
              </w:rPr>
            </w:pPr>
          </w:p>
        </w:tc>
        <w:tc>
          <w:tcPr>
            <w:tcW w:w="180" w:type="dxa"/>
            <w:vAlign w:val="bottom"/>
            <w:shd w:val="clear" w:color="auto" w:fill="998C87"/>
          </w:tcPr>
          <w:p>
            <w:pPr>
              <w:spacing w:after="0"/>
              <w:rPr>
                <w:sz w:val="10"/>
                <w:szCs w:val="10"/>
                <w:color w:val="auto"/>
              </w:rPr>
            </w:pPr>
          </w:p>
        </w:tc>
        <w:tc>
          <w:tcPr>
            <w:tcW w:w="940" w:type="dxa"/>
            <w:vAlign w:val="bottom"/>
            <w:vMerge w:val="restart"/>
            <w:shd w:val="clear" w:color="auto" w:fill="998C87"/>
          </w:tcPr>
          <w:p>
            <w:pPr>
              <w:jc w:val="center"/>
              <w:ind w:right="10"/>
              <w:spacing w:after="0"/>
              <w:rPr>
                <w:sz w:val="20"/>
                <w:szCs w:val="20"/>
                <w:color w:val="auto"/>
              </w:rPr>
            </w:pPr>
            <w:r>
              <w:rPr>
                <w:rFonts w:ascii="Arial" w:cs="Arial" w:eastAsia="Arial" w:hAnsi="Arial"/>
                <w:sz w:val="13"/>
                <w:szCs w:val="13"/>
                <w:b w:val="1"/>
                <w:bCs w:val="1"/>
                <w:color w:val="FFFFFF"/>
                <w:w w:val="95"/>
              </w:rPr>
              <w:t>Number of</w:t>
            </w:r>
          </w:p>
        </w:tc>
        <w:tc>
          <w:tcPr>
            <w:tcW w:w="1060" w:type="dxa"/>
            <w:vAlign w:val="bottom"/>
            <w:vMerge w:val="restart"/>
            <w:shd w:val="clear" w:color="auto" w:fill="998C87"/>
          </w:tcPr>
          <w:p>
            <w:pPr>
              <w:jc w:val="center"/>
              <w:spacing w:after="0"/>
              <w:rPr>
                <w:sz w:val="20"/>
                <w:szCs w:val="20"/>
                <w:color w:val="auto"/>
              </w:rPr>
            </w:pPr>
            <w:r>
              <w:rPr>
                <w:rFonts w:ascii="Arial" w:cs="Arial" w:eastAsia="Arial" w:hAnsi="Arial"/>
                <w:sz w:val="13"/>
                <w:szCs w:val="13"/>
                <w:b w:val="1"/>
                <w:bCs w:val="1"/>
                <w:color w:val="FFFFFF"/>
                <w:w w:val="94"/>
              </w:rPr>
              <w:t>Market Value</w:t>
            </w:r>
          </w:p>
        </w:tc>
        <w:tc>
          <w:tcPr>
            <w:tcW w:w="0" w:type="dxa"/>
            <w:vAlign w:val="bottom"/>
          </w:tcPr>
          <w:p>
            <w:pPr>
              <w:spacing w:after="0"/>
              <w:rPr>
                <w:sz w:val="1"/>
                <w:szCs w:val="1"/>
                <w:color w:val="auto"/>
              </w:rPr>
            </w:pPr>
          </w:p>
        </w:tc>
      </w:tr>
      <w:tr>
        <w:trPr>
          <w:trHeight w:val="135"/>
        </w:trPr>
        <w:tc>
          <w:tcPr>
            <w:tcW w:w="1300" w:type="dxa"/>
            <w:vAlign w:val="bottom"/>
            <w:shd w:val="clear" w:color="auto" w:fill="998C87"/>
          </w:tcPr>
          <w:p>
            <w:pPr>
              <w:spacing w:after="0"/>
              <w:rPr>
                <w:sz w:val="11"/>
                <w:szCs w:val="11"/>
                <w:color w:val="auto"/>
              </w:rPr>
            </w:pPr>
          </w:p>
        </w:tc>
        <w:tc>
          <w:tcPr>
            <w:tcW w:w="220" w:type="dxa"/>
            <w:vAlign w:val="bottom"/>
            <w:shd w:val="clear" w:color="auto" w:fill="998C87"/>
          </w:tcPr>
          <w:p>
            <w:pPr>
              <w:spacing w:after="0"/>
              <w:rPr>
                <w:sz w:val="11"/>
                <w:szCs w:val="11"/>
                <w:color w:val="auto"/>
              </w:rPr>
            </w:pPr>
          </w:p>
        </w:tc>
        <w:tc>
          <w:tcPr>
            <w:tcW w:w="670" w:type="dxa"/>
            <w:vAlign w:val="bottom"/>
            <w:shd w:val="clear" w:color="auto" w:fill="998C87"/>
          </w:tcPr>
          <w:p>
            <w:pPr>
              <w:spacing w:after="0"/>
              <w:rPr>
                <w:sz w:val="11"/>
                <w:szCs w:val="11"/>
                <w:color w:val="auto"/>
              </w:rPr>
            </w:pPr>
          </w:p>
        </w:tc>
        <w:tc>
          <w:tcPr>
            <w:tcW w:w="1010" w:type="dxa"/>
            <w:vAlign w:val="bottom"/>
            <w:shd w:val="clear" w:color="auto" w:fill="998C87"/>
          </w:tcPr>
          <w:p>
            <w:pPr>
              <w:spacing w:after="0"/>
              <w:rPr>
                <w:sz w:val="11"/>
                <w:szCs w:val="11"/>
                <w:color w:val="auto"/>
              </w:rPr>
            </w:pPr>
          </w:p>
        </w:tc>
        <w:tc>
          <w:tcPr>
            <w:tcW w:w="240" w:type="dxa"/>
            <w:vAlign w:val="bottom"/>
            <w:shd w:val="clear" w:color="auto" w:fill="998C87"/>
          </w:tcPr>
          <w:p>
            <w:pPr>
              <w:spacing w:after="0"/>
              <w:rPr>
                <w:sz w:val="11"/>
                <w:szCs w:val="11"/>
                <w:color w:val="auto"/>
              </w:rPr>
            </w:pPr>
          </w:p>
        </w:tc>
        <w:tc>
          <w:tcPr>
            <w:tcW w:w="1560" w:type="dxa"/>
            <w:vAlign w:val="bottom"/>
            <w:gridSpan w:val="3"/>
            <w:shd w:val="clear" w:color="auto" w:fill="998C87"/>
          </w:tcPr>
          <w:p>
            <w:pPr>
              <w:jc w:val="center"/>
              <w:ind w:right="240"/>
              <w:spacing w:after="0" w:line="135" w:lineRule="exact"/>
              <w:rPr>
                <w:sz w:val="20"/>
                <w:szCs w:val="20"/>
                <w:color w:val="auto"/>
              </w:rPr>
            </w:pPr>
            <w:r>
              <w:rPr>
                <w:rFonts w:ascii="Arial" w:cs="Arial" w:eastAsia="Arial" w:hAnsi="Arial"/>
                <w:sz w:val="13"/>
                <w:szCs w:val="13"/>
                <w:b w:val="1"/>
                <w:bCs w:val="1"/>
                <w:color w:val="FFFFFF"/>
                <w:w w:val="96"/>
              </w:rPr>
              <w:t>Securities</w:t>
            </w:r>
          </w:p>
        </w:tc>
        <w:tc>
          <w:tcPr>
            <w:tcW w:w="220" w:type="dxa"/>
            <w:vAlign w:val="bottom"/>
            <w:shd w:val="clear" w:color="auto" w:fill="998C87"/>
          </w:tcPr>
          <w:p>
            <w:pPr>
              <w:spacing w:after="0"/>
              <w:rPr>
                <w:sz w:val="11"/>
                <w:szCs w:val="11"/>
                <w:color w:val="auto"/>
              </w:rPr>
            </w:pPr>
          </w:p>
        </w:tc>
        <w:tc>
          <w:tcPr>
            <w:tcW w:w="700" w:type="dxa"/>
            <w:vAlign w:val="bottom"/>
            <w:shd w:val="clear" w:color="auto" w:fill="998C87"/>
          </w:tcPr>
          <w:p>
            <w:pPr>
              <w:spacing w:after="0"/>
              <w:rPr>
                <w:sz w:val="11"/>
                <w:szCs w:val="11"/>
                <w:color w:val="auto"/>
              </w:rPr>
            </w:pPr>
          </w:p>
        </w:tc>
        <w:tc>
          <w:tcPr>
            <w:tcW w:w="240" w:type="dxa"/>
            <w:vAlign w:val="bottom"/>
            <w:shd w:val="clear" w:color="auto" w:fill="998C87"/>
          </w:tcPr>
          <w:p>
            <w:pPr>
              <w:spacing w:after="0"/>
              <w:rPr>
                <w:sz w:val="11"/>
                <w:szCs w:val="11"/>
                <w:color w:val="auto"/>
              </w:rPr>
            </w:pPr>
          </w:p>
        </w:tc>
        <w:tc>
          <w:tcPr>
            <w:tcW w:w="660" w:type="dxa"/>
            <w:vAlign w:val="bottom"/>
            <w:shd w:val="clear" w:color="auto" w:fill="998C87"/>
          </w:tcPr>
          <w:p>
            <w:pPr>
              <w:spacing w:after="0"/>
              <w:rPr>
                <w:sz w:val="11"/>
                <w:szCs w:val="11"/>
                <w:color w:val="auto"/>
              </w:rPr>
            </w:pPr>
          </w:p>
        </w:tc>
        <w:tc>
          <w:tcPr>
            <w:tcW w:w="220" w:type="dxa"/>
            <w:vAlign w:val="bottom"/>
            <w:shd w:val="clear" w:color="auto" w:fill="998C87"/>
          </w:tcPr>
          <w:p>
            <w:pPr>
              <w:spacing w:after="0"/>
              <w:rPr>
                <w:sz w:val="11"/>
                <w:szCs w:val="11"/>
                <w:color w:val="auto"/>
              </w:rPr>
            </w:pPr>
          </w:p>
        </w:tc>
        <w:tc>
          <w:tcPr>
            <w:tcW w:w="1080" w:type="dxa"/>
            <w:vAlign w:val="bottom"/>
            <w:shd w:val="clear" w:color="auto" w:fill="998C87"/>
          </w:tcPr>
          <w:p>
            <w:pPr>
              <w:spacing w:after="0"/>
              <w:rPr>
                <w:sz w:val="11"/>
                <w:szCs w:val="11"/>
                <w:color w:val="auto"/>
              </w:rPr>
            </w:pPr>
          </w:p>
        </w:tc>
        <w:tc>
          <w:tcPr>
            <w:tcW w:w="700" w:type="dxa"/>
            <w:vAlign w:val="bottom"/>
            <w:shd w:val="clear" w:color="auto" w:fill="998C87"/>
          </w:tcPr>
          <w:p>
            <w:pPr>
              <w:spacing w:after="0"/>
              <w:rPr>
                <w:sz w:val="11"/>
                <w:szCs w:val="11"/>
                <w:color w:val="auto"/>
              </w:rPr>
            </w:pPr>
          </w:p>
        </w:tc>
        <w:tc>
          <w:tcPr>
            <w:tcW w:w="180" w:type="dxa"/>
            <w:vAlign w:val="bottom"/>
            <w:shd w:val="clear" w:color="auto" w:fill="998C87"/>
          </w:tcPr>
          <w:p>
            <w:pPr>
              <w:spacing w:after="0"/>
              <w:rPr>
                <w:sz w:val="11"/>
                <w:szCs w:val="11"/>
                <w:color w:val="auto"/>
              </w:rPr>
            </w:pPr>
          </w:p>
        </w:tc>
        <w:tc>
          <w:tcPr>
            <w:tcW w:w="940" w:type="dxa"/>
            <w:vAlign w:val="bottom"/>
            <w:vMerge w:val="continue"/>
            <w:shd w:val="clear" w:color="auto" w:fill="998C87"/>
          </w:tcPr>
          <w:p>
            <w:pPr>
              <w:spacing w:after="0"/>
              <w:rPr>
                <w:sz w:val="11"/>
                <w:szCs w:val="11"/>
                <w:color w:val="auto"/>
              </w:rPr>
            </w:pPr>
          </w:p>
        </w:tc>
        <w:tc>
          <w:tcPr>
            <w:tcW w:w="1060" w:type="dxa"/>
            <w:vAlign w:val="bottom"/>
            <w:vMerge w:val="continue"/>
            <w:shd w:val="clear" w:color="auto" w:fill="998C87"/>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shd w:val="clear" w:color="auto" w:fill="998C87"/>
          </w:tcPr>
          <w:p>
            <w:pPr>
              <w:spacing w:after="0"/>
              <w:rPr>
                <w:sz w:val="11"/>
                <w:szCs w:val="11"/>
                <w:color w:val="auto"/>
              </w:rPr>
            </w:pPr>
          </w:p>
        </w:tc>
        <w:tc>
          <w:tcPr>
            <w:tcW w:w="220" w:type="dxa"/>
            <w:vAlign w:val="bottom"/>
            <w:shd w:val="clear" w:color="auto" w:fill="998C87"/>
          </w:tcPr>
          <w:p>
            <w:pPr>
              <w:spacing w:after="0"/>
              <w:rPr>
                <w:sz w:val="11"/>
                <w:szCs w:val="11"/>
                <w:color w:val="auto"/>
              </w:rPr>
            </w:pPr>
          </w:p>
        </w:tc>
        <w:tc>
          <w:tcPr>
            <w:tcW w:w="670" w:type="dxa"/>
            <w:vAlign w:val="bottom"/>
            <w:shd w:val="clear" w:color="auto" w:fill="998C87"/>
          </w:tcPr>
          <w:p>
            <w:pPr>
              <w:spacing w:after="0"/>
              <w:rPr>
                <w:sz w:val="11"/>
                <w:szCs w:val="11"/>
                <w:color w:val="auto"/>
              </w:rPr>
            </w:pPr>
          </w:p>
        </w:tc>
        <w:tc>
          <w:tcPr>
            <w:tcW w:w="1010" w:type="dxa"/>
            <w:vAlign w:val="bottom"/>
            <w:shd w:val="clear" w:color="auto" w:fill="998C87"/>
          </w:tcPr>
          <w:p>
            <w:pPr>
              <w:spacing w:after="0"/>
              <w:rPr>
                <w:sz w:val="11"/>
                <w:szCs w:val="11"/>
                <w:color w:val="auto"/>
              </w:rPr>
            </w:pPr>
          </w:p>
        </w:tc>
        <w:tc>
          <w:tcPr>
            <w:tcW w:w="240" w:type="dxa"/>
            <w:vAlign w:val="bottom"/>
            <w:shd w:val="clear" w:color="auto" w:fill="998C87"/>
          </w:tcPr>
          <w:p>
            <w:pPr>
              <w:spacing w:after="0"/>
              <w:rPr>
                <w:sz w:val="11"/>
                <w:szCs w:val="11"/>
                <w:color w:val="auto"/>
              </w:rPr>
            </w:pPr>
          </w:p>
        </w:tc>
        <w:tc>
          <w:tcPr>
            <w:tcW w:w="1560" w:type="dxa"/>
            <w:vAlign w:val="bottom"/>
            <w:gridSpan w:val="3"/>
            <w:shd w:val="clear" w:color="auto" w:fill="998C87"/>
          </w:tcPr>
          <w:p>
            <w:pPr>
              <w:jc w:val="center"/>
              <w:ind w:right="260"/>
              <w:spacing w:after="0" w:line="135" w:lineRule="exact"/>
              <w:rPr>
                <w:sz w:val="20"/>
                <w:szCs w:val="20"/>
                <w:color w:val="auto"/>
              </w:rPr>
            </w:pPr>
            <w:r>
              <w:rPr>
                <w:rFonts w:ascii="Arial" w:cs="Arial" w:eastAsia="Arial" w:hAnsi="Arial"/>
                <w:sz w:val="13"/>
                <w:szCs w:val="13"/>
                <w:b w:val="1"/>
                <w:bCs w:val="1"/>
                <w:color w:val="FFFFFF"/>
                <w:w w:val="97"/>
              </w:rPr>
              <w:t>Underlying</w:t>
            </w:r>
          </w:p>
        </w:tc>
        <w:tc>
          <w:tcPr>
            <w:tcW w:w="220" w:type="dxa"/>
            <w:vAlign w:val="bottom"/>
            <w:shd w:val="clear" w:color="auto" w:fill="998C87"/>
          </w:tcPr>
          <w:p>
            <w:pPr>
              <w:spacing w:after="0"/>
              <w:rPr>
                <w:sz w:val="11"/>
                <w:szCs w:val="11"/>
                <w:color w:val="auto"/>
              </w:rPr>
            </w:pPr>
          </w:p>
        </w:tc>
        <w:tc>
          <w:tcPr>
            <w:tcW w:w="700" w:type="dxa"/>
            <w:vAlign w:val="bottom"/>
            <w:vMerge w:val="restart"/>
            <w:shd w:val="clear" w:color="auto" w:fill="998C87"/>
          </w:tcPr>
          <w:p>
            <w:pPr>
              <w:jc w:val="center"/>
              <w:ind w:right="149"/>
              <w:spacing w:after="0"/>
              <w:rPr>
                <w:sz w:val="20"/>
                <w:szCs w:val="20"/>
                <w:color w:val="auto"/>
              </w:rPr>
            </w:pPr>
            <w:r>
              <w:rPr>
                <w:rFonts w:ascii="Arial" w:cs="Arial" w:eastAsia="Arial" w:hAnsi="Arial"/>
                <w:sz w:val="13"/>
                <w:szCs w:val="13"/>
                <w:b w:val="1"/>
                <w:bCs w:val="1"/>
                <w:color w:val="FFFFFF"/>
              </w:rPr>
              <w:t>SAR</w:t>
            </w:r>
          </w:p>
        </w:tc>
        <w:tc>
          <w:tcPr>
            <w:tcW w:w="240" w:type="dxa"/>
            <w:vAlign w:val="bottom"/>
            <w:shd w:val="clear" w:color="auto" w:fill="998C87"/>
          </w:tcPr>
          <w:p>
            <w:pPr>
              <w:spacing w:after="0"/>
              <w:rPr>
                <w:sz w:val="11"/>
                <w:szCs w:val="11"/>
                <w:color w:val="auto"/>
              </w:rPr>
            </w:pPr>
          </w:p>
        </w:tc>
        <w:tc>
          <w:tcPr>
            <w:tcW w:w="660" w:type="dxa"/>
            <w:vAlign w:val="bottom"/>
            <w:shd w:val="clear" w:color="auto" w:fill="998C87"/>
          </w:tcPr>
          <w:p>
            <w:pPr>
              <w:spacing w:after="0"/>
              <w:rPr>
                <w:sz w:val="11"/>
                <w:szCs w:val="11"/>
                <w:color w:val="auto"/>
              </w:rPr>
            </w:pPr>
          </w:p>
        </w:tc>
        <w:tc>
          <w:tcPr>
            <w:tcW w:w="220" w:type="dxa"/>
            <w:vAlign w:val="bottom"/>
            <w:shd w:val="clear" w:color="auto" w:fill="998C87"/>
          </w:tcPr>
          <w:p>
            <w:pPr>
              <w:spacing w:after="0"/>
              <w:rPr>
                <w:sz w:val="11"/>
                <w:szCs w:val="11"/>
                <w:color w:val="auto"/>
              </w:rPr>
            </w:pPr>
          </w:p>
        </w:tc>
        <w:tc>
          <w:tcPr>
            <w:tcW w:w="1080" w:type="dxa"/>
            <w:vAlign w:val="bottom"/>
            <w:vMerge w:val="restart"/>
            <w:shd w:val="clear" w:color="auto" w:fill="998C87"/>
          </w:tcPr>
          <w:p>
            <w:pPr>
              <w:jc w:val="center"/>
              <w:ind w:left="570"/>
              <w:spacing w:after="0"/>
              <w:rPr>
                <w:sz w:val="20"/>
                <w:szCs w:val="20"/>
                <w:color w:val="auto"/>
              </w:rPr>
            </w:pPr>
            <w:r>
              <w:rPr>
                <w:rFonts w:ascii="Arial" w:cs="Arial" w:eastAsia="Arial" w:hAnsi="Arial"/>
                <w:sz w:val="13"/>
                <w:szCs w:val="13"/>
                <w:b w:val="1"/>
                <w:bCs w:val="1"/>
                <w:color w:val="FFFFFF"/>
              </w:rPr>
              <w:t>SAR</w:t>
            </w:r>
          </w:p>
        </w:tc>
        <w:tc>
          <w:tcPr>
            <w:tcW w:w="700" w:type="dxa"/>
            <w:vAlign w:val="bottom"/>
            <w:shd w:val="clear" w:color="auto" w:fill="998C87"/>
          </w:tcPr>
          <w:p>
            <w:pPr>
              <w:spacing w:after="0"/>
              <w:rPr>
                <w:sz w:val="11"/>
                <w:szCs w:val="11"/>
                <w:color w:val="auto"/>
              </w:rPr>
            </w:pPr>
          </w:p>
        </w:tc>
        <w:tc>
          <w:tcPr>
            <w:tcW w:w="180" w:type="dxa"/>
            <w:vAlign w:val="bottom"/>
            <w:shd w:val="clear" w:color="auto" w:fill="998C87"/>
          </w:tcPr>
          <w:p>
            <w:pPr>
              <w:spacing w:after="0"/>
              <w:rPr>
                <w:sz w:val="11"/>
                <w:szCs w:val="11"/>
                <w:color w:val="auto"/>
              </w:rPr>
            </w:pPr>
          </w:p>
        </w:tc>
        <w:tc>
          <w:tcPr>
            <w:tcW w:w="940" w:type="dxa"/>
            <w:vAlign w:val="bottom"/>
            <w:shd w:val="clear" w:color="auto" w:fill="998C87"/>
          </w:tcPr>
          <w:p>
            <w:pPr>
              <w:jc w:val="center"/>
              <w:ind w:right="10"/>
              <w:spacing w:after="0" w:line="135" w:lineRule="exact"/>
              <w:rPr>
                <w:sz w:val="20"/>
                <w:szCs w:val="20"/>
                <w:color w:val="auto"/>
              </w:rPr>
            </w:pPr>
            <w:r>
              <w:rPr>
                <w:rFonts w:ascii="Arial" w:cs="Arial" w:eastAsia="Arial" w:hAnsi="Arial"/>
                <w:sz w:val="13"/>
                <w:szCs w:val="13"/>
                <w:b w:val="1"/>
                <w:bCs w:val="1"/>
                <w:color w:val="FFFFFF"/>
                <w:w w:val="96"/>
              </w:rPr>
              <w:t>Shares or</w:t>
            </w:r>
          </w:p>
        </w:tc>
        <w:tc>
          <w:tcPr>
            <w:tcW w:w="106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4"/>
              </w:rPr>
              <w:t>of Shares</w:t>
            </w:r>
          </w:p>
        </w:tc>
        <w:tc>
          <w:tcPr>
            <w:tcW w:w="0" w:type="dxa"/>
            <w:vAlign w:val="bottom"/>
          </w:tcPr>
          <w:p>
            <w:pPr>
              <w:spacing w:after="0"/>
              <w:rPr>
                <w:sz w:val="1"/>
                <w:szCs w:val="1"/>
                <w:color w:val="auto"/>
              </w:rPr>
            </w:pPr>
          </w:p>
        </w:tc>
      </w:tr>
      <w:tr>
        <w:trPr>
          <w:trHeight w:val="135"/>
        </w:trPr>
        <w:tc>
          <w:tcPr>
            <w:tcW w:w="1300" w:type="dxa"/>
            <w:vAlign w:val="bottom"/>
            <w:shd w:val="clear" w:color="auto" w:fill="998C87"/>
          </w:tcPr>
          <w:p>
            <w:pPr>
              <w:spacing w:after="0"/>
              <w:rPr>
                <w:sz w:val="11"/>
                <w:szCs w:val="11"/>
                <w:color w:val="auto"/>
              </w:rPr>
            </w:pPr>
          </w:p>
        </w:tc>
        <w:tc>
          <w:tcPr>
            <w:tcW w:w="220" w:type="dxa"/>
            <w:vAlign w:val="bottom"/>
            <w:shd w:val="clear" w:color="auto" w:fill="998C87"/>
          </w:tcPr>
          <w:p>
            <w:pPr>
              <w:spacing w:after="0"/>
              <w:rPr>
                <w:sz w:val="11"/>
                <w:szCs w:val="11"/>
                <w:color w:val="auto"/>
              </w:rPr>
            </w:pPr>
          </w:p>
        </w:tc>
        <w:tc>
          <w:tcPr>
            <w:tcW w:w="670" w:type="dxa"/>
            <w:vAlign w:val="bottom"/>
            <w:shd w:val="clear" w:color="auto" w:fill="998C87"/>
          </w:tcPr>
          <w:p>
            <w:pPr>
              <w:spacing w:after="0"/>
              <w:rPr>
                <w:sz w:val="11"/>
                <w:szCs w:val="11"/>
                <w:color w:val="auto"/>
              </w:rPr>
            </w:pPr>
          </w:p>
        </w:tc>
        <w:tc>
          <w:tcPr>
            <w:tcW w:w="1010" w:type="dxa"/>
            <w:vAlign w:val="bottom"/>
            <w:shd w:val="clear" w:color="auto" w:fill="998C87"/>
          </w:tcPr>
          <w:p>
            <w:pPr>
              <w:spacing w:after="0"/>
              <w:rPr>
                <w:sz w:val="11"/>
                <w:szCs w:val="11"/>
                <w:color w:val="auto"/>
              </w:rPr>
            </w:pPr>
          </w:p>
        </w:tc>
        <w:tc>
          <w:tcPr>
            <w:tcW w:w="240" w:type="dxa"/>
            <w:vAlign w:val="bottom"/>
            <w:shd w:val="clear" w:color="auto" w:fill="998C87"/>
          </w:tcPr>
          <w:p>
            <w:pPr>
              <w:spacing w:after="0"/>
              <w:rPr>
                <w:sz w:val="11"/>
                <w:szCs w:val="11"/>
                <w:color w:val="auto"/>
              </w:rPr>
            </w:pPr>
          </w:p>
        </w:tc>
        <w:tc>
          <w:tcPr>
            <w:tcW w:w="1560" w:type="dxa"/>
            <w:vAlign w:val="bottom"/>
            <w:gridSpan w:val="3"/>
            <w:shd w:val="clear" w:color="auto" w:fill="998C87"/>
          </w:tcPr>
          <w:p>
            <w:pPr>
              <w:ind w:left="280"/>
              <w:spacing w:after="0" w:line="135" w:lineRule="exact"/>
              <w:rPr>
                <w:sz w:val="20"/>
                <w:szCs w:val="20"/>
                <w:color w:val="auto"/>
              </w:rPr>
            </w:pPr>
            <w:r>
              <w:rPr>
                <w:rFonts w:ascii="Arial" w:cs="Arial" w:eastAsia="Arial" w:hAnsi="Arial"/>
                <w:sz w:val="13"/>
                <w:szCs w:val="13"/>
                <w:b w:val="1"/>
                <w:bCs w:val="1"/>
                <w:color w:val="FFFFFF"/>
              </w:rPr>
              <w:t>Unexercised</w:t>
            </w:r>
          </w:p>
        </w:tc>
        <w:tc>
          <w:tcPr>
            <w:tcW w:w="220" w:type="dxa"/>
            <w:vAlign w:val="bottom"/>
            <w:shd w:val="clear" w:color="auto" w:fill="998C87"/>
          </w:tcPr>
          <w:p>
            <w:pPr>
              <w:spacing w:after="0"/>
              <w:rPr>
                <w:sz w:val="11"/>
                <w:szCs w:val="11"/>
                <w:color w:val="auto"/>
              </w:rPr>
            </w:pPr>
          </w:p>
        </w:tc>
        <w:tc>
          <w:tcPr>
            <w:tcW w:w="700" w:type="dxa"/>
            <w:vAlign w:val="bottom"/>
            <w:vMerge w:val="continue"/>
            <w:shd w:val="clear" w:color="auto" w:fill="998C87"/>
          </w:tcPr>
          <w:p>
            <w:pPr>
              <w:spacing w:after="0"/>
              <w:rPr>
                <w:sz w:val="11"/>
                <w:szCs w:val="11"/>
                <w:color w:val="auto"/>
              </w:rPr>
            </w:pPr>
          </w:p>
        </w:tc>
        <w:tc>
          <w:tcPr>
            <w:tcW w:w="240" w:type="dxa"/>
            <w:vAlign w:val="bottom"/>
            <w:shd w:val="clear" w:color="auto" w:fill="998C87"/>
          </w:tcPr>
          <w:p>
            <w:pPr>
              <w:spacing w:after="0"/>
              <w:rPr>
                <w:sz w:val="11"/>
                <w:szCs w:val="11"/>
                <w:color w:val="auto"/>
              </w:rPr>
            </w:pPr>
          </w:p>
        </w:tc>
        <w:tc>
          <w:tcPr>
            <w:tcW w:w="660" w:type="dxa"/>
            <w:vAlign w:val="bottom"/>
            <w:vMerge w:val="restart"/>
            <w:shd w:val="clear" w:color="auto" w:fill="998C87"/>
          </w:tcPr>
          <w:p>
            <w:pPr>
              <w:jc w:val="right"/>
              <w:ind w:right="251"/>
              <w:spacing w:after="0"/>
              <w:rPr>
                <w:sz w:val="20"/>
                <w:szCs w:val="20"/>
                <w:color w:val="auto"/>
              </w:rPr>
            </w:pPr>
            <w:r>
              <w:rPr>
                <w:rFonts w:ascii="Arial" w:cs="Arial" w:eastAsia="Arial" w:hAnsi="Arial"/>
                <w:sz w:val="13"/>
                <w:szCs w:val="13"/>
                <w:b w:val="1"/>
                <w:bCs w:val="1"/>
                <w:color w:val="FFFFFF"/>
              </w:rPr>
              <w:t>SAR</w:t>
            </w:r>
          </w:p>
        </w:tc>
        <w:tc>
          <w:tcPr>
            <w:tcW w:w="220" w:type="dxa"/>
            <w:vAlign w:val="bottom"/>
            <w:shd w:val="clear" w:color="auto" w:fill="998C87"/>
          </w:tcPr>
          <w:p>
            <w:pPr>
              <w:spacing w:after="0"/>
              <w:rPr>
                <w:sz w:val="11"/>
                <w:szCs w:val="11"/>
                <w:color w:val="auto"/>
              </w:rPr>
            </w:pPr>
          </w:p>
        </w:tc>
        <w:tc>
          <w:tcPr>
            <w:tcW w:w="1080" w:type="dxa"/>
            <w:vAlign w:val="bottom"/>
            <w:vMerge w:val="continue"/>
            <w:shd w:val="clear" w:color="auto" w:fill="998C87"/>
          </w:tcPr>
          <w:p>
            <w:pPr>
              <w:spacing w:after="0"/>
              <w:rPr>
                <w:sz w:val="11"/>
                <w:szCs w:val="11"/>
                <w:color w:val="auto"/>
              </w:rPr>
            </w:pPr>
          </w:p>
        </w:tc>
        <w:tc>
          <w:tcPr>
            <w:tcW w:w="700" w:type="dxa"/>
            <w:vAlign w:val="bottom"/>
            <w:shd w:val="clear" w:color="auto" w:fill="998C87"/>
          </w:tcPr>
          <w:p>
            <w:pPr>
              <w:spacing w:after="0"/>
              <w:rPr>
                <w:sz w:val="11"/>
                <w:szCs w:val="11"/>
                <w:color w:val="auto"/>
              </w:rPr>
            </w:pPr>
          </w:p>
        </w:tc>
        <w:tc>
          <w:tcPr>
            <w:tcW w:w="180" w:type="dxa"/>
            <w:vAlign w:val="bottom"/>
            <w:shd w:val="clear" w:color="auto" w:fill="998C87"/>
          </w:tcPr>
          <w:p>
            <w:pPr>
              <w:spacing w:after="0"/>
              <w:rPr>
                <w:sz w:val="11"/>
                <w:szCs w:val="11"/>
                <w:color w:val="auto"/>
              </w:rPr>
            </w:pPr>
          </w:p>
        </w:tc>
        <w:tc>
          <w:tcPr>
            <w:tcW w:w="940" w:type="dxa"/>
            <w:vAlign w:val="bottom"/>
            <w:shd w:val="clear" w:color="auto" w:fill="998C87"/>
          </w:tcPr>
          <w:p>
            <w:pPr>
              <w:jc w:val="center"/>
              <w:ind w:right="30"/>
              <w:spacing w:after="0" w:line="135" w:lineRule="exact"/>
              <w:rPr>
                <w:sz w:val="20"/>
                <w:szCs w:val="20"/>
                <w:color w:val="auto"/>
              </w:rPr>
            </w:pPr>
            <w:r>
              <w:rPr>
                <w:rFonts w:ascii="Arial" w:cs="Arial" w:eastAsia="Arial" w:hAnsi="Arial"/>
                <w:sz w:val="13"/>
                <w:szCs w:val="13"/>
                <w:b w:val="1"/>
                <w:bCs w:val="1"/>
                <w:color w:val="FFFFFF"/>
                <w:w w:val="96"/>
              </w:rPr>
              <w:t>Units of Stock</w:t>
            </w:r>
          </w:p>
        </w:tc>
        <w:tc>
          <w:tcPr>
            <w:tcW w:w="106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7"/>
              </w:rPr>
              <w:t>or Units</w:t>
            </w:r>
          </w:p>
        </w:tc>
        <w:tc>
          <w:tcPr>
            <w:tcW w:w="0" w:type="dxa"/>
            <w:vAlign w:val="bottom"/>
          </w:tcPr>
          <w:p>
            <w:pPr>
              <w:spacing w:after="0"/>
              <w:rPr>
                <w:sz w:val="1"/>
                <w:szCs w:val="1"/>
                <w:color w:val="auto"/>
              </w:rPr>
            </w:pPr>
          </w:p>
        </w:tc>
      </w:tr>
      <w:tr>
        <w:trPr>
          <w:trHeight w:val="135"/>
        </w:trPr>
        <w:tc>
          <w:tcPr>
            <w:tcW w:w="1300" w:type="dxa"/>
            <w:vAlign w:val="bottom"/>
            <w:shd w:val="clear" w:color="auto" w:fill="998C87"/>
          </w:tcPr>
          <w:p>
            <w:pPr>
              <w:spacing w:after="0"/>
              <w:rPr>
                <w:sz w:val="11"/>
                <w:szCs w:val="11"/>
                <w:color w:val="auto"/>
              </w:rPr>
            </w:pPr>
          </w:p>
        </w:tc>
        <w:tc>
          <w:tcPr>
            <w:tcW w:w="220" w:type="dxa"/>
            <w:vAlign w:val="bottom"/>
            <w:shd w:val="clear" w:color="auto" w:fill="998C87"/>
          </w:tcPr>
          <w:p>
            <w:pPr>
              <w:spacing w:after="0"/>
              <w:rPr>
                <w:sz w:val="11"/>
                <w:szCs w:val="11"/>
                <w:color w:val="auto"/>
              </w:rPr>
            </w:pPr>
          </w:p>
        </w:tc>
        <w:tc>
          <w:tcPr>
            <w:tcW w:w="670" w:type="dxa"/>
            <w:vAlign w:val="bottom"/>
            <w:vMerge w:val="restart"/>
            <w:shd w:val="clear" w:color="auto" w:fill="998C87"/>
          </w:tcPr>
          <w:p>
            <w:pPr>
              <w:jc w:val="right"/>
              <w:ind w:right="199"/>
              <w:spacing w:after="0"/>
              <w:rPr>
                <w:sz w:val="20"/>
                <w:szCs w:val="20"/>
                <w:color w:val="auto"/>
              </w:rPr>
            </w:pPr>
            <w:r>
              <w:rPr>
                <w:rFonts w:ascii="Arial" w:cs="Arial" w:eastAsia="Arial" w:hAnsi="Arial"/>
                <w:sz w:val="13"/>
                <w:szCs w:val="13"/>
                <w:b w:val="1"/>
                <w:bCs w:val="1"/>
                <w:color w:val="FFFFFF"/>
              </w:rPr>
              <w:t>Grant</w:t>
            </w:r>
          </w:p>
        </w:tc>
        <w:tc>
          <w:tcPr>
            <w:tcW w:w="1010" w:type="dxa"/>
            <w:vAlign w:val="bottom"/>
            <w:vMerge w:val="restart"/>
            <w:shd w:val="clear" w:color="auto" w:fill="998C87"/>
          </w:tcPr>
          <w:p>
            <w:pPr>
              <w:ind w:left="310"/>
              <w:spacing w:after="0"/>
              <w:rPr>
                <w:sz w:val="20"/>
                <w:szCs w:val="20"/>
                <w:color w:val="auto"/>
              </w:rPr>
            </w:pPr>
            <w:r>
              <w:rPr>
                <w:rFonts w:ascii="Arial" w:cs="Arial" w:eastAsia="Arial" w:hAnsi="Arial"/>
                <w:sz w:val="13"/>
                <w:szCs w:val="13"/>
                <w:b w:val="1"/>
                <w:bCs w:val="1"/>
                <w:color w:val="FFFFFF"/>
              </w:rPr>
              <w:t>Award</w:t>
            </w:r>
          </w:p>
        </w:tc>
        <w:tc>
          <w:tcPr>
            <w:tcW w:w="240" w:type="dxa"/>
            <w:vAlign w:val="bottom"/>
            <w:shd w:val="clear" w:color="auto" w:fill="998C87"/>
          </w:tcPr>
          <w:p>
            <w:pPr>
              <w:spacing w:after="0"/>
              <w:rPr>
                <w:sz w:val="11"/>
                <w:szCs w:val="11"/>
                <w:color w:val="auto"/>
              </w:rPr>
            </w:pPr>
          </w:p>
        </w:tc>
        <w:tc>
          <w:tcPr>
            <w:tcW w:w="900" w:type="dxa"/>
            <w:vAlign w:val="bottom"/>
            <w:tcBorders>
              <w:right w:val="single" w:sz="8" w:color="998C87"/>
            </w:tcBorders>
            <w:shd w:val="clear" w:color="auto" w:fill="998C87"/>
          </w:tcPr>
          <w:p>
            <w:pPr>
              <w:jc w:val="center"/>
              <w:ind w:left="330"/>
              <w:spacing w:after="0" w:line="135" w:lineRule="exact"/>
              <w:rPr>
                <w:sz w:val="20"/>
                <w:szCs w:val="20"/>
                <w:color w:val="auto"/>
              </w:rPr>
            </w:pPr>
            <w:r>
              <w:rPr>
                <w:rFonts w:ascii="Arial" w:cs="Arial" w:eastAsia="Arial" w:hAnsi="Arial"/>
                <w:sz w:val="13"/>
                <w:szCs w:val="13"/>
                <w:b w:val="1"/>
                <w:bCs w:val="1"/>
                <w:color w:val="FFFFFF"/>
                <w:w w:val="97"/>
              </w:rPr>
              <w:t>SARs:</w:t>
            </w:r>
          </w:p>
        </w:tc>
        <w:tc>
          <w:tcPr>
            <w:tcW w:w="460" w:type="dxa"/>
            <w:vAlign w:val="bottom"/>
            <w:shd w:val="clear" w:color="auto" w:fill="998C87"/>
          </w:tcPr>
          <w:p>
            <w:pPr>
              <w:spacing w:after="0"/>
              <w:rPr>
                <w:sz w:val="11"/>
                <w:szCs w:val="11"/>
                <w:color w:val="auto"/>
              </w:rPr>
            </w:pPr>
          </w:p>
        </w:tc>
        <w:tc>
          <w:tcPr>
            <w:tcW w:w="200" w:type="dxa"/>
            <w:vAlign w:val="bottom"/>
            <w:shd w:val="clear" w:color="auto" w:fill="998C87"/>
          </w:tcPr>
          <w:p>
            <w:pPr>
              <w:spacing w:after="0"/>
              <w:rPr>
                <w:sz w:val="11"/>
                <w:szCs w:val="11"/>
                <w:color w:val="auto"/>
              </w:rPr>
            </w:pPr>
          </w:p>
        </w:tc>
        <w:tc>
          <w:tcPr>
            <w:tcW w:w="920" w:type="dxa"/>
            <w:vAlign w:val="bottom"/>
            <w:gridSpan w:val="2"/>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7"/>
              </w:rPr>
              <w:t>Exercise</w:t>
            </w:r>
          </w:p>
        </w:tc>
        <w:tc>
          <w:tcPr>
            <w:tcW w:w="240" w:type="dxa"/>
            <w:vAlign w:val="bottom"/>
            <w:shd w:val="clear" w:color="auto" w:fill="998C87"/>
          </w:tcPr>
          <w:p>
            <w:pPr>
              <w:spacing w:after="0"/>
              <w:rPr>
                <w:sz w:val="11"/>
                <w:szCs w:val="11"/>
                <w:color w:val="auto"/>
              </w:rPr>
            </w:pPr>
          </w:p>
        </w:tc>
        <w:tc>
          <w:tcPr>
            <w:tcW w:w="660" w:type="dxa"/>
            <w:vAlign w:val="bottom"/>
            <w:vMerge w:val="continue"/>
            <w:shd w:val="clear" w:color="auto" w:fill="998C87"/>
          </w:tcPr>
          <w:p>
            <w:pPr>
              <w:spacing w:after="0"/>
              <w:rPr>
                <w:sz w:val="11"/>
                <w:szCs w:val="11"/>
                <w:color w:val="auto"/>
              </w:rPr>
            </w:pPr>
          </w:p>
        </w:tc>
        <w:tc>
          <w:tcPr>
            <w:tcW w:w="220" w:type="dxa"/>
            <w:vAlign w:val="bottom"/>
            <w:shd w:val="clear" w:color="auto" w:fill="998C87"/>
          </w:tcPr>
          <w:p>
            <w:pPr>
              <w:spacing w:after="0"/>
              <w:rPr>
                <w:sz w:val="11"/>
                <w:szCs w:val="11"/>
                <w:color w:val="auto"/>
              </w:rPr>
            </w:pPr>
          </w:p>
        </w:tc>
        <w:tc>
          <w:tcPr>
            <w:tcW w:w="1780" w:type="dxa"/>
            <w:vAlign w:val="bottom"/>
            <w:gridSpan w:val="2"/>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4"/>
              </w:rPr>
              <w:t>Intrinsic Value:</w:t>
            </w:r>
          </w:p>
        </w:tc>
        <w:tc>
          <w:tcPr>
            <w:tcW w:w="180" w:type="dxa"/>
            <w:vAlign w:val="bottom"/>
            <w:shd w:val="clear" w:color="auto" w:fill="998C87"/>
          </w:tcPr>
          <w:p>
            <w:pPr>
              <w:spacing w:after="0"/>
              <w:rPr>
                <w:sz w:val="11"/>
                <w:szCs w:val="11"/>
                <w:color w:val="auto"/>
              </w:rPr>
            </w:pPr>
          </w:p>
        </w:tc>
        <w:tc>
          <w:tcPr>
            <w:tcW w:w="940" w:type="dxa"/>
            <w:vAlign w:val="bottom"/>
            <w:shd w:val="clear" w:color="auto" w:fill="998C87"/>
          </w:tcPr>
          <w:p>
            <w:pPr>
              <w:jc w:val="center"/>
              <w:ind w:right="30"/>
              <w:spacing w:after="0" w:line="135" w:lineRule="exact"/>
              <w:rPr>
                <w:sz w:val="20"/>
                <w:szCs w:val="20"/>
                <w:color w:val="auto"/>
              </w:rPr>
            </w:pPr>
            <w:r>
              <w:rPr>
                <w:rFonts w:ascii="Arial" w:cs="Arial" w:eastAsia="Arial" w:hAnsi="Arial"/>
                <w:sz w:val="13"/>
                <w:szCs w:val="13"/>
                <w:b w:val="1"/>
                <w:bCs w:val="1"/>
                <w:color w:val="FFFFFF"/>
                <w:w w:val="96"/>
              </w:rPr>
              <w:t>That Have</w:t>
            </w:r>
          </w:p>
        </w:tc>
        <w:tc>
          <w:tcPr>
            <w:tcW w:w="1060" w:type="dxa"/>
            <w:vAlign w:val="bottom"/>
            <w:shd w:val="clear" w:color="auto" w:fill="998C87"/>
          </w:tcPr>
          <w:p>
            <w:pPr>
              <w:jc w:val="center"/>
              <w:ind w:right="9"/>
              <w:spacing w:after="0" w:line="135" w:lineRule="exact"/>
              <w:rPr>
                <w:sz w:val="20"/>
                <w:szCs w:val="20"/>
                <w:color w:val="auto"/>
              </w:rPr>
            </w:pPr>
            <w:r>
              <w:rPr>
                <w:rFonts w:ascii="Arial" w:cs="Arial" w:eastAsia="Arial" w:hAnsi="Arial"/>
                <w:sz w:val="13"/>
                <w:szCs w:val="13"/>
                <w:b w:val="1"/>
                <w:bCs w:val="1"/>
                <w:color w:val="FFFFFF"/>
                <w:w w:val="97"/>
              </w:rPr>
              <w:t>of Stock</w:t>
            </w:r>
          </w:p>
        </w:tc>
        <w:tc>
          <w:tcPr>
            <w:tcW w:w="0" w:type="dxa"/>
            <w:vAlign w:val="bottom"/>
          </w:tcPr>
          <w:p>
            <w:pPr>
              <w:spacing w:after="0"/>
              <w:rPr>
                <w:sz w:val="1"/>
                <w:szCs w:val="1"/>
                <w:color w:val="auto"/>
              </w:rPr>
            </w:pPr>
          </w:p>
        </w:tc>
      </w:tr>
      <w:tr>
        <w:trPr>
          <w:trHeight w:val="135"/>
        </w:trPr>
        <w:tc>
          <w:tcPr>
            <w:tcW w:w="1300" w:type="dxa"/>
            <w:vAlign w:val="bottom"/>
            <w:vMerge w:val="restart"/>
            <w:shd w:val="clear" w:color="auto" w:fill="998C87"/>
          </w:tcPr>
          <w:p>
            <w:pPr>
              <w:ind w:left="40"/>
              <w:spacing w:after="0"/>
              <w:rPr>
                <w:sz w:val="20"/>
                <w:szCs w:val="20"/>
                <w:color w:val="auto"/>
              </w:rPr>
            </w:pPr>
            <w:r>
              <w:rPr>
                <w:rFonts w:ascii="Arial" w:cs="Arial" w:eastAsia="Arial" w:hAnsi="Arial"/>
                <w:sz w:val="13"/>
                <w:szCs w:val="13"/>
                <w:b w:val="1"/>
                <w:bCs w:val="1"/>
                <w:color w:val="FFFFFF"/>
              </w:rPr>
              <w:t>Name</w:t>
            </w:r>
          </w:p>
        </w:tc>
        <w:tc>
          <w:tcPr>
            <w:tcW w:w="220" w:type="dxa"/>
            <w:vAlign w:val="bottom"/>
            <w:shd w:val="clear" w:color="auto" w:fill="998C87"/>
          </w:tcPr>
          <w:p>
            <w:pPr>
              <w:spacing w:after="0"/>
              <w:rPr>
                <w:sz w:val="11"/>
                <w:szCs w:val="11"/>
                <w:color w:val="auto"/>
              </w:rPr>
            </w:pPr>
          </w:p>
        </w:tc>
        <w:tc>
          <w:tcPr>
            <w:tcW w:w="670" w:type="dxa"/>
            <w:vAlign w:val="bottom"/>
            <w:vMerge w:val="continue"/>
            <w:shd w:val="clear" w:color="auto" w:fill="998C87"/>
          </w:tcPr>
          <w:p>
            <w:pPr>
              <w:spacing w:after="0"/>
              <w:rPr>
                <w:sz w:val="11"/>
                <w:szCs w:val="11"/>
                <w:color w:val="auto"/>
              </w:rPr>
            </w:pPr>
          </w:p>
        </w:tc>
        <w:tc>
          <w:tcPr>
            <w:tcW w:w="1010" w:type="dxa"/>
            <w:vAlign w:val="bottom"/>
            <w:vMerge w:val="continue"/>
            <w:shd w:val="clear" w:color="auto" w:fill="998C87"/>
          </w:tcPr>
          <w:p>
            <w:pPr>
              <w:spacing w:after="0"/>
              <w:rPr>
                <w:sz w:val="11"/>
                <w:szCs w:val="11"/>
                <w:color w:val="auto"/>
              </w:rPr>
            </w:pPr>
          </w:p>
        </w:tc>
        <w:tc>
          <w:tcPr>
            <w:tcW w:w="240" w:type="dxa"/>
            <w:vAlign w:val="bottom"/>
            <w:shd w:val="clear" w:color="auto" w:fill="998C87"/>
          </w:tcPr>
          <w:p>
            <w:pPr>
              <w:spacing w:after="0"/>
              <w:rPr>
                <w:sz w:val="11"/>
                <w:szCs w:val="11"/>
                <w:color w:val="auto"/>
              </w:rPr>
            </w:pPr>
          </w:p>
        </w:tc>
        <w:tc>
          <w:tcPr>
            <w:tcW w:w="1560" w:type="dxa"/>
            <w:vAlign w:val="bottom"/>
            <w:gridSpan w:val="3"/>
            <w:shd w:val="clear" w:color="auto" w:fill="998C87"/>
          </w:tcPr>
          <w:p>
            <w:pPr>
              <w:ind w:left="300"/>
              <w:spacing w:after="0" w:line="135" w:lineRule="exact"/>
              <w:rPr>
                <w:sz w:val="20"/>
                <w:szCs w:val="20"/>
                <w:color w:val="auto"/>
              </w:rPr>
            </w:pPr>
            <w:r>
              <w:rPr>
                <w:rFonts w:ascii="Arial" w:cs="Arial" w:eastAsia="Arial" w:hAnsi="Arial"/>
                <w:sz w:val="13"/>
                <w:szCs w:val="13"/>
                <w:b w:val="1"/>
                <w:bCs w:val="1"/>
                <w:color w:val="FFFFFF"/>
              </w:rPr>
              <w:t>Exercisable/</w:t>
            </w:r>
          </w:p>
        </w:tc>
        <w:tc>
          <w:tcPr>
            <w:tcW w:w="220" w:type="dxa"/>
            <w:vAlign w:val="bottom"/>
            <w:shd w:val="clear" w:color="auto" w:fill="998C87"/>
          </w:tcPr>
          <w:p>
            <w:pPr>
              <w:spacing w:after="0"/>
              <w:rPr>
                <w:sz w:val="11"/>
                <w:szCs w:val="11"/>
                <w:color w:val="auto"/>
              </w:rPr>
            </w:pPr>
          </w:p>
        </w:tc>
        <w:tc>
          <w:tcPr>
            <w:tcW w:w="700" w:type="dxa"/>
            <w:vAlign w:val="bottom"/>
            <w:shd w:val="clear" w:color="auto" w:fill="998C87"/>
          </w:tcPr>
          <w:p>
            <w:pPr>
              <w:jc w:val="center"/>
              <w:ind w:right="149"/>
              <w:spacing w:after="0" w:line="135" w:lineRule="exact"/>
              <w:rPr>
                <w:sz w:val="20"/>
                <w:szCs w:val="20"/>
                <w:color w:val="auto"/>
              </w:rPr>
            </w:pPr>
            <w:r>
              <w:rPr>
                <w:rFonts w:ascii="Arial" w:cs="Arial" w:eastAsia="Arial" w:hAnsi="Arial"/>
                <w:sz w:val="13"/>
                <w:szCs w:val="13"/>
                <w:b w:val="1"/>
                <w:bCs w:val="1"/>
                <w:color w:val="FFFFFF"/>
              </w:rPr>
              <w:t>Price</w:t>
            </w:r>
          </w:p>
        </w:tc>
        <w:tc>
          <w:tcPr>
            <w:tcW w:w="900" w:type="dxa"/>
            <w:vAlign w:val="bottom"/>
            <w:gridSpan w:val="2"/>
            <w:shd w:val="clear" w:color="auto" w:fill="998C87"/>
          </w:tcPr>
          <w:p>
            <w:pPr>
              <w:jc w:val="right"/>
              <w:ind w:right="71"/>
              <w:spacing w:after="0" w:line="135" w:lineRule="exact"/>
              <w:rPr>
                <w:sz w:val="20"/>
                <w:szCs w:val="20"/>
                <w:color w:val="auto"/>
              </w:rPr>
            </w:pPr>
            <w:r>
              <w:rPr>
                <w:rFonts w:ascii="Arial" w:cs="Arial" w:eastAsia="Arial" w:hAnsi="Arial"/>
                <w:sz w:val="13"/>
                <w:szCs w:val="13"/>
                <w:b w:val="1"/>
                <w:bCs w:val="1"/>
                <w:color w:val="FFFFFF"/>
              </w:rPr>
              <w:t>Expiration</w:t>
            </w:r>
          </w:p>
        </w:tc>
        <w:tc>
          <w:tcPr>
            <w:tcW w:w="220" w:type="dxa"/>
            <w:vAlign w:val="bottom"/>
            <w:shd w:val="clear" w:color="auto" w:fill="998C87"/>
          </w:tcPr>
          <w:p>
            <w:pPr>
              <w:spacing w:after="0"/>
              <w:rPr>
                <w:sz w:val="11"/>
                <w:szCs w:val="11"/>
                <w:color w:val="auto"/>
              </w:rPr>
            </w:pPr>
          </w:p>
        </w:tc>
        <w:tc>
          <w:tcPr>
            <w:tcW w:w="1780" w:type="dxa"/>
            <w:vAlign w:val="bottom"/>
            <w:gridSpan w:val="2"/>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6"/>
              </w:rPr>
              <w:t>($) Exercisable/</w:t>
            </w:r>
          </w:p>
        </w:tc>
        <w:tc>
          <w:tcPr>
            <w:tcW w:w="180" w:type="dxa"/>
            <w:vAlign w:val="bottom"/>
            <w:shd w:val="clear" w:color="auto" w:fill="998C87"/>
          </w:tcPr>
          <w:p>
            <w:pPr>
              <w:spacing w:after="0"/>
              <w:rPr>
                <w:sz w:val="11"/>
                <w:szCs w:val="11"/>
                <w:color w:val="auto"/>
              </w:rPr>
            </w:pPr>
          </w:p>
        </w:tc>
        <w:tc>
          <w:tcPr>
            <w:tcW w:w="940" w:type="dxa"/>
            <w:vAlign w:val="bottom"/>
            <w:shd w:val="clear" w:color="auto" w:fill="998C87"/>
          </w:tcPr>
          <w:p>
            <w:pPr>
              <w:jc w:val="center"/>
              <w:ind w:right="10"/>
              <w:spacing w:after="0" w:line="135" w:lineRule="exact"/>
              <w:rPr>
                <w:sz w:val="20"/>
                <w:szCs w:val="20"/>
                <w:color w:val="auto"/>
              </w:rPr>
            </w:pPr>
            <w:r>
              <w:rPr>
                <w:rFonts w:ascii="Arial" w:cs="Arial" w:eastAsia="Arial" w:hAnsi="Arial"/>
                <w:sz w:val="13"/>
                <w:szCs w:val="13"/>
                <w:b w:val="1"/>
                <w:bCs w:val="1"/>
                <w:color w:val="FFFFFF"/>
                <w:w w:val="97"/>
              </w:rPr>
              <w:t>Not Vested</w:t>
            </w:r>
          </w:p>
        </w:tc>
        <w:tc>
          <w:tcPr>
            <w:tcW w:w="1060" w:type="dxa"/>
            <w:vAlign w:val="bottom"/>
            <w:shd w:val="clear" w:color="auto" w:fill="998C87"/>
          </w:tcPr>
          <w:p>
            <w:pPr>
              <w:jc w:val="right"/>
              <w:ind w:right="189"/>
              <w:spacing w:after="0" w:line="135" w:lineRule="exact"/>
              <w:rPr>
                <w:sz w:val="20"/>
                <w:szCs w:val="20"/>
                <w:color w:val="auto"/>
              </w:rPr>
            </w:pPr>
            <w:r>
              <w:rPr>
                <w:rFonts w:ascii="Arial" w:cs="Arial" w:eastAsia="Arial" w:hAnsi="Arial"/>
                <w:sz w:val="13"/>
                <w:szCs w:val="13"/>
                <w:b w:val="1"/>
                <w:bCs w:val="1"/>
                <w:color w:val="FFFFFF"/>
              </w:rPr>
              <w:t>That Have</w:t>
            </w:r>
          </w:p>
        </w:tc>
        <w:tc>
          <w:tcPr>
            <w:tcW w:w="0" w:type="dxa"/>
            <w:vAlign w:val="bottom"/>
          </w:tcPr>
          <w:p>
            <w:pPr>
              <w:spacing w:after="0"/>
              <w:rPr>
                <w:sz w:val="1"/>
                <w:szCs w:val="1"/>
                <w:color w:val="auto"/>
              </w:rPr>
            </w:pPr>
          </w:p>
        </w:tc>
      </w:tr>
      <w:tr>
        <w:trPr>
          <w:trHeight w:val="157"/>
        </w:trPr>
        <w:tc>
          <w:tcPr>
            <w:tcW w:w="1300" w:type="dxa"/>
            <w:vAlign w:val="bottom"/>
            <w:vMerge w:val="continue"/>
            <w:shd w:val="clear" w:color="auto" w:fill="998C87"/>
          </w:tcPr>
          <w:p>
            <w:pPr>
              <w:spacing w:after="0"/>
              <w:rPr>
                <w:sz w:val="13"/>
                <w:szCs w:val="13"/>
                <w:color w:val="auto"/>
              </w:rPr>
            </w:pPr>
          </w:p>
        </w:tc>
        <w:tc>
          <w:tcPr>
            <w:tcW w:w="220" w:type="dxa"/>
            <w:vAlign w:val="bottom"/>
            <w:shd w:val="clear" w:color="auto" w:fill="998C87"/>
          </w:tcPr>
          <w:p>
            <w:pPr>
              <w:spacing w:after="0"/>
              <w:rPr>
                <w:sz w:val="13"/>
                <w:szCs w:val="13"/>
                <w:color w:val="auto"/>
              </w:rPr>
            </w:pPr>
          </w:p>
        </w:tc>
        <w:tc>
          <w:tcPr>
            <w:tcW w:w="670" w:type="dxa"/>
            <w:vAlign w:val="bottom"/>
            <w:shd w:val="clear" w:color="auto" w:fill="998C87"/>
          </w:tcPr>
          <w:p>
            <w:pPr>
              <w:jc w:val="right"/>
              <w:ind w:right="239"/>
              <w:spacing w:after="0"/>
              <w:rPr>
                <w:sz w:val="20"/>
                <w:szCs w:val="20"/>
                <w:color w:val="auto"/>
              </w:rPr>
            </w:pPr>
            <w:r>
              <w:rPr>
                <w:rFonts w:ascii="Arial" w:cs="Arial" w:eastAsia="Arial" w:hAnsi="Arial"/>
                <w:sz w:val="13"/>
                <w:szCs w:val="13"/>
                <w:b w:val="1"/>
                <w:bCs w:val="1"/>
                <w:color w:val="FFFFFF"/>
              </w:rPr>
              <w:t>Date</w:t>
            </w:r>
          </w:p>
        </w:tc>
        <w:tc>
          <w:tcPr>
            <w:tcW w:w="1010" w:type="dxa"/>
            <w:vAlign w:val="bottom"/>
            <w:shd w:val="clear" w:color="auto" w:fill="998C87"/>
          </w:tcPr>
          <w:p>
            <w:pPr>
              <w:ind w:left="370"/>
              <w:spacing w:after="0"/>
              <w:rPr>
                <w:sz w:val="20"/>
                <w:szCs w:val="20"/>
                <w:color w:val="auto"/>
              </w:rPr>
            </w:pPr>
            <w:r>
              <w:rPr>
                <w:rFonts w:ascii="Arial" w:cs="Arial" w:eastAsia="Arial" w:hAnsi="Arial"/>
                <w:sz w:val="13"/>
                <w:szCs w:val="13"/>
                <w:b w:val="1"/>
                <w:bCs w:val="1"/>
                <w:color w:val="FFFFFF"/>
              </w:rPr>
              <w:t>Type</w:t>
            </w:r>
          </w:p>
        </w:tc>
        <w:tc>
          <w:tcPr>
            <w:tcW w:w="240" w:type="dxa"/>
            <w:vAlign w:val="bottom"/>
            <w:shd w:val="clear" w:color="auto" w:fill="998C87"/>
          </w:tcPr>
          <w:p>
            <w:pPr>
              <w:spacing w:after="0"/>
              <w:rPr>
                <w:sz w:val="13"/>
                <w:szCs w:val="13"/>
                <w:color w:val="auto"/>
              </w:rPr>
            </w:pPr>
          </w:p>
        </w:tc>
        <w:tc>
          <w:tcPr>
            <w:tcW w:w="1560" w:type="dxa"/>
            <w:vAlign w:val="bottom"/>
            <w:gridSpan w:val="3"/>
            <w:shd w:val="clear" w:color="auto" w:fill="998C87"/>
          </w:tcPr>
          <w:p>
            <w:pPr>
              <w:jc w:val="center"/>
              <w:ind w:right="240"/>
              <w:spacing w:after="0"/>
              <w:rPr>
                <w:sz w:val="20"/>
                <w:szCs w:val="20"/>
                <w:color w:val="auto"/>
              </w:rPr>
            </w:pPr>
            <w:r>
              <w:rPr>
                <w:rFonts w:ascii="Arial" w:cs="Arial" w:eastAsia="Arial" w:hAnsi="Arial"/>
                <w:sz w:val="13"/>
                <w:szCs w:val="13"/>
                <w:b w:val="1"/>
                <w:bCs w:val="1"/>
                <w:color w:val="FFFFFF"/>
                <w:w w:val="96"/>
              </w:rPr>
              <w:t>Unexercisable (#)</w:t>
            </w:r>
          </w:p>
        </w:tc>
        <w:tc>
          <w:tcPr>
            <w:tcW w:w="920" w:type="dxa"/>
            <w:vAlign w:val="bottom"/>
            <w:gridSpan w:val="2"/>
            <w:shd w:val="clear" w:color="auto" w:fill="998C87"/>
          </w:tcPr>
          <w:p>
            <w:pPr>
              <w:jc w:val="center"/>
              <w:spacing w:after="0"/>
              <w:rPr>
                <w:sz w:val="20"/>
                <w:szCs w:val="20"/>
                <w:color w:val="auto"/>
              </w:rPr>
            </w:pPr>
            <w:r>
              <w:rPr>
                <w:rFonts w:ascii="Arial" w:cs="Arial" w:eastAsia="Arial" w:hAnsi="Arial"/>
                <w:sz w:val="13"/>
                <w:szCs w:val="13"/>
                <w:b w:val="1"/>
                <w:bCs w:val="1"/>
                <w:color w:val="FFFFFF"/>
              </w:rPr>
              <w:t>($)</w:t>
            </w:r>
          </w:p>
        </w:tc>
        <w:tc>
          <w:tcPr>
            <w:tcW w:w="240" w:type="dxa"/>
            <w:vAlign w:val="bottom"/>
            <w:shd w:val="clear" w:color="auto" w:fill="998C87"/>
          </w:tcPr>
          <w:p>
            <w:pPr>
              <w:spacing w:after="0"/>
              <w:rPr>
                <w:sz w:val="13"/>
                <w:szCs w:val="13"/>
                <w:color w:val="auto"/>
              </w:rPr>
            </w:pPr>
          </w:p>
        </w:tc>
        <w:tc>
          <w:tcPr>
            <w:tcW w:w="660" w:type="dxa"/>
            <w:vAlign w:val="bottom"/>
            <w:shd w:val="clear" w:color="auto" w:fill="998C87"/>
          </w:tcPr>
          <w:p>
            <w:pPr>
              <w:jc w:val="right"/>
              <w:ind w:right="251"/>
              <w:spacing w:after="0"/>
              <w:rPr>
                <w:sz w:val="20"/>
                <w:szCs w:val="20"/>
                <w:color w:val="auto"/>
              </w:rPr>
            </w:pPr>
            <w:r>
              <w:rPr>
                <w:rFonts w:ascii="Arial" w:cs="Arial" w:eastAsia="Arial" w:hAnsi="Arial"/>
                <w:sz w:val="13"/>
                <w:szCs w:val="13"/>
                <w:b w:val="1"/>
                <w:bCs w:val="1"/>
                <w:color w:val="FFFFFF"/>
              </w:rPr>
              <w:t>Date</w:t>
            </w:r>
          </w:p>
        </w:tc>
        <w:tc>
          <w:tcPr>
            <w:tcW w:w="220" w:type="dxa"/>
            <w:vAlign w:val="bottom"/>
            <w:shd w:val="clear" w:color="auto" w:fill="998C87"/>
          </w:tcPr>
          <w:p>
            <w:pPr>
              <w:spacing w:after="0"/>
              <w:rPr>
                <w:sz w:val="13"/>
                <w:szCs w:val="13"/>
                <w:color w:val="auto"/>
              </w:rPr>
            </w:pPr>
          </w:p>
        </w:tc>
        <w:tc>
          <w:tcPr>
            <w:tcW w:w="1780" w:type="dxa"/>
            <w:vAlign w:val="bottom"/>
            <w:gridSpan w:val="2"/>
            <w:shd w:val="clear" w:color="auto" w:fill="998C87"/>
          </w:tcPr>
          <w:p>
            <w:pPr>
              <w:jc w:val="center"/>
              <w:spacing w:after="0"/>
              <w:rPr>
                <w:sz w:val="20"/>
                <w:szCs w:val="20"/>
                <w:color w:val="auto"/>
              </w:rPr>
            </w:pPr>
            <w:r>
              <w:rPr>
                <w:rFonts w:ascii="Arial" w:cs="Arial" w:eastAsia="Arial" w:hAnsi="Arial"/>
                <w:sz w:val="13"/>
                <w:szCs w:val="13"/>
                <w:b w:val="1"/>
                <w:bCs w:val="1"/>
                <w:color w:val="FFFFFF"/>
                <w:w w:val="95"/>
              </w:rPr>
              <w:t>Unexercisable</w:t>
            </w:r>
          </w:p>
        </w:tc>
        <w:tc>
          <w:tcPr>
            <w:tcW w:w="1120" w:type="dxa"/>
            <w:vAlign w:val="bottom"/>
            <w:gridSpan w:val="2"/>
            <w:shd w:val="clear" w:color="auto" w:fill="998C87"/>
          </w:tcPr>
          <w:p>
            <w:pPr>
              <w:jc w:val="center"/>
              <w:ind w:left="9"/>
              <w:spacing w:after="0"/>
              <w:rPr>
                <w:sz w:val="20"/>
                <w:szCs w:val="20"/>
                <w:color w:val="auto"/>
              </w:rPr>
            </w:pPr>
            <w:r>
              <w:rPr>
                <w:rFonts w:ascii="Arial" w:cs="Arial" w:eastAsia="Arial" w:hAnsi="Arial"/>
                <w:sz w:val="13"/>
                <w:szCs w:val="13"/>
                <w:b w:val="1"/>
                <w:bCs w:val="1"/>
                <w:color w:val="FFFFFF"/>
              </w:rPr>
              <w:t>(#)</w:t>
            </w:r>
          </w:p>
        </w:tc>
        <w:tc>
          <w:tcPr>
            <w:tcW w:w="1060" w:type="dxa"/>
            <w:vAlign w:val="bottom"/>
            <w:shd w:val="clear" w:color="auto" w:fill="998C87"/>
          </w:tcPr>
          <w:p>
            <w:pPr>
              <w:jc w:val="center"/>
              <w:spacing w:after="0"/>
              <w:rPr>
                <w:sz w:val="20"/>
                <w:szCs w:val="20"/>
                <w:color w:val="auto"/>
              </w:rPr>
            </w:pPr>
            <w:r>
              <w:rPr>
                <w:rFonts w:ascii="Arial" w:cs="Arial" w:eastAsia="Arial" w:hAnsi="Arial"/>
                <w:sz w:val="13"/>
                <w:szCs w:val="13"/>
                <w:b w:val="1"/>
                <w:bCs w:val="1"/>
                <w:color w:val="FFFFFF"/>
                <w:w w:val="96"/>
              </w:rPr>
              <w:t>Not Vested ($)</w:t>
            </w:r>
          </w:p>
        </w:tc>
        <w:tc>
          <w:tcPr>
            <w:tcW w:w="0" w:type="dxa"/>
            <w:vAlign w:val="bottom"/>
          </w:tcPr>
          <w:p>
            <w:pPr>
              <w:spacing w:after="0"/>
              <w:rPr>
                <w:sz w:val="1"/>
                <w:szCs w:val="1"/>
                <w:color w:val="auto"/>
              </w:rPr>
            </w:pPr>
          </w:p>
        </w:tc>
      </w:tr>
      <w:tr>
        <w:trPr>
          <w:trHeight w:val="162"/>
        </w:trPr>
        <w:tc>
          <w:tcPr>
            <w:tcW w:w="1300" w:type="dxa"/>
            <w:vAlign w:val="bottom"/>
            <w:shd w:val="clear" w:color="auto" w:fill="F4F3F3"/>
          </w:tcPr>
          <w:p>
            <w:pPr>
              <w:ind w:left="40"/>
              <w:spacing w:after="0"/>
              <w:rPr>
                <w:sz w:val="20"/>
                <w:szCs w:val="20"/>
                <w:color w:val="auto"/>
              </w:rPr>
            </w:pPr>
            <w:r>
              <w:rPr>
                <w:rFonts w:ascii="Arial" w:cs="Arial" w:eastAsia="Arial" w:hAnsi="Arial"/>
                <w:sz w:val="14"/>
                <w:szCs w:val="14"/>
                <w:color w:val="998C87"/>
              </w:rPr>
              <w:t>Mr. Marriott</w:t>
            </w:r>
          </w:p>
        </w:tc>
        <w:tc>
          <w:tcPr>
            <w:tcW w:w="890" w:type="dxa"/>
            <w:vAlign w:val="bottom"/>
            <w:gridSpan w:val="2"/>
            <w:shd w:val="clear" w:color="auto" w:fill="F4F3F3"/>
          </w:tcPr>
          <w:p>
            <w:pPr>
              <w:jc w:val="right"/>
              <w:ind w:right="99"/>
              <w:spacing w:after="0"/>
              <w:rPr>
                <w:sz w:val="20"/>
                <w:szCs w:val="20"/>
                <w:color w:val="auto"/>
              </w:rPr>
            </w:pPr>
            <w:r>
              <w:rPr>
                <w:rFonts w:ascii="Arial" w:cs="Arial" w:eastAsia="Arial" w:hAnsi="Arial"/>
                <w:sz w:val="14"/>
                <w:szCs w:val="14"/>
                <w:color w:val="auto"/>
              </w:rPr>
              <w:t>2/16/10</w:t>
            </w: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SARs</w:t>
            </w:r>
          </w:p>
        </w:tc>
        <w:tc>
          <w:tcPr>
            <w:tcW w:w="1140" w:type="dxa"/>
            <w:vAlign w:val="bottom"/>
            <w:tcBorders>
              <w:right w:val="single" w:sz="8" w:color="F4F3F3"/>
            </w:tcBorders>
            <w:gridSpan w:val="2"/>
            <w:shd w:val="clear" w:color="auto" w:fill="F4F3F3"/>
          </w:tcPr>
          <w:p>
            <w:pPr>
              <w:jc w:val="right"/>
              <w:ind w:right="310"/>
              <w:spacing w:after="0"/>
              <w:rPr>
                <w:sz w:val="20"/>
                <w:szCs w:val="20"/>
                <w:color w:val="auto"/>
              </w:rPr>
            </w:pPr>
            <w:r>
              <w:rPr>
                <w:rFonts w:ascii="Arial" w:cs="Arial" w:eastAsia="Arial" w:hAnsi="Arial"/>
                <w:sz w:val="14"/>
                <w:szCs w:val="14"/>
                <w:color w:val="auto"/>
              </w:rPr>
              <w:t>278,588</w:t>
            </w:r>
          </w:p>
        </w:tc>
        <w:tc>
          <w:tcPr>
            <w:tcW w:w="660" w:type="dxa"/>
            <w:vAlign w:val="bottom"/>
            <w:gridSpan w:val="2"/>
            <w:shd w:val="clear" w:color="auto" w:fill="F4F3F3"/>
          </w:tcPr>
          <w:p>
            <w:pPr>
              <w:jc w:val="right"/>
              <w:ind w:right="28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F4F3F3"/>
          </w:tcPr>
          <w:p>
            <w:pPr>
              <w:jc w:val="right"/>
              <w:ind w:right="89"/>
              <w:spacing w:after="0"/>
              <w:rPr>
                <w:sz w:val="20"/>
                <w:szCs w:val="20"/>
                <w:color w:val="auto"/>
              </w:rPr>
            </w:pPr>
            <w:r>
              <w:rPr>
                <w:rFonts w:ascii="Arial" w:cs="Arial" w:eastAsia="Arial" w:hAnsi="Arial"/>
                <w:sz w:val="14"/>
                <w:szCs w:val="14"/>
                <w:color w:val="auto"/>
              </w:rPr>
              <w:t>25.4397</w:t>
            </w:r>
          </w:p>
        </w:tc>
        <w:tc>
          <w:tcPr>
            <w:tcW w:w="900" w:type="dxa"/>
            <w:vAlign w:val="bottom"/>
            <w:gridSpan w:val="2"/>
            <w:shd w:val="clear" w:color="auto" w:fill="F4F3F3"/>
          </w:tcPr>
          <w:p>
            <w:pPr>
              <w:jc w:val="right"/>
              <w:ind w:right="111"/>
              <w:spacing w:after="0"/>
              <w:rPr>
                <w:sz w:val="20"/>
                <w:szCs w:val="20"/>
                <w:color w:val="auto"/>
              </w:rPr>
            </w:pPr>
            <w:r>
              <w:rPr>
                <w:rFonts w:ascii="Arial" w:cs="Arial" w:eastAsia="Arial" w:hAnsi="Arial"/>
                <w:sz w:val="14"/>
                <w:szCs w:val="14"/>
                <w:color w:val="auto"/>
              </w:rPr>
              <w:t>2/16/20</w:t>
            </w:r>
          </w:p>
        </w:tc>
        <w:tc>
          <w:tcPr>
            <w:tcW w:w="1300" w:type="dxa"/>
            <w:vAlign w:val="bottom"/>
            <w:gridSpan w:val="2"/>
            <w:shd w:val="clear" w:color="auto" w:fill="F4F3F3"/>
          </w:tcPr>
          <w:p>
            <w:pPr>
              <w:jc w:val="right"/>
              <w:ind w:right="270"/>
              <w:spacing w:after="0"/>
              <w:rPr>
                <w:sz w:val="20"/>
                <w:szCs w:val="20"/>
                <w:color w:val="auto"/>
              </w:rPr>
            </w:pPr>
            <w:r>
              <w:rPr>
                <w:rFonts w:ascii="Arial" w:cs="Arial" w:eastAsia="Arial" w:hAnsi="Arial"/>
                <w:sz w:val="14"/>
                <w:szCs w:val="14"/>
                <w:color w:val="auto"/>
              </w:rPr>
              <w:t>30,725,554</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F4F3F3"/>
          </w:tcPr>
          <w:p>
            <w:pPr>
              <w:spacing w:after="0"/>
              <w:rPr>
                <w:sz w:val="14"/>
                <w:szCs w:val="14"/>
                <w:color w:val="auto"/>
              </w:rPr>
            </w:pPr>
          </w:p>
        </w:tc>
        <w:tc>
          <w:tcPr>
            <w:tcW w:w="940" w:type="dxa"/>
            <w:vAlign w:val="bottom"/>
            <w:shd w:val="clear" w:color="auto" w:fill="F4F3F3"/>
          </w:tcPr>
          <w:p>
            <w:pPr>
              <w:jc w:val="right"/>
              <w:ind w:right="290"/>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300" w:type="dxa"/>
            <w:vAlign w:val="bottom"/>
            <w:shd w:val="clear" w:color="auto" w:fill="F4F3F3"/>
          </w:tcPr>
          <w:p>
            <w:pPr>
              <w:spacing w:after="0"/>
              <w:rPr>
                <w:sz w:val="14"/>
                <w:szCs w:val="14"/>
                <w:color w:val="auto"/>
              </w:rPr>
            </w:pPr>
          </w:p>
        </w:tc>
        <w:tc>
          <w:tcPr>
            <w:tcW w:w="890" w:type="dxa"/>
            <w:vAlign w:val="bottom"/>
            <w:gridSpan w:val="2"/>
            <w:shd w:val="clear" w:color="auto" w:fill="F4F3F3"/>
          </w:tcPr>
          <w:p>
            <w:pPr>
              <w:jc w:val="right"/>
              <w:ind w:right="99"/>
              <w:spacing w:after="0"/>
              <w:rPr>
                <w:sz w:val="20"/>
                <w:szCs w:val="20"/>
                <w:color w:val="auto"/>
              </w:rPr>
            </w:pPr>
            <w:r>
              <w:rPr>
                <w:rFonts w:ascii="Arial" w:cs="Arial" w:eastAsia="Arial" w:hAnsi="Arial"/>
                <w:sz w:val="14"/>
                <w:szCs w:val="14"/>
                <w:color w:val="auto"/>
              </w:rPr>
              <w:t>2/16/10</w:t>
            </w: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MVW SARs(1)</w:t>
            </w:r>
          </w:p>
        </w:tc>
        <w:tc>
          <w:tcPr>
            <w:tcW w:w="1140" w:type="dxa"/>
            <w:vAlign w:val="bottom"/>
            <w:tcBorders>
              <w:right w:val="single" w:sz="8" w:color="F4F3F3"/>
            </w:tcBorders>
            <w:gridSpan w:val="2"/>
            <w:shd w:val="clear" w:color="auto" w:fill="F4F3F3"/>
          </w:tcPr>
          <w:p>
            <w:pPr>
              <w:jc w:val="right"/>
              <w:ind w:right="310"/>
              <w:spacing w:after="0"/>
              <w:rPr>
                <w:sz w:val="20"/>
                <w:szCs w:val="20"/>
                <w:color w:val="auto"/>
              </w:rPr>
            </w:pPr>
            <w:r>
              <w:rPr>
                <w:rFonts w:ascii="Arial" w:cs="Arial" w:eastAsia="Arial" w:hAnsi="Arial"/>
                <w:sz w:val="14"/>
                <w:szCs w:val="14"/>
                <w:color w:val="auto"/>
              </w:rPr>
              <w:t>27,858</w:t>
            </w:r>
          </w:p>
        </w:tc>
        <w:tc>
          <w:tcPr>
            <w:tcW w:w="660" w:type="dxa"/>
            <w:vAlign w:val="bottom"/>
            <w:gridSpan w:val="2"/>
            <w:shd w:val="clear" w:color="auto" w:fill="F4F3F3"/>
          </w:tcPr>
          <w:p>
            <w:pPr>
              <w:jc w:val="right"/>
              <w:ind w:right="28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F4F3F3"/>
          </w:tcPr>
          <w:p>
            <w:pPr>
              <w:jc w:val="right"/>
              <w:ind w:right="89"/>
              <w:spacing w:after="0"/>
              <w:rPr>
                <w:sz w:val="20"/>
                <w:szCs w:val="20"/>
                <w:color w:val="auto"/>
              </w:rPr>
            </w:pPr>
            <w:r>
              <w:rPr>
                <w:rFonts w:ascii="Arial" w:cs="Arial" w:eastAsia="Arial" w:hAnsi="Arial"/>
                <w:sz w:val="14"/>
                <w:szCs w:val="14"/>
                <w:color w:val="auto"/>
              </w:rPr>
              <w:t>15.5031</w:t>
            </w:r>
          </w:p>
        </w:tc>
        <w:tc>
          <w:tcPr>
            <w:tcW w:w="900" w:type="dxa"/>
            <w:vAlign w:val="bottom"/>
            <w:gridSpan w:val="2"/>
            <w:shd w:val="clear" w:color="auto" w:fill="F4F3F3"/>
          </w:tcPr>
          <w:p>
            <w:pPr>
              <w:jc w:val="right"/>
              <w:ind w:right="111"/>
              <w:spacing w:after="0"/>
              <w:rPr>
                <w:sz w:val="20"/>
                <w:szCs w:val="20"/>
                <w:color w:val="auto"/>
              </w:rPr>
            </w:pPr>
            <w:r>
              <w:rPr>
                <w:rFonts w:ascii="Arial" w:cs="Arial" w:eastAsia="Arial" w:hAnsi="Arial"/>
                <w:sz w:val="14"/>
                <w:szCs w:val="14"/>
                <w:color w:val="auto"/>
              </w:rPr>
              <w:t>2/16/20</w:t>
            </w:r>
          </w:p>
        </w:tc>
        <w:tc>
          <w:tcPr>
            <w:tcW w:w="1300" w:type="dxa"/>
            <w:vAlign w:val="bottom"/>
            <w:gridSpan w:val="2"/>
            <w:shd w:val="clear" w:color="auto" w:fill="F4F3F3"/>
          </w:tcPr>
          <w:p>
            <w:pPr>
              <w:jc w:val="right"/>
              <w:ind w:right="270"/>
              <w:spacing w:after="0"/>
              <w:rPr>
                <w:sz w:val="20"/>
                <w:szCs w:val="20"/>
                <w:color w:val="auto"/>
              </w:rPr>
            </w:pPr>
            <w:r>
              <w:rPr>
                <w:rFonts w:ascii="Arial" w:cs="Arial" w:eastAsia="Arial" w:hAnsi="Arial"/>
                <w:sz w:val="14"/>
                <w:szCs w:val="14"/>
                <w:color w:val="auto"/>
              </w:rPr>
              <w:t>3,334,795</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F4F3F3"/>
          </w:tcPr>
          <w:p>
            <w:pPr>
              <w:spacing w:after="0"/>
              <w:rPr>
                <w:sz w:val="14"/>
                <w:szCs w:val="14"/>
                <w:color w:val="auto"/>
              </w:rPr>
            </w:pPr>
          </w:p>
        </w:tc>
        <w:tc>
          <w:tcPr>
            <w:tcW w:w="940" w:type="dxa"/>
            <w:vAlign w:val="bottom"/>
            <w:shd w:val="clear" w:color="auto" w:fill="F4F3F3"/>
          </w:tcPr>
          <w:p>
            <w:pPr>
              <w:jc w:val="right"/>
              <w:ind w:right="290"/>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300" w:type="dxa"/>
            <w:vAlign w:val="bottom"/>
            <w:shd w:val="clear" w:color="auto" w:fill="F4F3F3"/>
          </w:tcPr>
          <w:p>
            <w:pPr>
              <w:spacing w:after="0"/>
              <w:rPr>
                <w:sz w:val="14"/>
                <w:szCs w:val="14"/>
                <w:color w:val="auto"/>
              </w:rPr>
            </w:pPr>
          </w:p>
        </w:tc>
        <w:tc>
          <w:tcPr>
            <w:tcW w:w="890" w:type="dxa"/>
            <w:vAlign w:val="bottom"/>
            <w:gridSpan w:val="2"/>
            <w:shd w:val="clear" w:color="auto" w:fill="F4F3F3"/>
          </w:tcPr>
          <w:p>
            <w:pPr>
              <w:jc w:val="right"/>
              <w:ind w:right="99"/>
              <w:spacing w:after="0"/>
              <w:rPr>
                <w:sz w:val="20"/>
                <w:szCs w:val="20"/>
                <w:color w:val="auto"/>
              </w:rPr>
            </w:pPr>
            <w:r>
              <w:rPr>
                <w:rFonts w:ascii="Arial" w:cs="Arial" w:eastAsia="Arial" w:hAnsi="Arial"/>
                <w:sz w:val="14"/>
                <w:szCs w:val="14"/>
                <w:color w:val="auto"/>
              </w:rPr>
              <w:t>2/17/11</w:t>
            </w: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SARs</w:t>
            </w:r>
          </w:p>
        </w:tc>
        <w:tc>
          <w:tcPr>
            <w:tcW w:w="1140" w:type="dxa"/>
            <w:vAlign w:val="bottom"/>
            <w:tcBorders>
              <w:right w:val="single" w:sz="8" w:color="F4F3F3"/>
            </w:tcBorders>
            <w:gridSpan w:val="2"/>
            <w:shd w:val="clear" w:color="auto" w:fill="F4F3F3"/>
          </w:tcPr>
          <w:p>
            <w:pPr>
              <w:jc w:val="right"/>
              <w:ind w:right="310"/>
              <w:spacing w:after="0"/>
              <w:rPr>
                <w:sz w:val="20"/>
                <w:szCs w:val="20"/>
                <w:color w:val="auto"/>
              </w:rPr>
            </w:pPr>
            <w:r>
              <w:rPr>
                <w:rFonts w:ascii="Arial" w:cs="Arial" w:eastAsia="Arial" w:hAnsi="Arial"/>
                <w:sz w:val="14"/>
                <w:szCs w:val="14"/>
                <w:color w:val="auto"/>
              </w:rPr>
              <w:t>190,236</w:t>
            </w:r>
          </w:p>
        </w:tc>
        <w:tc>
          <w:tcPr>
            <w:tcW w:w="660" w:type="dxa"/>
            <w:vAlign w:val="bottom"/>
            <w:gridSpan w:val="2"/>
            <w:shd w:val="clear" w:color="auto" w:fill="F4F3F3"/>
          </w:tcPr>
          <w:p>
            <w:pPr>
              <w:jc w:val="right"/>
              <w:ind w:right="28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F4F3F3"/>
          </w:tcPr>
          <w:p>
            <w:pPr>
              <w:jc w:val="right"/>
              <w:ind w:right="89"/>
              <w:spacing w:after="0"/>
              <w:rPr>
                <w:sz w:val="20"/>
                <w:szCs w:val="20"/>
                <w:color w:val="auto"/>
              </w:rPr>
            </w:pPr>
            <w:r>
              <w:rPr>
                <w:rFonts w:ascii="Arial" w:cs="Arial" w:eastAsia="Arial" w:hAnsi="Arial"/>
                <w:sz w:val="14"/>
                <w:szCs w:val="14"/>
                <w:color w:val="auto"/>
              </w:rPr>
              <w:t>38.4942</w:t>
            </w:r>
          </w:p>
        </w:tc>
        <w:tc>
          <w:tcPr>
            <w:tcW w:w="900" w:type="dxa"/>
            <w:vAlign w:val="bottom"/>
            <w:gridSpan w:val="2"/>
            <w:shd w:val="clear" w:color="auto" w:fill="F4F3F3"/>
          </w:tcPr>
          <w:p>
            <w:pPr>
              <w:jc w:val="right"/>
              <w:ind w:right="111"/>
              <w:spacing w:after="0"/>
              <w:rPr>
                <w:sz w:val="20"/>
                <w:szCs w:val="20"/>
                <w:color w:val="auto"/>
              </w:rPr>
            </w:pPr>
            <w:r>
              <w:rPr>
                <w:rFonts w:ascii="Arial" w:cs="Arial" w:eastAsia="Arial" w:hAnsi="Arial"/>
                <w:sz w:val="14"/>
                <w:szCs w:val="14"/>
                <w:color w:val="auto"/>
              </w:rPr>
              <w:t>2/17/21</w:t>
            </w:r>
          </w:p>
        </w:tc>
        <w:tc>
          <w:tcPr>
            <w:tcW w:w="1300" w:type="dxa"/>
            <w:vAlign w:val="bottom"/>
            <w:gridSpan w:val="2"/>
            <w:shd w:val="clear" w:color="auto" w:fill="F4F3F3"/>
          </w:tcPr>
          <w:p>
            <w:pPr>
              <w:jc w:val="right"/>
              <w:ind w:right="270"/>
              <w:spacing w:after="0"/>
              <w:rPr>
                <w:sz w:val="20"/>
                <w:szCs w:val="20"/>
                <w:color w:val="auto"/>
              </w:rPr>
            </w:pPr>
            <w:r>
              <w:rPr>
                <w:rFonts w:ascii="Arial" w:cs="Arial" w:eastAsia="Arial" w:hAnsi="Arial"/>
                <w:sz w:val="14"/>
                <w:szCs w:val="14"/>
                <w:color w:val="auto"/>
              </w:rPr>
              <w:t>18,497,750</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F4F3F3"/>
          </w:tcPr>
          <w:p>
            <w:pPr>
              <w:spacing w:after="0"/>
              <w:rPr>
                <w:sz w:val="14"/>
                <w:szCs w:val="14"/>
                <w:color w:val="auto"/>
              </w:rPr>
            </w:pPr>
          </w:p>
        </w:tc>
        <w:tc>
          <w:tcPr>
            <w:tcW w:w="940" w:type="dxa"/>
            <w:vAlign w:val="bottom"/>
            <w:shd w:val="clear" w:color="auto" w:fill="F4F3F3"/>
          </w:tcPr>
          <w:p>
            <w:pPr>
              <w:jc w:val="right"/>
              <w:ind w:right="290"/>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1300" w:type="dxa"/>
            <w:vAlign w:val="bottom"/>
            <w:shd w:val="clear" w:color="auto" w:fill="F4F3F3"/>
          </w:tcPr>
          <w:p>
            <w:pPr>
              <w:spacing w:after="0"/>
              <w:rPr>
                <w:sz w:val="15"/>
                <w:szCs w:val="15"/>
                <w:color w:val="auto"/>
              </w:rPr>
            </w:pPr>
          </w:p>
        </w:tc>
        <w:tc>
          <w:tcPr>
            <w:tcW w:w="220" w:type="dxa"/>
            <w:vAlign w:val="bottom"/>
            <w:shd w:val="clear" w:color="auto" w:fill="F4F3F3"/>
          </w:tcPr>
          <w:p>
            <w:pPr>
              <w:spacing w:after="0"/>
              <w:rPr>
                <w:sz w:val="15"/>
                <w:szCs w:val="15"/>
                <w:color w:val="auto"/>
              </w:rPr>
            </w:pPr>
          </w:p>
        </w:tc>
        <w:tc>
          <w:tcPr>
            <w:tcW w:w="670" w:type="dxa"/>
            <w:vAlign w:val="bottom"/>
            <w:shd w:val="clear" w:color="auto" w:fill="F4F3F3"/>
          </w:tcPr>
          <w:p>
            <w:pPr>
              <w:jc w:val="right"/>
              <w:ind w:right="99"/>
              <w:spacing w:after="0"/>
              <w:rPr>
                <w:sz w:val="20"/>
                <w:szCs w:val="20"/>
                <w:color w:val="auto"/>
              </w:rPr>
            </w:pPr>
            <w:r>
              <w:rPr>
                <w:rFonts w:ascii="Arial" w:cs="Arial" w:eastAsia="Arial" w:hAnsi="Arial"/>
                <w:sz w:val="14"/>
                <w:szCs w:val="14"/>
                <w:color w:val="auto"/>
              </w:rPr>
              <w:t>2/17/11</w:t>
            </w: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MVW SARs(1)</w:t>
            </w:r>
          </w:p>
        </w:tc>
        <w:tc>
          <w:tcPr>
            <w:tcW w:w="1140" w:type="dxa"/>
            <w:vAlign w:val="bottom"/>
            <w:tcBorders>
              <w:right w:val="single" w:sz="8" w:color="F4F3F3"/>
            </w:tcBorders>
            <w:gridSpan w:val="2"/>
            <w:shd w:val="clear" w:color="auto" w:fill="F4F3F3"/>
          </w:tcPr>
          <w:p>
            <w:pPr>
              <w:jc w:val="right"/>
              <w:ind w:right="310"/>
              <w:spacing w:after="0"/>
              <w:rPr>
                <w:sz w:val="20"/>
                <w:szCs w:val="20"/>
                <w:color w:val="auto"/>
              </w:rPr>
            </w:pPr>
            <w:r>
              <w:rPr>
                <w:rFonts w:ascii="Arial" w:cs="Arial" w:eastAsia="Arial" w:hAnsi="Arial"/>
                <w:sz w:val="14"/>
                <w:szCs w:val="14"/>
                <w:color w:val="auto"/>
              </w:rPr>
              <w:t>19,023</w:t>
            </w:r>
          </w:p>
        </w:tc>
        <w:tc>
          <w:tcPr>
            <w:tcW w:w="660" w:type="dxa"/>
            <w:vAlign w:val="bottom"/>
            <w:gridSpan w:val="2"/>
            <w:shd w:val="clear" w:color="auto" w:fill="F4F3F3"/>
          </w:tcPr>
          <w:p>
            <w:pPr>
              <w:jc w:val="right"/>
              <w:ind w:right="28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F4F3F3"/>
          </w:tcPr>
          <w:p>
            <w:pPr>
              <w:jc w:val="right"/>
              <w:ind w:right="89"/>
              <w:spacing w:after="0"/>
              <w:rPr>
                <w:sz w:val="20"/>
                <w:szCs w:val="20"/>
                <w:color w:val="auto"/>
              </w:rPr>
            </w:pPr>
            <w:r>
              <w:rPr>
                <w:rFonts w:ascii="Arial" w:cs="Arial" w:eastAsia="Arial" w:hAnsi="Arial"/>
                <w:sz w:val="14"/>
                <w:szCs w:val="14"/>
                <w:color w:val="auto"/>
              </w:rPr>
              <w:t>23.4585</w:t>
            </w:r>
          </w:p>
        </w:tc>
        <w:tc>
          <w:tcPr>
            <w:tcW w:w="900" w:type="dxa"/>
            <w:vAlign w:val="bottom"/>
            <w:gridSpan w:val="2"/>
            <w:shd w:val="clear" w:color="auto" w:fill="F4F3F3"/>
          </w:tcPr>
          <w:p>
            <w:pPr>
              <w:jc w:val="right"/>
              <w:ind w:right="111"/>
              <w:spacing w:after="0"/>
              <w:rPr>
                <w:sz w:val="20"/>
                <w:szCs w:val="20"/>
                <w:color w:val="auto"/>
              </w:rPr>
            </w:pPr>
            <w:r>
              <w:rPr>
                <w:rFonts w:ascii="Arial" w:cs="Arial" w:eastAsia="Arial" w:hAnsi="Arial"/>
                <w:sz w:val="14"/>
                <w:szCs w:val="14"/>
                <w:color w:val="auto"/>
              </w:rPr>
              <w:t>2/17/21</w:t>
            </w:r>
          </w:p>
        </w:tc>
        <w:tc>
          <w:tcPr>
            <w:tcW w:w="1300" w:type="dxa"/>
            <w:vAlign w:val="bottom"/>
            <w:gridSpan w:val="2"/>
            <w:shd w:val="clear" w:color="auto" w:fill="F4F3F3"/>
          </w:tcPr>
          <w:p>
            <w:pPr>
              <w:jc w:val="right"/>
              <w:ind w:right="270"/>
              <w:spacing w:after="0"/>
              <w:rPr>
                <w:sz w:val="20"/>
                <w:szCs w:val="20"/>
                <w:color w:val="auto"/>
              </w:rPr>
            </w:pPr>
            <w:r>
              <w:rPr>
                <w:rFonts w:ascii="Arial" w:cs="Arial" w:eastAsia="Arial" w:hAnsi="Arial"/>
                <w:sz w:val="14"/>
                <w:szCs w:val="14"/>
                <w:color w:val="auto"/>
              </w:rPr>
              <w:t>2,125,849</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F4F3F3"/>
          </w:tcPr>
          <w:p>
            <w:pPr>
              <w:spacing w:after="0"/>
              <w:rPr>
                <w:sz w:val="15"/>
                <w:szCs w:val="15"/>
                <w:color w:val="auto"/>
              </w:rPr>
            </w:pPr>
          </w:p>
        </w:tc>
        <w:tc>
          <w:tcPr>
            <w:tcW w:w="940" w:type="dxa"/>
            <w:vAlign w:val="bottom"/>
            <w:shd w:val="clear" w:color="auto" w:fill="F4F3F3"/>
          </w:tcPr>
          <w:p>
            <w:pPr>
              <w:jc w:val="right"/>
              <w:ind w:right="290"/>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1300" w:type="dxa"/>
            <w:vAlign w:val="bottom"/>
            <w:shd w:val="clear" w:color="auto" w:fill="F4F3F3"/>
          </w:tcPr>
          <w:p>
            <w:pPr>
              <w:ind w:left="40"/>
              <w:spacing w:after="0"/>
              <w:rPr>
                <w:sz w:val="20"/>
                <w:szCs w:val="20"/>
                <w:color w:val="auto"/>
              </w:rPr>
            </w:pPr>
            <w:r>
              <w:rPr>
                <w:rFonts w:ascii="Arial" w:cs="Arial" w:eastAsia="Arial" w:hAnsi="Arial"/>
                <w:sz w:val="14"/>
                <w:szCs w:val="14"/>
                <w:color w:val="998C87"/>
              </w:rPr>
              <w:t>Mr. Sorenson</w:t>
            </w:r>
          </w:p>
        </w:tc>
        <w:tc>
          <w:tcPr>
            <w:tcW w:w="220" w:type="dxa"/>
            <w:vAlign w:val="bottom"/>
            <w:shd w:val="clear" w:color="auto" w:fill="F4F3F3"/>
          </w:tcPr>
          <w:p>
            <w:pPr>
              <w:spacing w:after="0"/>
              <w:rPr>
                <w:sz w:val="15"/>
                <w:szCs w:val="15"/>
                <w:color w:val="auto"/>
              </w:rPr>
            </w:pPr>
          </w:p>
        </w:tc>
        <w:tc>
          <w:tcPr>
            <w:tcW w:w="670" w:type="dxa"/>
            <w:vAlign w:val="bottom"/>
            <w:shd w:val="clear" w:color="auto" w:fill="F4F3F3"/>
          </w:tcPr>
          <w:p>
            <w:pPr>
              <w:jc w:val="right"/>
              <w:ind w:right="99"/>
              <w:spacing w:after="0"/>
              <w:rPr>
                <w:sz w:val="20"/>
                <w:szCs w:val="20"/>
                <w:color w:val="auto"/>
              </w:rPr>
            </w:pPr>
            <w:r>
              <w:rPr>
                <w:rFonts w:ascii="Arial" w:cs="Arial" w:eastAsia="Arial" w:hAnsi="Arial"/>
                <w:sz w:val="14"/>
                <w:szCs w:val="14"/>
                <w:color w:val="auto"/>
              </w:rPr>
              <w:t>2/17/09</w:t>
            </w: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SARs</w:t>
            </w:r>
          </w:p>
        </w:tc>
        <w:tc>
          <w:tcPr>
            <w:tcW w:w="1140" w:type="dxa"/>
            <w:vAlign w:val="bottom"/>
            <w:tcBorders>
              <w:right w:val="single" w:sz="8" w:color="F4F3F3"/>
            </w:tcBorders>
            <w:gridSpan w:val="2"/>
            <w:shd w:val="clear" w:color="auto" w:fill="F4F3F3"/>
          </w:tcPr>
          <w:p>
            <w:pPr>
              <w:jc w:val="right"/>
              <w:ind w:right="310"/>
              <w:spacing w:after="0"/>
              <w:rPr>
                <w:sz w:val="20"/>
                <w:szCs w:val="20"/>
                <w:color w:val="auto"/>
              </w:rPr>
            </w:pPr>
            <w:r>
              <w:rPr>
                <w:rFonts w:ascii="Arial" w:cs="Arial" w:eastAsia="Arial" w:hAnsi="Arial"/>
                <w:sz w:val="14"/>
                <w:szCs w:val="14"/>
                <w:color w:val="auto"/>
              </w:rPr>
              <w:t>187,008</w:t>
            </w:r>
          </w:p>
        </w:tc>
        <w:tc>
          <w:tcPr>
            <w:tcW w:w="660" w:type="dxa"/>
            <w:vAlign w:val="bottom"/>
            <w:gridSpan w:val="2"/>
            <w:shd w:val="clear" w:color="auto" w:fill="F4F3F3"/>
          </w:tcPr>
          <w:p>
            <w:pPr>
              <w:jc w:val="right"/>
              <w:ind w:right="28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F4F3F3"/>
          </w:tcPr>
          <w:p>
            <w:pPr>
              <w:jc w:val="right"/>
              <w:ind w:right="89"/>
              <w:spacing w:after="0"/>
              <w:rPr>
                <w:sz w:val="20"/>
                <w:szCs w:val="20"/>
                <w:color w:val="auto"/>
              </w:rPr>
            </w:pPr>
            <w:r>
              <w:rPr>
                <w:rFonts w:ascii="Arial" w:cs="Arial" w:eastAsia="Arial" w:hAnsi="Arial"/>
                <w:sz w:val="14"/>
                <w:szCs w:val="14"/>
                <w:color w:val="auto"/>
              </w:rPr>
              <w:t>13.8085</w:t>
            </w:r>
          </w:p>
        </w:tc>
        <w:tc>
          <w:tcPr>
            <w:tcW w:w="900" w:type="dxa"/>
            <w:vAlign w:val="bottom"/>
            <w:gridSpan w:val="2"/>
            <w:shd w:val="clear" w:color="auto" w:fill="F4F3F3"/>
          </w:tcPr>
          <w:p>
            <w:pPr>
              <w:jc w:val="right"/>
              <w:ind w:right="111"/>
              <w:spacing w:after="0"/>
              <w:rPr>
                <w:sz w:val="20"/>
                <w:szCs w:val="20"/>
                <w:color w:val="auto"/>
              </w:rPr>
            </w:pPr>
            <w:r>
              <w:rPr>
                <w:rFonts w:ascii="Arial" w:cs="Arial" w:eastAsia="Arial" w:hAnsi="Arial"/>
                <w:sz w:val="14"/>
                <w:szCs w:val="14"/>
                <w:color w:val="auto"/>
              </w:rPr>
              <w:t>2/17/19</w:t>
            </w:r>
          </w:p>
        </w:tc>
        <w:tc>
          <w:tcPr>
            <w:tcW w:w="1300" w:type="dxa"/>
            <w:vAlign w:val="bottom"/>
            <w:gridSpan w:val="2"/>
            <w:shd w:val="clear" w:color="auto" w:fill="F4F3F3"/>
          </w:tcPr>
          <w:p>
            <w:pPr>
              <w:jc w:val="right"/>
              <w:ind w:right="270"/>
              <w:spacing w:after="0"/>
              <w:rPr>
                <w:sz w:val="20"/>
                <w:szCs w:val="20"/>
                <w:color w:val="auto"/>
              </w:rPr>
            </w:pPr>
            <w:r>
              <w:rPr>
                <w:rFonts w:ascii="Arial" w:cs="Arial" w:eastAsia="Arial" w:hAnsi="Arial"/>
                <w:sz w:val="14"/>
                <w:szCs w:val="14"/>
                <w:color w:val="auto"/>
              </w:rPr>
              <w:t>22,800,296</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F4F3F3"/>
          </w:tcPr>
          <w:p>
            <w:pPr>
              <w:spacing w:after="0"/>
              <w:rPr>
                <w:sz w:val="15"/>
                <w:szCs w:val="15"/>
                <w:color w:val="auto"/>
              </w:rPr>
            </w:pPr>
          </w:p>
        </w:tc>
        <w:tc>
          <w:tcPr>
            <w:tcW w:w="940" w:type="dxa"/>
            <w:vAlign w:val="bottom"/>
            <w:shd w:val="clear" w:color="auto" w:fill="F4F3F3"/>
          </w:tcPr>
          <w:p>
            <w:pPr>
              <w:jc w:val="right"/>
              <w:ind w:right="290"/>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300" w:type="dxa"/>
            <w:vAlign w:val="bottom"/>
            <w:shd w:val="clear" w:color="auto" w:fill="F4F3F3"/>
          </w:tcPr>
          <w:p>
            <w:pPr>
              <w:spacing w:after="0"/>
              <w:rPr>
                <w:sz w:val="14"/>
                <w:szCs w:val="14"/>
                <w:color w:val="auto"/>
              </w:rPr>
            </w:pPr>
          </w:p>
        </w:tc>
        <w:tc>
          <w:tcPr>
            <w:tcW w:w="220" w:type="dxa"/>
            <w:vAlign w:val="bottom"/>
            <w:shd w:val="clear" w:color="auto" w:fill="F4F3F3"/>
          </w:tcPr>
          <w:p>
            <w:pPr>
              <w:spacing w:after="0"/>
              <w:rPr>
                <w:sz w:val="14"/>
                <w:szCs w:val="14"/>
                <w:color w:val="auto"/>
              </w:rPr>
            </w:pPr>
          </w:p>
        </w:tc>
        <w:tc>
          <w:tcPr>
            <w:tcW w:w="670" w:type="dxa"/>
            <w:vAlign w:val="bottom"/>
            <w:shd w:val="clear" w:color="auto" w:fill="F4F3F3"/>
          </w:tcPr>
          <w:p>
            <w:pPr>
              <w:jc w:val="right"/>
              <w:ind w:right="99"/>
              <w:spacing w:after="0"/>
              <w:rPr>
                <w:sz w:val="20"/>
                <w:szCs w:val="20"/>
                <w:color w:val="auto"/>
              </w:rPr>
            </w:pPr>
            <w:r>
              <w:rPr>
                <w:rFonts w:ascii="Arial" w:cs="Arial" w:eastAsia="Arial" w:hAnsi="Arial"/>
                <w:sz w:val="14"/>
                <w:szCs w:val="14"/>
                <w:color w:val="auto"/>
              </w:rPr>
              <w:t>2/16/10</w:t>
            </w: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SARs</w:t>
            </w:r>
          </w:p>
        </w:tc>
        <w:tc>
          <w:tcPr>
            <w:tcW w:w="1140" w:type="dxa"/>
            <w:vAlign w:val="bottom"/>
            <w:tcBorders>
              <w:right w:val="single" w:sz="8" w:color="F4F3F3"/>
            </w:tcBorders>
            <w:gridSpan w:val="2"/>
            <w:shd w:val="clear" w:color="auto" w:fill="F4F3F3"/>
          </w:tcPr>
          <w:p>
            <w:pPr>
              <w:jc w:val="right"/>
              <w:ind w:right="310"/>
              <w:spacing w:after="0"/>
              <w:rPr>
                <w:sz w:val="20"/>
                <w:szCs w:val="20"/>
                <w:color w:val="auto"/>
              </w:rPr>
            </w:pPr>
            <w:r>
              <w:rPr>
                <w:rFonts w:ascii="Arial" w:cs="Arial" w:eastAsia="Arial" w:hAnsi="Arial"/>
                <w:sz w:val="14"/>
                <w:szCs w:val="14"/>
                <w:color w:val="auto"/>
              </w:rPr>
              <w:t>155,040</w:t>
            </w:r>
          </w:p>
        </w:tc>
        <w:tc>
          <w:tcPr>
            <w:tcW w:w="660" w:type="dxa"/>
            <w:vAlign w:val="bottom"/>
            <w:gridSpan w:val="2"/>
            <w:shd w:val="clear" w:color="auto" w:fill="F4F3F3"/>
          </w:tcPr>
          <w:p>
            <w:pPr>
              <w:jc w:val="right"/>
              <w:ind w:right="28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F4F3F3"/>
          </w:tcPr>
          <w:p>
            <w:pPr>
              <w:jc w:val="right"/>
              <w:ind w:right="89"/>
              <w:spacing w:after="0"/>
              <w:rPr>
                <w:sz w:val="20"/>
                <w:szCs w:val="20"/>
                <w:color w:val="auto"/>
              </w:rPr>
            </w:pPr>
            <w:r>
              <w:rPr>
                <w:rFonts w:ascii="Arial" w:cs="Arial" w:eastAsia="Arial" w:hAnsi="Arial"/>
                <w:sz w:val="14"/>
                <w:szCs w:val="14"/>
                <w:color w:val="auto"/>
              </w:rPr>
              <w:t>25.4397</w:t>
            </w:r>
          </w:p>
        </w:tc>
        <w:tc>
          <w:tcPr>
            <w:tcW w:w="900" w:type="dxa"/>
            <w:vAlign w:val="bottom"/>
            <w:gridSpan w:val="2"/>
            <w:shd w:val="clear" w:color="auto" w:fill="F4F3F3"/>
          </w:tcPr>
          <w:p>
            <w:pPr>
              <w:jc w:val="right"/>
              <w:ind w:right="111"/>
              <w:spacing w:after="0"/>
              <w:rPr>
                <w:sz w:val="20"/>
                <w:szCs w:val="20"/>
                <w:color w:val="auto"/>
              </w:rPr>
            </w:pPr>
            <w:r>
              <w:rPr>
                <w:rFonts w:ascii="Arial" w:cs="Arial" w:eastAsia="Arial" w:hAnsi="Arial"/>
                <w:sz w:val="14"/>
                <w:szCs w:val="14"/>
                <w:color w:val="auto"/>
              </w:rPr>
              <w:t>2/16/20</w:t>
            </w:r>
          </w:p>
        </w:tc>
        <w:tc>
          <w:tcPr>
            <w:tcW w:w="1300" w:type="dxa"/>
            <w:vAlign w:val="bottom"/>
            <w:gridSpan w:val="2"/>
            <w:shd w:val="clear" w:color="auto" w:fill="F4F3F3"/>
          </w:tcPr>
          <w:p>
            <w:pPr>
              <w:jc w:val="right"/>
              <w:ind w:right="270"/>
              <w:spacing w:after="0"/>
              <w:rPr>
                <w:sz w:val="20"/>
                <w:szCs w:val="20"/>
                <w:color w:val="auto"/>
              </w:rPr>
            </w:pPr>
            <w:r>
              <w:rPr>
                <w:rFonts w:ascii="Arial" w:cs="Arial" w:eastAsia="Arial" w:hAnsi="Arial"/>
                <w:sz w:val="14"/>
                <w:szCs w:val="14"/>
                <w:color w:val="auto"/>
              </w:rPr>
              <w:t>17,099,408</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F4F3F3"/>
          </w:tcPr>
          <w:p>
            <w:pPr>
              <w:spacing w:after="0"/>
              <w:rPr>
                <w:sz w:val="14"/>
                <w:szCs w:val="14"/>
                <w:color w:val="auto"/>
              </w:rPr>
            </w:pPr>
          </w:p>
        </w:tc>
        <w:tc>
          <w:tcPr>
            <w:tcW w:w="940" w:type="dxa"/>
            <w:vAlign w:val="bottom"/>
            <w:shd w:val="clear" w:color="auto" w:fill="F4F3F3"/>
          </w:tcPr>
          <w:p>
            <w:pPr>
              <w:jc w:val="right"/>
              <w:ind w:right="290"/>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300" w:type="dxa"/>
            <w:vAlign w:val="bottom"/>
            <w:shd w:val="clear" w:color="auto" w:fill="F4F3F3"/>
          </w:tcPr>
          <w:p>
            <w:pPr>
              <w:spacing w:after="0"/>
              <w:rPr>
                <w:sz w:val="14"/>
                <w:szCs w:val="14"/>
                <w:color w:val="auto"/>
              </w:rPr>
            </w:pPr>
          </w:p>
        </w:tc>
        <w:tc>
          <w:tcPr>
            <w:tcW w:w="220" w:type="dxa"/>
            <w:vAlign w:val="bottom"/>
            <w:shd w:val="clear" w:color="auto" w:fill="F4F3F3"/>
          </w:tcPr>
          <w:p>
            <w:pPr>
              <w:spacing w:after="0"/>
              <w:rPr>
                <w:sz w:val="14"/>
                <w:szCs w:val="14"/>
                <w:color w:val="auto"/>
              </w:rPr>
            </w:pPr>
          </w:p>
        </w:tc>
        <w:tc>
          <w:tcPr>
            <w:tcW w:w="670" w:type="dxa"/>
            <w:vAlign w:val="bottom"/>
            <w:shd w:val="clear" w:color="auto" w:fill="F4F3F3"/>
          </w:tcPr>
          <w:p>
            <w:pPr>
              <w:jc w:val="right"/>
              <w:ind w:right="99"/>
              <w:spacing w:after="0"/>
              <w:rPr>
                <w:sz w:val="20"/>
                <w:szCs w:val="20"/>
                <w:color w:val="auto"/>
              </w:rPr>
            </w:pPr>
            <w:r>
              <w:rPr>
                <w:rFonts w:ascii="Arial" w:cs="Arial" w:eastAsia="Arial" w:hAnsi="Arial"/>
                <w:sz w:val="14"/>
                <w:szCs w:val="14"/>
                <w:color w:val="auto"/>
              </w:rPr>
              <w:t>2/16/10</w:t>
            </w: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MVW SARs(1)</w:t>
            </w:r>
          </w:p>
        </w:tc>
        <w:tc>
          <w:tcPr>
            <w:tcW w:w="1140" w:type="dxa"/>
            <w:vAlign w:val="bottom"/>
            <w:tcBorders>
              <w:right w:val="single" w:sz="8" w:color="F4F3F3"/>
            </w:tcBorders>
            <w:gridSpan w:val="2"/>
            <w:shd w:val="clear" w:color="auto" w:fill="F4F3F3"/>
          </w:tcPr>
          <w:p>
            <w:pPr>
              <w:jc w:val="right"/>
              <w:ind w:right="310"/>
              <w:spacing w:after="0"/>
              <w:rPr>
                <w:sz w:val="20"/>
                <w:szCs w:val="20"/>
                <w:color w:val="auto"/>
              </w:rPr>
            </w:pPr>
            <w:r>
              <w:rPr>
                <w:rFonts w:ascii="Arial" w:cs="Arial" w:eastAsia="Arial" w:hAnsi="Arial"/>
                <w:sz w:val="14"/>
                <w:szCs w:val="14"/>
                <w:color w:val="auto"/>
              </w:rPr>
              <w:t>15,504</w:t>
            </w:r>
          </w:p>
        </w:tc>
        <w:tc>
          <w:tcPr>
            <w:tcW w:w="660" w:type="dxa"/>
            <w:vAlign w:val="bottom"/>
            <w:gridSpan w:val="2"/>
            <w:shd w:val="clear" w:color="auto" w:fill="F4F3F3"/>
          </w:tcPr>
          <w:p>
            <w:pPr>
              <w:jc w:val="right"/>
              <w:ind w:right="28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F4F3F3"/>
          </w:tcPr>
          <w:p>
            <w:pPr>
              <w:jc w:val="right"/>
              <w:ind w:right="89"/>
              <w:spacing w:after="0"/>
              <w:rPr>
                <w:sz w:val="20"/>
                <w:szCs w:val="20"/>
                <w:color w:val="auto"/>
              </w:rPr>
            </w:pPr>
            <w:r>
              <w:rPr>
                <w:rFonts w:ascii="Arial" w:cs="Arial" w:eastAsia="Arial" w:hAnsi="Arial"/>
                <w:sz w:val="14"/>
                <w:szCs w:val="14"/>
                <w:color w:val="auto"/>
              </w:rPr>
              <w:t>15.5031</w:t>
            </w:r>
          </w:p>
        </w:tc>
        <w:tc>
          <w:tcPr>
            <w:tcW w:w="900" w:type="dxa"/>
            <w:vAlign w:val="bottom"/>
            <w:gridSpan w:val="2"/>
            <w:shd w:val="clear" w:color="auto" w:fill="F4F3F3"/>
          </w:tcPr>
          <w:p>
            <w:pPr>
              <w:jc w:val="right"/>
              <w:ind w:right="111"/>
              <w:spacing w:after="0"/>
              <w:rPr>
                <w:sz w:val="20"/>
                <w:szCs w:val="20"/>
                <w:color w:val="auto"/>
              </w:rPr>
            </w:pPr>
            <w:r>
              <w:rPr>
                <w:rFonts w:ascii="Arial" w:cs="Arial" w:eastAsia="Arial" w:hAnsi="Arial"/>
                <w:sz w:val="14"/>
                <w:szCs w:val="14"/>
                <w:color w:val="auto"/>
              </w:rPr>
              <w:t>2/16/20</w:t>
            </w:r>
          </w:p>
        </w:tc>
        <w:tc>
          <w:tcPr>
            <w:tcW w:w="1300" w:type="dxa"/>
            <w:vAlign w:val="bottom"/>
            <w:gridSpan w:val="2"/>
            <w:shd w:val="clear" w:color="auto" w:fill="F4F3F3"/>
          </w:tcPr>
          <w:p>
            <w:pPr>
              <w:jc w:val="right"/>
              <w:ind w:right="270"/>
              <w:spacing w:after="0"/>
              <w:rPr>
                <w:sz w:val="20"/>
                <w:szCs w:val="20"/>
                <w:color w:val="auto"/>
              </w:rPr>
            </w:pPr>
            <w:r>
              <w:rPr>
                <w:rFonts w:ascii="Arial" w:cs="Arial" w:eastAsia="Arial" w:hAnsi="Arial"/>
                <w:sz w:val="14"/>
                <w:szCs w:val="14"/>
                <w:color w:val="auto"/>
              </w:rPr>
              <w:t>1,855,936</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F4F3F3"/>
          </w:tcPr>
          <w:p>
            <w:pPr>
              <w:spacing w:after="0"/>
              <w:rPr>
                <w:sz w:val="14"/>
                <w:szCs w:val="14"/>
                <w:color w:val="auto"/>
              </w:rPr>
            </w:pPr>
          </w:p>
        </w:tc>
        <w:tc>
          <w:tcPr>
            <w:tcW w:w="940" w:type="dxa"/>
            <w:vAlign w:val="bottom"/>
            <w:shd w:val="clear" w:color="auto" w:fill="F4F3F3"/>
          </w:tcPr>
          <w:p>
            <w:pPr>
              <w:jc w:val="right"/>
              <w:ind w:right="290"/>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300" w:type="dxa"/>
            <w:vAlign w:val="bottom"/>
            <w:shd w:val="clear" w:color="auto" w:fill="F4F3F3"/>
          </w:tcPr>
          <w:p>
            <w:pPr>
              <w:spacing w:after="0"/>
              <w:rPr>
                <w:sz w:val="14"/>
                <w:szCs w:val="14"/>
                <w:color w:val="auto"/>
              </w:rPr>
            </w:pPr>
          </w:p>
        </w:tc>
        <w:tc>
          <w:tcPr>
            <w:tcW w:w="220" w:type="dxa"/>
            <w:vAlign w:val="bottom"/>
            <w:shd w:val="clear" w:color="auto" w:fill="F4F3F3"/>
          </w:tcPr>
          <w:p>
            <w:pPr>
              <w:spacing w:after="0"/>
              <w:rPr>
                <w:sz w:val="14"/>
                <w:szCs w:val="14"/>
                <w:color w:val="auto"/>
              </w:rPr>
            </w:pPr>
          </w:p>
        </w:tc>
        <w:tc>
          <w:tcPr>
            <w:tcW w:w="670" w:type="dxa"/>
            <w:vAlign w:val="bottom"/>
            <w:shd w:val="clear" w:color="auto" w:fill="F4F3F3"/>
          </w:tcPr>
          <w:p>
            <w:pPr>
              <w:jc w:val="right"/>
              <w:ind w:right="99"/>
              <w:spacing w:after="0"/>
              <w:rPr>
                <w:sz w:val="20"/>
                <w:szCs w:val="20"/>
                <w:color w:val="auto"/>
              </w:rPr>
            </w:pPr>
            <w:r>
              <w:rPr>
                <w:rFonts w:ascii="Arial" w:cs="Arial" w:eastAsia="Arial" w:hAnsi="Arial"/>
                <w:sz w:val="14"/>
                <w:szCs w:val="14"/>
                <w:color w:val="auto"/>
              </w:rPr>
              <w:t>2/17/11</w:t>
            </w: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SARs</w:t>
            </w:r>
          </w:p>
        </w:tc>
        <w:tc>
          <w:tcPr>
            <w:tcW w:w="1140" w:type="dxa"/>
            <w:vAlign w:val="bottom"/>
            <w:tcBorders>
              <w:right w:val="single" w:sz="8" w:color="F4F3F3"/>
            </w:tcBorders>
            <w:gridSpan w:val="2"/>
            <w:shd w:val="clear" w:color="auto" w:fill="F4F3F3"/>
          </w:tcPr>
          <w:p>
            <w:pPr>
              <w:jc w:val="right"/>
              <w:ind w:right="310"/>
              <w:spacing w:after="0"/>
              <w:rPr>
                <w:sz w:val="20"/>
                <w:szCs w:val="20"/>
                <w:color w:val="auto"/>
              </w:rPr>
            </w:pPr>
            <w:r>
              <w:rPr>
                <w:rFonts w:ascii="Arial" w:cs="Arial" w:eastAsia="Arial" w:hAnsi="Arial"/>
                <w:sz w:val="14"/>
                <w:szCs w:val="14"/>
                <w:color w:val="auto"/>
              </w:rPr>
              <w:t>126,824</w:t>
            </w:r>
          </w:p>
        </w:tc>
        <w:tc>
          <w:tcPr>
            <w:tcW w:w="660" w:type="dxa"/>
            <w:vAlign w:val="bottom"/>
            <w:gridSpan w:val="2"/>
            <w:shd w:val="clear" w:color="auto" w:fill="F4F3F3"/>
          </w:tcPr>
          <w:p>
            <w:pPr>
              <w:jc w:val="right"/>
              <w:ind w:right="28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F4F3F3"/>
          </w:tcPr>
          <w:p>
            <w:pPr>
              <w:jc w:val="right"/>
              <w:ind w:right="89"/>
              <w:spacing w:after="0"/>
              <w:rPr>
                <w:sz w:val="20"/>
                <w:szCs w:val="20"/>
                <w:color w:val="auto"/>
              </w:rPr>
            </w:pPr>
            <w:r>
              <w:rPr>
                <w:rFonts w:ascii="Arial" w:cs="Arial" w:eastAsia="Arial" w:hAnsi="Arial"/>
                <w:sz w:val="14"/>
                <w:szCs w:val="14"/>
                <w:color w:val="auto"/>
              </w:rPr>
              <w:t>38.4942</w:t>
            </w:r>
          </w:p>
        </w:tc>
        <w:tc>
          <w:tcPr>
            <w:tcW w:w="900" w:type="dxa"/>
            <w:vAlign w:val="bottom"/>
            <w:gridSpan w:val="2"/>
            <w:shd w:val="clear" w:color="auto" w:fill="F4F3F3"/>
          </w:tcPr>
          <w:p>
            <w:pPr>
              <w:jc w:val="right"/>
              <w:ind w:right="111"/>
              <w:spacing w:after="0"/>
              <w:rPr>
                <w:sz w:val="20"/>
                <w:szCs w:val="20"/>
                <w:color w:val="auto"/>
              </w:rPr>
            </w:pPr>
            <w:r>
              <w:rPr>
                <w:rFonts w:ascii="Arial" w:cs="Arial" w:eastAsia="Arial" w:hAnsi="Arial"/>
                <w:sz w:val="14"/>
                <w:szCs w:val="14"/>
                <w:color w:val="auto"/>
              </w:rPr>
              <w:t>2/17/21</w:t>
            </w:r>
          </w:p>
        </w:tc>
        <w:tc>
          <w:tcPr>
            <w:tcW w:w="1300" w:type="dxa"/>
            <w:vAlign w:val="bottom"/>
            <w:gridSpan w:val="2"/>
            <w:shd w:val="clear" w:color="auto" w:fill="F4F3F3"/>
          </w:tcPr>
          <w:p>
            <w:pPr>
              <w:jc w:val="right"/>
              <w:ind w:right="270"/>
              <w:spacing w:after="0"/>
              <w:rPr>
                <w:sz w:val="20"/>
                <w:szCs w:val="20"/>
                <w:color w:val="auto"/>
              </w:rPr>
            </w:pPr>
            <w:r>
              <w:rPr>
                <w:rFonts w:ascii="Arial" w:cs="Arial" w:eastAsia="Arial" w:hAnsi="Arial"/>
                <w:sz w:val="14"/>
                <w:szCs w:val="14"/>
                <w:color w:val="auto"/>
              </w:rPr>
              <w:t>12,331,833</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F4F3F3"/>
          </w:tcPr>
          <w:p>
            <w:pPr>
              <w:spacing w:after="0"/>
              <w:rPr>
                <w:sz w:val="14"/>
                <w:szCs w:val="14"/>
                <w:color w:val="auto"/>
              </w:rPr>
            </w:pPr>
          </w:p>
        </w:tc>
        <w:tc>
          <w:tcPr>
            <w:tcW w:w="940" w:type="dxa"/>
            <w:vAlign w:val="bottom"/>
            <w:shd w:val="clear" w:color="auto" w:fill="F4F3F3"/>
          </w:tcPr>
          <w:p>
            <w:pPr>
              <w:jc w:val="right"/>
              <w:ind w:right="290"/>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300" w:type="dxa"/>
            <w:vAlign w:val="bottom"/>
            <w:shd w:val="clear" w:color="auto" w:fill="F4F3F3"/>
          </w:tcPr>
          <w:p>
            <w:pPr>
              <w:spacing w:after="0"/>
              <w:rPr>
                <w:sz w:val="14"/>
                <w:szCs w:val="14"/>
                <w:color w:val="auto"/>
              </w:rPr>
            </w:pPr>
          </w:p>
        </w:tc>
        <w:tc>
          <w:tcPr>
            <w:tcW w:w="220" w:type="dxa"/>
            <w:vAlign w:val="bottom"/>
            <w:shd w:val="clear" w:color="auto" w:fill="F4F3F3"/>
          </w:tcPr>
          <w:p>
            <w:pPr>
              <w:spacing w:after="0"/>
              <w:rPr>
                <w:sz w:val="14"/>
                <w:szCs w:val="14"/>
                <w:color w:val="auto"/>
              </w:rPr>
            </w:pPr>
          </w:p>
        </w:tc>
        <w:tc>
          <w:tcPr>
            <w:tcW w:w="670" w:type="dxa"/>
            <w:vAlign w:val="bottom"/>
            <w:shd w:val="clear" w:color="auto" w:fill="F4F3F3"/>
          </w:tcPr>
          <w:p>
            <w:pPr>
              <w:jc w:val="right"/>
              <w:ind w:right="99"/>
              <w:spacing w:after="0"/>
              <w:rPr>
                <w:sz w:val="20"/>
                <w:szCs w:val="20"/>
                <w:color w:val="auto"/>
              </w:rPr>
            </w:pPr>
            <w:r>
              <w:rPr>
                <w:rFonts w:ascii="Arial" w:cs="Arial" w:eastAsia="Arial" w:hAnsi="Arial"/>
                <w:sz w:val="14"/>
                <w:szCs w:val="14"/>
                <w:color w:val="auto"/>
              </w:rPr>
              <w:t>2/21/12</w:t>
            </w: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SARs</w:t>
            </w:r>
          </w:p>
        </w:tc>
        <w:tc>
          <w:tcPr>
            <w:tcW w:w="1140" w:type="dxa"/>
            <w:vAlign w:val="bottom"/>
            <w:tcBorders>
              <w:right w:val="single" w:sz="8" w:color="F4F3F3"/>
            </w:tcBorders>
            <w:gridSpan w:val="2"/>
            <w:shd w:val="clear" w:color="auto" w:fill="F4F3F3"/>
          </w:tcPr>
          <w:p>
            <w:pPr>
              <w:jc w:val="right"/>
              <w:ind w:right="310"/>
              <w:spacing w:after="0"/>
              <w:rPr>
                <w:sz w:val="20"/>
                <w:szCs w:val="20"/>
                <w:color w:val="auto"/>
              </w:rPr>
            </w:pPr>
            <w:r>
              <w:rPr>
                <w:rFonts w:ascii="Arial" w:cs="Arial" w:eastAsia="Arial" w:hAnsi="Arial"/>
                <w:sz w:val="14"/>
                <w:szCs w:val="14"/>
                <w:color w:val="auto"/>
              </w:rPr>
              <w:t>225,228</w:t>
            </w:r>
          </w:p>
        </w:tc>
        <w:tc>
          <w:tcPr>
            <w:tcW w:w="660" w:type="dxa"/>
            <w:vAlign w:val="bottom"/>
            <w:gridSpan w:val="2"/>
            <w:shd w:val="clear" w:color="auto" w:fill="F4F3F3"/>
          </w:tcPr>
          <w:p>
            <w:pPr>
              <w:jc w:val="right"/>
              <w:ind w:right="28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F4F3F3"/>
          </w:tcPr>
          <w:p>
            <w:pPr>
              <w:jc w:val="right"/>
              <w:ind w:right="89"/>
              <w:spacing w:after="0"/>
              <w:rPr>
                <w:sz w:val="20"/>
                <w:szCs w:val="20"/>
                <w:color w:val="auto"/>
              </w:rPr>
            </w:pPr>
            <w:r>
              <w:rPr>
                <w:rFonts w:ascii="Arial" w:cs="Arial" w:eastAsia="Arial" w:hAnsi="Arial"/>
                <w:sz w:val="14"/>
                <w:szCs w:val="14"/>
                <w:color w:val="auto"/>
              </w:rPr>
              <w:t>34.67</w:t>
            </w:r>
          </w:p>
        </w:tc>
        <w:tc>
          <w:tcPr>
            <w:tcW w:w="900" w:type="dxa"/>
            <w:vAlign w:val="bottom"/>
            <w:gridSpan w:val="2"/>
            <w:shd w:val="clear" w:color="auto" w:fill="F4F3F3"/>
          </w:tcPr>
          <w:p>
            <w:pPr>
              <w:jc w:val="right"/>
              <w:ind w:right="111"/>
              <w:spacing w:after="0"/>
              <w:rPr>
                <w:sz w:val="20"/>
                <w:szCs w:val="20"/>
                <w:color w:val="auto"/>
              </w:rPr>
            </w:pPr>
            <w:r>
              <w:rPr>
                <w:rFonts w:ascii="Arial" w:cs="Arial" w:eastAsia="Arial" w:hAnsi="Arial"/>
                <w:sz w:val="14"/>
                <w:szCs w:val="14"/>
                <w:color w:val="auto"/>
              </w:rPr>
              <w:t>2/21/22</w:t>
            </w:r>
          </w:p>
        </w:tc>
        <w:tc>
          <w:tcPr>
            <w:tcW w:w="1300" w:type="dxa"/>
            <w:vAlign w:val="bottom"/>
            <w:gridSpan w:val="2"/>
            <w:shd w:val="clear" w:color="auto" w:fill="F4F3F3"/>
          </w:tcPr>
          <w:p>
            <w:pPr>
              <w:jc w:val="right"/>
              <w:ind w:right="270"/>
              <w:spacing w:after="0"/>
              <w:rPr>
                <w:sz w:val="20"/>
                <w:szCs w:val="20"/>
                <w:color w:val="auto"/>
              </w:rPr>
            </w:pPr>
            <w:r>
              <w:rPr>
                <w:rFonts w:ascii="Arial" w:cs="Arial" w:eastAsia="Arial" w:hAnsi="Arial"/>
                <w:sz w:val="14"/>
                <w:szCs w:val="14"/>
                <w:color w:val="auto"/>
              </w:rPr>
              <w:t>22,761,542</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F4F3F3"/>
          </w:tcPr>
          <w:p>
            <w:pPr>
              <w:spacing w:after="0"/>
              <w:rPr>
                <w:sz w:val="14"/>
                <w:szCs w:val="14"/>
                <w:color w:val="auto"/>
              </w:rPr>
            </w:pPr>
          </w:p>
        </w:tc>
        <w:tc>
          <w:tcPr>
            <w:tcW w:w="940" w:type="dxa"/>
            <w:vAlign w:val="bottom"/>
            <w:shd w:val="clear" w:color="auto" w:fill="F4F3F3"/>
          </w:tcPr>
          <w:p>
            <w:pPr>
              <w:jc w:val="right"/>
              <w:ind w:right="290"/>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300" w:type="dxa"/>
            <w:vAlign w:val="bottom"/>
            <w:shd w:val="clear" w:color="auto" w:fill="F4F3F3"/>
          </w:tcPr>
          <w:p>
            <w:pPr>
              <w:spacing w:after="0"/>
              <w:rPr>
                <w:sz w:val="14"/>
                <w:szCs w:val="14"/>
                <w:color w:val="auto"/>
              </w:rPr>
            </w:pPr>
          </w:p>
        </w:tc>
        <w:tc>
          <w:tcPr>
            <w:tcW w:w="220" w:type="dxa"/>
            <w:vAlign w:val="bottom"/>
            <w:shd w:val="clear" w:color="auto" w:fill="F4F3F3"/>
          </w:tcPr>
          <w:p>
            <w:pPr>
              <w:spacing w:after="0"/>
              <w:rPr>
                <w:sz w:val="14"/>
                <w:szCs w:val="14"/>
                <w:color w:val="auto"/>
              </w:rPr>
            </w:pPr>
          </w:p>
        </w:tc>
        <w:tc>
          <w:tcPr>
            <w:tcW w:w="670" w:type="dxa"/>
            <w:vAlign w:val="bottom"/>
            <w:shd w:val="clear" w:color="auto" w:fill="F4F3F3"/>
          </w:tcPr>
          <w:p>
            <w:pPr>
              <w:jc w:val="right"/>
              <w:ind w:right="99"/>
              <w:spacing w:after="0"/>
              <w:rPr>
                <w:sz w:val="20"/>
                <w:szCs w:val="20"/>
                <w:color w:val="auto"/>
              </w:rPr>
            </w:pPr>
            <w:r>
              <w:rPr>
                <w:rFonts w:ascii="Arial" w:cs="Arial" w:eastAsia="Arial" w:hAnsi="Arial"/>
                <w:sz w:val="14"/>
                <w:szCs w:val="14"/>
                <w:color w:val="auto"/>
              </w:rPr>
              <w:t>2/22/13</w:t>
            </w: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SARs</w:t>
            </w:r>
          </w:p>
        </w:tc>
        <w:tc>
          <w:tcPr>
            <w:tcW w:w="1140" w:type="dxa"/>
            <w:vAlign w:val="bottom"/>
            <w:tcBorders>
              <w:right w:val="single" w:sz="8" w:color="F4F3F3"/>
            </w:tcBorders>
            <w:gridSpan w:val="2"/>
            <w:shd w:val="clear" w:color="auto" w:fill="F4F3F3"/>
          </w:tcPr>
          <w:p>
            <w:pPr>
              <w:jc w:val="right"/>
              <w:ind w:right="310"/>
              <w:spacing w:after="0"/>
              <w:rPr>
                <w:sz w:val="20"/>
                <w:szCs w:val="20"/>
                <w:color w:val="auto"/>
              </w:rPr>
            </w:pPr>
            <w:r>
              <w:rPr>
                <w:rFonts w:ascii="Arial" w:cs="Arial" w:eastAsia="Arial" w:hAnsi="Arial"/>
                <w:sz w:val="14"/>
                <w:szCs w:val="14"/>
                <w:color w:val="auto"/>
              </w:rPr>
              <w:t>229,008</w:t>
            </w:r>
          </w:p>
        </w:tc>
        <w:tc>
          <w:tcPr>
            <w:tcW w:w="660" w:type="dxa"/>
            <w:vAlign w:val="bottom"/>
            <w:gridSpan w:val="2"/>
            <w:shd w:val="clear" w:color="auto" w:fill="F4F3F3"/>
          </w:tcPr>
          <w:p>
            <w:pPr>
              <w:jc w:val="right"/>
              <w:ind w:right="28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F4F3F3"/>
          </w:tcPr>
          <w:p>
            <w:pPr>
              <w:jc w:val="right"/>
              <w:ind w:right="89"/>
              <w:spacing w:after="0"/>
              <w:rPr>
                <w:sz w:val="20"/>
                <w:szCs w:val="20"/>
                <w:color w:val="auto"/>
              </w:rPr>
            </w:pPr>
            <w:r>
              <w:rPr>
                <w:rFonts w:ascii="Arial" w:cs="Arial" w:eastAsia="Arial" w:hAnsi="Arial"/>
                <w:sz w:val="14"/>
                <w:szCs w:val="14"/>
                <w:color w:val="auto"/>
              </w:rPr>
              <w:t>39.27</w:t>
            </w:r>
          </w:p>
        </w:tc>
        <w:tc>
          <w:tcPr>
            <w:tcW w:w="900" w:type="dxa"/>
            <w:vAlign w:val="bottom"/>
            <w:gridSpan w:val="2"/>
            <w:shd w:val="clear" w:color="auto" w:fill="F4F3F3"/>
          </w:tcPr>
          <w:p>
            <w:pPr>
              <w:jc w:val="right"/>
              <w:ind w:right="111"/>
              <w:spacing w:after="0"/>
              <w:rPr>
                <w:sz w:val="20"/>
                <w:szCs w:val="20"/>
                <w:color w:val="auto"/>
              </w:rPr>
            </w:pPr>
            <w:r>
              <w:rPr>
                <w:rFonts w:ascii="Arial" w:cs="Arial" w:eastAsia="Arial" w:hAnsi="Arial"/>
                <w:sz w:val="14"/>
                <w:szCs w:val="14"/>
                <w:color w:val="auto"/>
              </w:rPr>
              <w:t>2/22/23</w:t>
            </w:r>
          </w:p>
        </w:tc>
        <w:tc>
          <w:tcPr>
            <w:tcW w:w="1300" w:type="dxa"/>
            <w:vAlign w:val="bottom"/>
            <w:gridSpan w:val="2"/>
            <w:shd w:val="clear" w:color="auto" w:fill="F4F3F3"/>
          </w:tcPr>
          <w:p>
            <w:pPr>
              <w:jc w:val="right"/>
              <w:ind w:right="270"/>
              <w:spacing w:after="0"/>
              <w:rPr>
                <w:sz w:val="20"/>
                <w:szCs w:val="20"/>
                <w:color w:val="auto"/>
              </w:rPr>
            </w:pPr>
            <w:r>
              <w:rPr>
                <w:rFonts w:ascii="Arial" w:cs="Arial" w:eastAsia="Arial" w:hAnsi="Arial"/>
                <w:sz w:val="14"/>
                <w:szCs w:val="14"/>
                <w:color w:val="auto"/>
              </w:rPr>
              <w:t>22,090,112</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F4F3F3"/>
          </w:tcPr>
          <w:p>
            <w:pPr>
              <w:spacing w:after="0"/>
              <w:rPr>
                <w:sz w:val="14"/>
                <w:szCs w:val="14"/>
                <w:color w:val="auto"/>
              </w:rPr>
            </w:pPr>
          </w:p>
        </w:tc>
        <w:tc>
          <w:tcPr>
            <w:tcW w:w="940" w:type="dxa"/>
            <w:vAlign w:val="bottom"/>
            <w:shd w:val="clear" w:color="auto" w:fill="F4F3F3"/>
          </w:tcPr>
          <w:p>
            <w:pPr>
              <w:jc w:val="right"/>
              <w:ind w:right="290"/>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300" w:type="dxa"/>
            <w:vAlign w:val="bottom"/>
            <w:shd w:val="clear" w:color="auto" w:fill="F4F3F3"/>
          </w:tcPr>
          <w:p>
            <w:pPr>
              <w:spacing w:after="0"/>
              <w:rPr>
                <w:sz w:val="14"/>
                <w:szCs w:val="14"/>
                <w:color w:val="auto"/>
              </w:rPr>
            </w:pPr>
          </w:p>
        </w:tc>
        <w:tc>
          <w:tcPr>
            <w:tcW w:w="220" w:type="dxa"/>
            <w:vAlign w:val="bottom"/>
            <w:shd w:val="clear" w:color="auto" w:fill="F4F3F3"/>
          </w:tcPr>
          <w:p>
            <w:pPr>
              <w:spacing w:after="0"/>
              <w:rPr>
                <w:sz w:val="14"/>
                <w:szCs w:val="14"/>
                <w:color w:val="auto"/>
              </w:rPr>
            </w:pPr>
          </w:p>
        </w:tc>
        <w:tc>
          <w:tcPr>
            <w:tcW w:w="670" w:type="dxa"/>
            <w:vAlign w:val="bottom"/>
            <w:shd w:val="clear" w:color="auto" w:fill="F4F3F3"/>
          </w:tcPr>
          <w:p>
            <w:pPr>
              <w:jc w:val="right"/>
              <w:ind w:right="99"/>
              <w:spacing w:after="0"/>
              <w:rPr>
                <w:sz w:val="20"/>
                <w:szCs w:val="20"/>
                <w:color w:val="auto"/>
              </w:rPr>
            </w:pPr>
            <w:r>
              <w:rPr>
                <w:rFonts w:ascii="Arial" w:cs="Arial" w:eastAsia="Arial" w:hAnsi="Arial"/>
                <w:sz w:val="14"/>
                <w:szCs w:val="14"/>
                <w:color w:val="auto"/>
              </w:rPr>
              <w:t>2/24/14</w:t>
            </w: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SARs</w:t>
            </w:r>
          </w:p>
        </w:tc>
        <w:tc>
          <w:tcPr>
            <w:tcW w:w="240" w:type="dxa"/>
            <w:vAlign w:val="bottom"/>
            <w:shd w:val="clear" w:color="auto" w:fill="F4F3F3"/>
          </w:tcPr>
          <w:p>
            <w:pPr>
              <w:spacing w:after="0"/>
              <w:rPr>
                <w:sz w:val="14"/>
                <w:szCs w:val="14"/>
                <w:color w:val="auto"/>
              </w:rPr>
            </w:pPr>
          </w:p>
        </w:tc>
        <w:tc>
          <w:tcPr>
            <w:tcW w:w="900" w:type="dxa"/>
            <w:vAlign w:val="bottom"/>
            <w:tcBorders>
              <w:right w:val="single" w:sz="8" w:color="F4F3F3"/>
            </w:tcBorders>
            <w:shd w:val="clear" w:color="auto" w:fill="F4F3F3"/>
          </w:tcPr>
          <w:p>
            <w:pPr>
              <w:jc w:val="right"/>
              <w:ind w:right="310"/>
              <w:spacing w:after="0"/>
              <w:rPr>
                <w:sz w:val="20"/>
                <w:szCs w:val="20"/>
                <w:color w:val="auto"/>
              </w:rPr>
            </w:pPr>
            <w:r>
              <w:rPr>
                <w:rFonts w:ascii="Arial" w:cs="Arial" w:eastAsia="Arial" w:hAnsi="Arial"/>
                <w:sz w:val="14"/>
                <w:szCs w:val="14"/>
                <w:color w:val="auto"/>
                <w:w w:val="98"/>
              </w:rPr>
              <w:t>118,416</w:t>
            </w:r>
          </w:p>
        </w:tc>
        <w:tc>
          <w:tcPr>
            <w:tcW w:w="660" w:type="dxa"/>
            <w:vAlign w:val="bottom"/>
            <w:gridSpan w:val="2"/>
            <w:shd w:val="clear" w:color="auto" w:fill="F4F3F3"/>
          </w:tcPr>
          <w:p>
            <w:pPr>
              <w:jc w:val="right"/>
              <w:ind w:right="28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F4F3F3"/>
          </w:tcPr>
          <w:p>
            <w:pPr>
              <w:jc w:val="right"/>
              <w:ind w:right="89"/>
              <w:spacing w:after="0"/>
              <w:rPr>
                <w:sz w:val="20"/>
                <w:szCs w:val="20"/>
                <w:color w:val="auto"/>
              </w:rPr>
            </w:pPr>
            <w:r>
              <w:rPr>
                <w:rFonts w:ascii="Arial" w:cs="Arial" w:eastAsia="Arial" w:hAnsi="Arial"/>
                <w:sz w:val="14"/>
                <w:szCs w:val="14"/>
                <w:color w:val="auto"/>
              </w:rPr>
              <w:t>53.25</w:t>
            </w:r>
          </w:p>
        </w:tc>
        <w:tc>
          <w:tcPr>
            <w:tcW w:w="900" w:type="dxa"/>
            <w:vAlign w:val="bottom"/>
            <w:gridSpan w:val="2"/>
            <w:shd w:val="clear" w:color="auto" w:fill="F4F3F3"/>
          </w:tcPr>
          <w:p>
            <w:pPr>
              <w:jc w:val="right"/>
              <w:ind w:right="111"/>
              <w:spacing w:after="0"/>
              <w:rPr>
                <w:sz w:val="20"/>
                <w:szCs w:val="20"/>
                <w:color w:val="auto"/>
              </w:rPr>
            </w:pPr>
            <w:r>
              <w:rPr>
                <w:rFonts w:ascii="Arial" w:cs="Arial" w:eastAsia="Arial" w:hAnsi="Arial"/>
                <w:sz w:val="14"/>
                <w:szCs w:val="14"/>
                <w:color w:val="auto"/>
              </w:rPr>
              <w:t>2/24/24</w:t>
            </w:r>
          </w:p>
        </w:tc>
        <w:tc>
          <w:tcPr>
            <w:tcW w:w="1300" w:type="dxa"/>
            <w:vAlign w:val="bottom"/>
            <w:gridSpan w:val="2"/>
            <w:shd w:val="clear" w:color="auto" w:fill="F4F3F3"/>
          </w:tcPr>
          <w:p>
            <w:pPr>
              <w:jc w:val="right"/>
              <w:ind w:right="270"/>
              <w:spacing w:after="0"/>
              <w:rPr>
                <w:sz w:val="20"/>
                <w:szCs w:val="20"/>
                <w:color w:val="auto"/>
              </w:rPr>
            </w:pPr>
            <w:r>
              <w:rPr>
                <w:rFonts w:ascii="Arial" w:cs="Arial" w:eastAsia="Arial" w:hAnsi="Arial"/>
                <w:sz w:val="14"/>
                <w:szCs w:val="14"/>
                <w:color w:val="auto"/>
              </w:rPr>
              <w:t>9,766,952</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F4F3F3"/>
          </w:tcPr>
          <w:p>
            <w:pPr>
              <w:spacing w:after="0"/>
              <w:rPr>
                <w:sz w:val="14"/>
                <w:szCs w:val="14"/>
                <w:color w:val="auto"/>
              </w:rPr>
            </w:pPr>
          </w:p>
        </w:tc>
        <w:tc>
          <w:tcPr>
            <w:tcW w:w="940" w:type="dxa"/>
            <w:vAlign w:val="bottom"/>
            <w:shd w:val="clear" w:color="auto" w:fill="F4F3F3"/>
          </w:tcPr>
          <w:p>
            <w:pPr>
              <w:jc w:val="right"/>
              <w:ind w:right="290"/>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300" w:type="dxa"/>
            <w:vAlign w:val="bottom"/>
            <w:shd w:val="clear" w:color="auto" w:fill="F4F3F3"/>
          </w:tcPr>
          <w:p>
            <w:pPr>
              <w:spacing w:after="0"/>
              <w:rPr>
                <w:sz w:val="14"/>
                <w:szCs w:val="14"/>
                <w:color w:val="auto"/>
              </w:rPr>
            </w:pPr>
          </w:p>
        </w:tc>
        <w:tc>
          <w:tcPr>
            <w:tcW w:w="220" w:type="dxa"/>
            <w:vAlign w:val="bottom"/>
            <w:shd w:val="clear" w:color="auto" w:fill="F4F3F3"/>
          </w:tcPr>
          <w:p>
            <w:pPr>
              <w:spacing w:after="0"/>
              <w:rPr>
                <w:sz w:val="14"/>
                <w:szCs w:val="14"/>
                <w:color w:val="auto"/>
              </w:rPr>
            </w:pPr>
          </w:p>
        </w:tc>
        <w:tc>
          <w:tcPr>
            <w:tcW w:w="670" w:type="dxa"/>
            <w:vAlign w:val="bottom"/>
            <w:shd w:val="clear" w:color="auto" w:fill="F4F3F3"/>
          </w:tcPr>
          <w:p>
            <w:pPr>
              <w:jc w:val="right"/>
              <w:ind w:right="99"/>
              <w:spacing w:after="0"/>
              <w:rPr>
                <w:sz w:val="20"/>
                <w:szCs w:val="20"/>
                <w:color w:val="auto"/>
              </w:rPr>
            </w:pPr>
            <w:r>
              <w:rPr>
                <w:rFonts w:ascii="Arial" w:cs="Arial" w:eastAsia="Arial" w:hAnsi="Arial"/>
                <w:sz w:val="14"/>
                <w:szCs w:val="14"/>
                <w:color w:val="auto"/>
              </w:rPr>
              <w:t>2/23/15</w:t>
            </w: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SARs</w:t>
            </w:r>
          </w:p>
        </w:tc>
        <w:tc>
          <w:tcPr>
            <w:tcW w:w="240" w:type="dxa"/>
            <w:vAlign w:val="bottom"/>
            <w:shd w:val="clear" w:color="auto" w:fill="F4F3F3"/>
          </w:tcPr>
          <w:p>
            <w:pPr>
              <w:spacing w:after="0"/>
              <w:rPr>
                <w:sz w:val="14"/>
                <w:szCs w:val="14"/>
                <w:color w:val="auto"/>
              </w:rPr>
            </w:pPr>
          </w:p>
        </w:tc>
        <w:tc>
          <w:tcPr>
            <w:tcW w:w="900" w:type="dxa"/>
            <w:vAlign w:val="bottom"/>
            <w:tcBorders>
              <w:right w:val="single" w:sz="8" w:color="F4F3F3"/>
            </w:tcBorders>
            <w:shd w:val="clear" w:color="auto" w:fill="F4F3F3"/>
          </w:tcPr>
          <w:p>
            <w:pPr>
              <w:jc w:val="right"/>
              <w:ind w:right="310"/>
              <w:spacing w:after="0"/>
              <w:rPr>
                <w:sz w:val="20"/>
                <w:szCs w:val="20"/>
                <w:color w:val="auto"/>
              </w:rPr>
            </w:pPr>
            <w:r>
              <w:rPr>
                <w:rFonts w:ascii="Arial" w:cs="Arial" w:eastAsia="Arial" w:hAnsi="Arial"/>
                <w:sz w:val="14"/>
                <w:szCs w:val="14"/>
                <w:color w:val="auto"/>
              </w:rPr>
              <w:t>51,362</w:t>
            </w:r>
          </w:p>
        </w:tc>
        <w:tc>
          <w:tcPr>
            <w:tcW w:w="660" w:type="dxa"/>
            <w:vAlign w:val="bottom"/>
            <w:gridSpan w:val="2"/>
            <w:shd w:val="clear" w:color="auto" w:fill="F4F3F3"/>
          </w:tcPr>
          <w:p>
            <w:pPr>
              <w:jc w:val="right"/>
              <w:ind w:right="40"/>
              <w:spacing w:after="0"/>
              <w:rPr>
                <w:sz w:val="20"/>
                <w:szCs w:val="20"/>
                <w:color w:val="auto"/>
              </w:rPr>
            </w:pPr>
            <w:r>
              <w:rPr>
                <w:rFonts w:ascii="Arial" w:cs="Arial" w:eastAsia="Arial" w:hAnsi="Arial"/>
                <w:sz w:val="14"/>
                <w:szCs w:val="14"/>
                <w:color w:val="auto"/>
              </w:rPr>
              <w:t>25,681(2)</w:t>
            </w:r>
          </w:p>
        </w:tc>
        <w:tc>
          <w:tcPr>
            <w:tcW w:w="920" w:type="dxa"/>
            <w:vAlign w:val="bottom"/>
            <w:gridSpan w:val="2"/>
            <w:shd w:val="clear" w:color="auto" w:fill="F4F3F3"/>
          </w:tcPr>
          <w:p>
            <w:pPr>
              <w:jc w:val="right"/>
              <w:ind w:right="89"/>
              <w:spacing w:after="0"/>
              <w:rPr>
                <w:sz w:val="20"/>
                <w:szCs w:val="20"/>
                <w:color w:val="auto"/>
              </w:rPr>
            </w:pPr>
            <w:r>
              <w:rPr>
                <w:rFonts w:ascii="Arial" w:cs="Arial" w:eastAsia="Arial" w:hAnsi="Arial"/>
                <w:sz w:val="14"/>
                <w:szCs w:val="14"/>
                <w:color w:val="auto"/>
              </w:rPr>
              <w:t>82.67</w:t>
            </w:r>
          </w:p>
        </w:tc>
        <w:tc>
          <w:tcPr>
            <w:tcW w:w="900" w:type="dxa"/>
            <w:vAlign w:val="bottom"/>
            <w:gridSpan w:val="2"/>
            <w:shd w:val="clear" w:color="auto" w:fill="F4F3F3"/>
          </w:tcPr>
          <w:p>
            <w:pPr>
              <w:jc w:val="right"/>
              <w:ind w:right="111"/>
              <w:spacing w:after="0"/>
              <w:rPr>
                <w:sz w:val="20"/>
                <w:szCs w:val="20"/>
                <w:color w:val="auto"/>
              </w:rPr>
            </w:pPr>
            <w:r>
              <w:rPr>
                <w:rFonts w:ascii="Arial" w:cs="Arial" w:eastAsia="Arial" w:hAnsi="Arial"/>
                <w:sz w:val="14"/>
                <w:szCs w:val="14"/>
                <w:color w:val="auto"/>
              </w:rPr>
              <w:t>2/23/25</w:t>
            </w:r>
          </w:p>
        </w:tc>
        <w:tc>
          <w:tcPr>
            <w:tcW w:w="1300" w:type="dxa"/>
            <w:vAlign w:val="bottom"/>
            <w:gridSpan w:val="2"/>
            <w:shd w:val="clear" w:color="auto" w:fill="F4F3F3"/>
          </w:tcPr>
          <w:p>
            <w:pPr>
              <w:jc w:val="right"/>
              <w:ind w:right="270"/>
              <w:spacing w:after="0"/>
              <w:rPr>
                <w:sz w:val="20"/>
                <w:szCs w:val="20"/>
                <w:color w:val="auto"/>
              </w:rPr>
            </w:pPr>
            <w:r>
              <w:rPr>
                <w:rFonts w:ascii="Arial" w:cs="Arial" w:eastAsia="Arial" w:hAnsi="Arial"/>
                <w:sz w:val="14"/>
                <w:szCs w:val="14"/>
                <w:color w:val="auto"/>
              </w:rPr>
              <w:t>2,725,268</w:t>
            </w:r>
          </w:p>
        </w:tc>
        <w:tc>
          <w:tcPr>
            <w:tcW w:w="700" w:type="dxa"/>
            <w:vAlign w:val="bottom"/>
            <w:shd w:val="clear" w:color="auto" w:fill="F4F3F3"/>
          </w:tcPr>
          <w:p>
            <w:pPr>
              <w:jc w:val="right"/>
              <w:spacing w:after="0"/>
              <w:rPr>
                <w:sz w:val="20"/>
                <w:szCs w:val="20"/>
                <w:color w:val="auto"/>
              </w:rPr>
            </w:pPr>
            <w:r>
              <w:rPr>
                <w:rFonts w:ascii="Arial" w:cs="Arial" w:eastAsia="Arial" w:hAnsi="Arial"/>
                <w:sz w:val="14"/>
                <w:szCs w:val="14"/>
                <w:color w:val="auto"/>
              </w:rPr>
              <w:t>1,362,634</w:t>
            </w:r>
          </w:p>
        </w:tc>
        <w:tc>
          <w:tcPr>
            <w:tcW w:w="180" w:type="dxa"/>
            <w:vAlign w:val="bottom"/>
            <w:shd w:val="clear" w:color="auto" w:fill="F4F3F3"/>
          </w:tcPr>
          <w:p>
            <w:pPr>
              <w:spacing w:after="0"/>
              <w:rPr>
                <w:sz w:val="14"/>
                <w:szCs w:val="14"/>
                <w:color w:val="auto"/>
              </w:rPr>
            </w:pPr>
          </w:p>
        </w:tc>
        <w:tc>
          <w:tcPr>
            <w:tcW w:w="940" w:type="dxa"/>
            <w:vAlign w:val="bottom"/>
            <w:shd w:val="clear" w:color="auto" w:fill="F4F3F3"/>
          </w:tcPr>
          <w:p>
            <w:pPr>
              <w:jc w:val="right"/>
              <w:ind w:right="290"/>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300" w:type="dxa"/>
            <w:vAlign w:val="bottom"/>
            <w:shd w:val="clear" w:color="auto" w:fill="F4F3F3"/>
          </w:tcPr>
          <w:p>
            <w:pPr>
              <w:spacing w:after="0"/>
              <w:rPr>
                <w:sz w:val="14"/>
                <w:szCs w:val="14"/>
                <w:color w:val="auto"/>
              </w:rPr>
            </w:pPr>
          </w:p>
        </w:tc>
        <w:tc>
          <w:tcPr>
            <w:tcW w:w="220" w:type="dxa"/>
            <w:vAlign w:val="bottom"/>
            <w:shd w:val="clear" w:color="auto" w:fill="F4F3F3"/>
          </w:tcPr>
          <w:p>
            <w:pPr>
              <w:spacing w:after="0"/>
              <w:rPr>
                <w:sz w:val="14"/>
                <w:szCs w:val="14"/>
                <w:color w:val="auto"/>
              </w:rPr>
            </w:pPr>
          </w:p>
        </w:tc>
        <w:tc>
          <w:tcPr>
            <w:tcW w:w="670" w:type="dxa"/>
            <w:vAlign w:val="bottom"/>
            <w:shd w:val="clear" w:color="auto" w:fill="F4F3F3"/>
          </w:tcPr>
          <w:p>
            <w:pPr>
              <w:jc w:val="right"/>
              <w:ind w:right="99"/>
              <w:spacing w:after="0"/>
              <w:rPr>
                <w:sz w:val="20"/>
                <w:szCs w:val="20"/>
                <w:color w:val="auto"/>
              </w:rPr>
            </w:pPr>
            <w:r>
              <w:rPr>
                <w:rFonts w:ascii="Arial" w:cs="Arial" w:eastAsia="Arial" w:hAnsi="Arial"/>
                <w:sz w:val="14"/>
                <w:szCs w:val="14"/>
                <w:color w:val="auto"/>
              </w:rPr>
              <w:t>2/22/16</w:t>
            </w: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SARs</w:t>
            </w:r>
          </w:p>
        </w:tc>
        <w:tc>
          <w:tcPr>
            <w:tcW w:w="240" w:type="dxa"/>
            <w:vAlign w:val="bottom"/>
            <w:shd w:val="clear" w:color="auto" w:fill="F4F3F3"/>
          </w:tcPr>
          <w:p>
            <w:pPr>
              <w:spacing w:after="0"/>
              <w:rPr>
                <w:sz w:val="14"/>
                <w:szCs w:val="14"/>
                <w:color w:val="auto"/>
              </w:rPr>
            </w:pPr>
          </w:p>
        </w:tc>
        <w:tc>
          <w:tcPr>
            <w:tcW w:w="900" w:type="dxa"/>
            <w:vAlign w:val="bottom"/>
            <w:tcBorders>
              <w:right w:val="single" w:sz="8" w:color="F4F3F3"/>
            </w:tcBorders>
            <w:shd w:val="clear" w:color="auto" w:fill="F4F3F3"/>
          </w:tcPr>
          <w:p>
            <w:pPr>
              <w:jc w:val="right"/>
              <w:ind w:right="310"/>
              <w:spacing w:after="0"/>
              <w:rPr>
                <w:sz w:val="20"/>
                <w:szCs w:val="20"/>
                <w:color w:val="auto"/>
              </w:rPr>
            </w:pPr>
            <w:r>
              <w:rPr>
                <w:rFonts w:ascii="Arial" w:cs="Arial" w:eastAsia="Arial" w:hAnsi="Arial"/>
                <w:sz w:val="14"/>
                <w:szCs w:val="14"/>
                <w:color w:val="auto"/>
              </w:rPr>
              <w:t>30,512</w:t>
            </w:r>
          </w:p>
        </w:tc>
        <w:tc>
          <w:tcPr>
            <w:tcW w:w="660" w:type="dxa"/>
            <w:vAlign w:val="bottom"/>
            <w:gridSpan w:val="2"/>
            <w:shd w:val="clear" w:color="auto" w:fill="F4F3F3"/>
          </w:tcPr>
          <w:p>
            <w:pPr>
              <w:jc w:val="right"/>
              <w:ind w:right="40"/>
              <w:spacing w:after="0"/>
              <w:rPr>
                <w:sz w:val="20"/>
                <w:szCs w:val="20"/>
                <w:color w:val="auto"/>
              </w:rPr>
            </w:pPr>
            <w:r>
              <w:rPr>
                <w:rFonts w:ascii="Arial" w:cs="Arial" w:eastAsia="Arial" w:hAnsi="Arial"/>
                <w:sz w:val="14"/>
                <w:szCs w:val="14"/>
                <w:color w:val="auto"/>
              </w:rPr>
              <w:t>61,024(2)</w:t>
            </w:r>
          </w:p>
        </w:tc>
        <w:tc>
          <w:tcPr>
            <w:tcW w:w="920" w:type="dxa"/>
            <w:vAlign w:val="bottom"/>
            <w:gridSpan w:val="2"/>
            <w:shd w:val="clear" w:color="auto" w:fill="F4F3F3"/>
          </w:tcPr>
          <w:p>
            <w:pPr>
              <w:jc w:val="right"/>
              <w:ind w:right="89"/>
              <w:spacing w:after="0"/>
              <w:rPr>
                <w:sz w:val="20"/>
                <w:szCs w:val="20"/>
                <w:color w:val="auto"/>
              </w:rPr>
            </w:pPr>
            <w:r>
              <w:rPr>
                <w:rFonts w:ascii="Arial" w:cs="Arial" w:eastAsia="Arial" w:hAnsi="Arial"/>
                <w:sz w:val="14"/>
                <w:szCs w:val="14"/>
                <w:color w:val="auto"/>
              </w:rPr>
              <w:t>66.86</w:t>
            </w:r>
          </w:p>
        </w:tc>
        <w:tc>
          <w:tcPr>
            <w:tcW w:w="900" w:type="dxa"/>
            <w:vAlign w:val="bottom"/>
            <w:gridSpan w:val="2"/>
            <w:shd w:val="clear" w:color="auto" w:fill="F4F3F3"/>
          </w:tcPr>
          <w:p>
            <w:pPr>
              <w:jc w:val="right"/>
              <w:ind w:right="111"/>
              <w:spacing w:after="0"/>
              <w:rPr>
                <w:sz w:val="20"/>
                <w:szCs w:val="20"/>
                <w:color w:val="auto"/>
              </w:rPr>
            </w:pPr>
            <w:r>
              <w:rPr>
                <w:rFonts w:ascii="Arial" w:cs="Arial" w:eastAsia="Arial" w:hAnsi="Arial"/>
                <w:sz w:val="14"/>
                <w:szCs w:val="14"/>
                <w:color w:val="auto"/>
              </w:rPr>
              <w:t>2/22/26</w:t>
            </w:r>
          </w:p>
        </w:tc>
        <w:tc>
          <w:tcPr>
            <w:tcW w:w="1300" w:type="dxa"/>
            <w:vAlign w:val="bottom"/>
            <w:gridSpan w:val="2"/>
            <w:shd w:val="clear" w:color="auto" w:fill="F4F3F3"/>
          </w:tcPr>
          <w:p>
            <w:pPr>
              <w:jc w:val="right"/>
              <w:ind w:right="270"/>
              <w:spacing w:after="0"/>
              <w:rPr>
                <w:sz w:val="20"/>
                <w:szCs w:val="20"/>
                <w:color w:val="auto"/>
              </w:rPr>
            </w:pPr>
            <w:r>
              <w:rPr>
                <w:rFonts w:ascii="Arial" w:cs="Arial" w:eastAsia="Arial" w:hAnsi="Arial"/>
                <w:sz w:val="14"/>
                <w:szCs w:val="14"/>
                <w:color w:val="auto"/>
              </w:rPr>
              <w:t>2,101,361</w:t>
            </w:r>
          </w:p>
        </w:tc>
        <w:tc>
          <w:tcPr>
            <w:tcW w:w="700" w:type="dxa"/>
            <w:vAlign w:val="bottom"/>
            <w:shd w:val="clear" w:color="auto" w:fill="F4F3F3"/>
          </w:tcPr>
          <w:p>
            <w:pPr>
              <w:jc w:val="right"/>
              <w:spacing w:after="0"/>
              <w:rPr>
                <w:sz w:val="20"/>
                <w:szCs w:val="20"/>
                <w:color w:val="auto"/>
              </w:rPr>
            </w:pPr>
            <w:r>
              <w:rPr>
                <w:rFonts w:ascii="Arial" w:cs="Arial" w:eastAsia="Arial" w:hAnsi="Arial"/>
                <w:sz w:val="14"/>
                <w:szCs w:val="14"/>
                <w:color w:val="auto"/>
              </w:rPr>
              <w:t>4,202,723</w:t>
            </w:r>
          </w:p>
        </w:tc>
        <w:tc>
          <w:tcPr>
            <w:tcW w:w="180" w:type="dxa"/>
            <w:vAlign w:val="bottom"/>
            <w:shd w:val="clear" w:color="auto" w:fill="F4F3F3"/>
          </w:tcPr>
          <w:p>
            <w:pPr>
              <w:spacing w:after="0"/>
              <w:rPr>
                <w:sz w:val="14"/>
                <w:szCs w:val="14"/>
                <w:color w:val="auto"/>
              </w:rPr>
            </w:pPr>
          </w:p>
        </w:tc>
        <w:tc>
          <w:tcPr>
            <w:tcW w:w="940" w:type="dxa"/>
            <w:vAlign w:val="bottom"/>
            <w:shd w:val="clear" w:color="auto" w:fill="F4F3F3"/>
          </w:tcPr>
          <w:p>
            <w:pPr>
              <w:jc w:val="right"/>
              <w:ind w:right="290"/>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300" w:type="dxa"/>
            <w:vAlign w:val="bottom"/>
            <w:shd w:val="clear" w:color="auto" w:fill="F4F3F3"/>
          </w:tcPr>
          <w:p>
            <w:pPr>
              <w:spacing w:after="0"/>
              <w:rPr>
                <w:sz w:val="14"/>
                <w:szCs w:val="14"/>
                <w:color w:val="auto"/>
              </w:rPr>
            </w:pPr>
          </w:p>
        </w:tc>
        <w:tc>
          <w:tcPr>
            <w:tcW w:w="220" w:type="dxa"/>
            <w:vAlign w:val="bottom"/>
            <w:shd w:val="clear" w:color="auto" w:fill="F4F3F3"/>
          </w:tcPr>
          <w:p>
            <w:pPr>
              <w:spacing w:after="0"/>
              <w:rPr>
                <w:sz w:val="14"/>
                <w:szCs w:val="14"/>
                <w:color w:val="auto"/>
              </w:rPr>
            </w:pPr>
          </w:p>
        </w:tc>
        <w:tc>
          <w:tcPr>
            <w:tcW w:w="670" w:type="dxa"/>
            <w:vAlign w:val="bottom"/>
            <w:shd w:val="clear" w:color="auto" w:fill="F4F3F3"/>
          </w:tcPr>
          <w:p>
            <w:pPr>
              <w:jc w:val="right"/>
              <w:ind w:right="99"/>
              <w:spacing w:after="0"/>
              <w:rPr>
                <w:sz w:val="20"/>
                <w:szCs w:val="20"/>
                <w:color w:val="auto"/>
              </w:rPr>
            </w:pPr>
            <w:r>
              <w:rPr>
                <w:rFonts w:ascii="Arial" w:cs="Arial" w:eastAsia="Arial" w:hAnsi="Arial"/>
                <w:sz w:val="14"/>
                <w:szCs w:val="14"/>
                <w:color w:val="auto"/>
              </w:rPr>
              <w:t>2/21/17</w:t>
            </w: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SARs</w:t>
            </w:r>
          </w:p>
        </w:tc>
        <w:tc>
          <w:tcPr>
            <w:tcW w:w="240" w:type="dxa"/>
            <w:vAlign w:val="bottom"/>
            <w:shd w:val="clear" w:color="auto" w:fill="F4F3F3"/>
          </w:tcPr>
          <w:p>
            <w:pPr>
              <w:spacing w:after="0"/>
              <w:rPr>
                <w:sz w:val="14"/>
                <w:szCs w:val="14"/>
                <w:color w:val="auto"/>
              </w:rPr>
            </w:pPr>
          </w:p>
        </w:tc>
        <w:tc>
          <w:tcPr>
            <w:tcW w:w="900" w:type="dxa"/>
            <w:vAlign w:val="bottom"/>
            <w:tcBorders>
              <w:right w:val="single" w:sz="8" w:color="F4F3F3"/>
            </w:tcBorders>
            <w:shd w:val="clear" w:color="auto" w:fill="F4F3F3"/>
          </w:tcPr>
          <w:p>
            <w:pPr>
              <w:ind w:left="3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F4F3F3"/>
          </w:tcPr>
          <w:p>
            <w:pPr>
              <w:jc w:val="right"/>
              <w:ind w:right="40"/>
              <w:spacing w:after="0"/>
              <w:rPr>
                <w:sz w:val="20"/>
                <w:szCs w:val="20"/>
                <w:color w:val="auto"/>
              </w:rPr>
            </w:pPr>
            <w:r>
              <w:rPr>
                <w:rFonts w:ascii="Arial" w:cs="Arial" w:eastAsia="Arial" w:hAnsi="Arial"/>
                <w:sz w:val="14"/>
                <w:szCs w:val="14"/>
                <w:color w:val="auto"/>
              </w:rPr>
              <w:t>62,148(2)</w:t>
            </w:r>
          </w:p>
        </w:tc>
        <w:tc>
          <w:tcPr>
            <w:tcW w:w="920" w:type="dxa"/>
            <w:vAlign w:val="bottom"/>
            <w:gridSpan w:val="2"/>
            <w:shd w:val="clear" w:color="auto" w:fill="F4F3F3"/>
          </w:tcPr>
          <w:p>
            <w:pPr>
              <w:jc w:val="right"/>
              <w:ind w:right="89"/>
              <w:spacing w:after="0"/>
              <w:rPr>
                <w:sz w:val="20"/>
                <w:szCs w:val="20"/>
                <w:color w:val="auto"/>
              </w:rPr>
            </w:pPr>
            <w:r>
              <w:rPr>
                <w:rFonts w:ascii="Arial" w:cs="Arial" w:eastAsia="Arial" w:hAnsi="Arial"/>
                <w:sz w:val="14"/>
                <w:szCs w:val="14"/>
                <w:color w:val="auto"/>
              </w:rPr>
              <w:t>88.31</w:t>
            </w:r>
          </w:p>
        </w:tc>
        <w:tc>
          <w:tcPr>
            <w:tcW w:w="900" w:type="dxa"/>
            <w:vAlign w:val="bottom"/>
            <w:gridSpan w:val="2"/>
            <w:shd w:val="clear" w:color="auto" w:fill="F4F3F3"/>
          </w:tcPr>
          <w:p>
            <w:pPr>
              <w:jc w:val="right"/>
              <w:ind w:right="111"/>
              <w:spacing w:after="0"/>
              <w:rPr>
                <w:sz w:val="20"/>
                <w:szCs w:val="20"/>
                <w:color w:val="auto"/>
              </w:rPr>
            </w:pPr>
            <w:r>
              <w:rPr>
                <w:rFonts w:ascii="Arial" w:cs="Arial" w:eastAsia="Arial" w:hAnsi="Arial"/>
                <w:sz w:val="14"/>
                <w:szCs w:val="14"/>
                <w:color w:val="auto"/>
              </w:rPr>
              <w:t>2/21/27</w:t>
            </w:r>
          </w:p>
        </w:tc>
        <w:tc>
          <w:tcPr>
            <w:tcW w:w="220" w:type="dxa"/>
            <w:vAlign w:val="bottom"/>
            <w:shd w:val="clear" w:color="auto" w:fill="F4F3F3"/>
          </w:tcPr>
          <w:p>
            <w:pPr>
              <w:spacing w:after="0"/>
              <w:rPr>
                <w:sz w:val="14"/>
                <w:szCs w:val="14"/>
                <w:color w:val="auto"/>
              </w:rPr>
            </w:pPr>
          </w:p>
        </w:tc>
        <w:tc>
          <w:tcPr>
            <w:tcW w:w="1080" w:type="dxa"/>
            <w:vAlign w:val="bottom"/>
            <w:shd w:val="clear" w:color="auto" w:fill="F4F3F3"/>
          </w:tcPr>
          <w:p>
            <w:pPr>
              <w:jc w:val="right"/>
              <w:ind w:right="350"/>
              <w:spacing w:after="0"/>
              <w:rPr>
                <w:sz w:val="20"/>
                <w:szCs w:val="20"/>
                <w:color w:val="auto"/>
              </w:rPr>
            </w:pPr>
            <w:r>
              <w:rPr>
                <w:rFonts w:ascii="Arial" w:cs="Arial" w:eastAsia="Arial" w:hAnsi="Arial"/>
                <w:sz w:val="14"/>
                <w:szCs w:val="14"/>
                <w:color w:val="auto"/>
              </w:rPr>
              <w:t>—</w:t>
            </w:r>
          </w:p>
        </w:tc>
        <w:tc>
          <w:tcPr>
            <w:tcW w:w="700" w:type="dxa"/>
            <w:vAlign w:val="bottom"/>
            <w:shd w:val="clear" w:color="auto" w:fill="F4F3F3"/>
          </w:tcPr>
          <w:p>
            <w:pPr>
              <w:jc w:val="right"/>
              <w:spacing w:after="0"/>
              <w:rPr>
                <w:sz w:val="20"/>
                <w:szCs w:val="20"/>
                <w:color w:val="auto"/>
              </w:rPr>
            </w:pPr>
            <w:r>
              <w:rPr>
                <w:rFonts w:ascii="Arial" w:cs="Arial" w:eastAsia="Arial" w:hAnsi="Arial"/>
                <w:sz w:val="14"/>
                <w:szCs w:val="14"/>
                <w:color w:val="auto"/>
              </w:rPr>
              <w:t>2,947,058</w:t>
            </w:r>
          </w:p>
        </w:tc>
        <w:tc>
          <w:tcPr>
            <w:tcW w:w="180" w:type="dxa"/>
            <w:vAlign w:val="bottom"/>
            <w:shd w:val="clear" w:color="auto" w:fill="F4F3F3"/>
          </w:tcPr>
          <w:p>
            <w:pPr>
              <w:spacing w:after="0"/>
              <w:rPr>
                <w:sz w:val="14"/>
                <w:szCs w:val="14"/>
                <w:color w:val="auto"/>
              </w:rPr>
            </w:pPr>
          </w:p>
        </w:tc>
        <w:tc>
          <w:tcPr>
            <w:tcW w:w="940" w:type="dxa"/>
            <w:vAlign w:val="bottom"/>
            <w:shd w:val="clear" w:color="auto" w:fill="F4F3F3"/>
          </w:tcPr>
          <w:p>
            <w:pPr>
              <w:jc w:val="right"/>
              <w:ind w:right="290"/>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300" w:type="dxa"/>
            <w:vAlign w:val="bottom"/>
            <w:shd w:val="clear" w:color="auto" w:fill="F4F3F3"/>
          </w:tcPr>
          <w:p>
            <w:pPr>
              <w:spacing w:after="0"/>
              <w:rPr>
                <w:sz w:val="14"/>
                <w:szCs w:val="14"/>
                <w:color w:val="auto"/>
              </w:rPr>
            </w:pPr>
          </w:p>
        </w:tc>
        <w:tc>
          <w:tcPr>
            <w:tcW w:w="220" w:type="dxa"/>
            <w:vAlign w:val="bottom"/>
            <w:shd w:val="clear" w:color="auto" w:fill="F4F3F3"/>
          </w:tcPr>
          <w:p>
            <w:pPr>
              <w:spacing w:after="0"/>
              <w:rPr>
                <w:sz w:val="14"/>
                <w:szCs w:val="14"/>
                <w:color w:val="auto"/>
              </w:rPr>
            </w:pPr>
          </w:p>
        </w:tc>
        <w:tc>
          <w:tcPr>
            <w:tcW w:w="670" w:type="dxa"/>
            <w:vAlign w:val="bottom"/>
            <w:shd w:val="clear" w:color="auto" w:fill="F4F3F3"/>
          </w:tcPr>
          <w:p>
            <w:pPr>
              <w:spacing w:after="0"/>
              <w:rPr>
                <w:sz w:val="14"/>
                <w:szCs w:val="14"/>
                <w:color w:val="auto"/>
              </w:rPr>
            </w:pP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RSUs</w:t>
            </w:r>
          </w:p>
        </w:tc>
        <w:tc>
          <w:tcPr>
            <w:tcW w:w="240" w:type="dxa"/>
            <w:vAlign w:val="bottom"/>
            <w:shd w:val="clear" w:color="auto" w:fill="F4F3F3"/>
          </w:tcPr>
          <w:p>
            <w:pPr>
              <w:spacing w:after="0"/>
              <w:rPr>
                <w:sz w:val="14"/>
                <w:szCs w:val="14"/>
                <w:color w:val="auto"/>
              </w:rPr>
            </w:pPr>
          </w:p>
        </w:tc>
        <w:tc>
          <w:tcPr>
            <w:tcW w:w="900" w:type="dxa"/>
            <w:vAlign w:val="bottom"/>
            <w:tcBorders>
              <w:right w:val="single" w:sz="8" w:color="F4F3F3"/>
            </w:tcBorders>
            <w:shd w:val="clear" w:color="auto" w:fill="F4F3F3"/>
          </w:tcPr>
          <w:p>
            <w:pPr>
              <w:ind w:left="3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F4F3F3"/>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F4F3F3"/>
          </w:tcPr>
          <w:p>
            <w:pPr>
              <w:spacing w:after="0"/>
              <w:rPr>
                <w:sz w:val="14"/>
                <w:szCs w:val="14"/>
                <w:color w:val="auto"/>
              </w:rPr>
            </w:pPr>
          </w:p>
        </w:tc>
        <w:tc>
          <w:tcPr>
            <w:tcW w:w="700" w:type="dxa"/>
            <w:vAlign w:val="bottom"/>
            <w:shd w:val="clear" w:color="auto" w:fill="F4F3F3"/>
          </w:tcPr>
          <w:p>
            <w:pPr>
              <w:jc w:val="right"/>
              <w:ind w:right="169"/>
              <w:spacing w:after="0"/>
              <w:rPr>
                <w:sz w:val="20"/>
                <w:szCs w:val="20"/>
                <w:color w:val="auto"/>
              </w:rPr>
            </w:pPr>
            <w:r>
              <w:rPr>
                <w:rFonts w:ascii="Arial" w:cs="Arial" w:eastAsia="Arial" w:hAnsi="Arial"/>
                <w:sz w:val="14"/>
                <w:szCs w:val="14"/>
                <w:color w:val="auto"/>
              </w:rPr>
              <w:t>—</w:t>
            </w:r>
          </w:p>
        </w:tc>
        <w:tc>
          <w:tcPr>
            <w:tcW w:w="240" w:type="dxa"/>
            <w:vAlign w:val="bottom"/>
            <w:shd w:val="clear" w:color="auto" w:fill="F4F3F3"/>
          </w:tcPr>
          <w:p>
            <w:pPr>
              <w:spacing w:after="0"/>
              <w:rPr>
                <w:sz w:val="14"/>
                <w:szCs w:val="14"/>
                <w:color w:val="auto"/>
              </w:rPr>
            </w:pPr>
          </w:p>
        </w:tc>
        <w:tc>
          <w:tcPr>
            <w:tcW w:w="660" w:type="dxa"/>
            <w:vAlign w:val="bottom"/>
            <w:shd w:val="clear" w:color="auto" w:fill="F4F3F3"/>
          </w:tcPr>
          <w:p>
            <w:pPr>
              <w:spacing w:after="0"/>
              <w:rPr>
                <w:sz w:val="14"/>
                <w:szCs w:val="14"/>
                <w:color w:val="auto"/>
              </w:rPr>
            </w:pPr>
          </w:p>
        </w:tc>
        <w:tc>
          <w:tcPr>
            <w:tcW w:w="220" w:type="dxa"/>
            <w:vAlign w:val="bottom"/>
            <w:shd w:val="clear" w:color="auto" w:fill="F4F3F3"/>
          </w:tcPr>
          <w:p>
            <w:pPr>
              <w:spacing w:after="0"/>
              <w:rPr>
                <w:sz w:val="14"/>
                <w:szCs w:val="14"/>
                <w:color w:val="auto"/>
              </w:rPr>
            </w:pPr>
          </w:p>
        </w:tc>
        <w:tc>
          <w:tcPr>
            <w:tcW w:w="1080" w:type="dxa"/>
            <w:vAlign w:val="bottom"/>
            <w:shd w:val="clear" w:color="auto" w:fill="F4F3F3"/>
          </w:tcPr>
          <w:p>
            <w:pPr>
              <w:jc w:val="right"/>
              <w:ind w:right="350"/>
              <w:spacing w:after="0"/>
              <w:rPr>
                <w:sz w:val="20"/>
                <w:szCs w:val="20"/>
                <w:color w:val="auto"/>
              </w:rPr>
            </w:pPr>
            <w:r>
              <w:rPr>
                <w:rFonts w:ascii="Arial" w:cs="Arial" w:eastAsia="Arial" w:hAnsi="Arial"/>
                <w:sz w:val="14"/>
                <w:szCs w:val="14"/>
                <w:color w:val="auto"/>
              </w:rPr>
              <w:t>—</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F4F3F3"/>
          </w:tcPr>
          <w:p>
            <w:pPr>
              <w:jc w:val="right"/>
              <w:ind w:right="30"/>
              <w:spacing w:after="0"/>
              <w:rPr>
                <w:sz w:val="20"/>
                <w:szCs w:val="20"/>
                <w:color w:val="auto"/>
              </w:rPr>
            </w:pPr>
            <w:r>
              <w:rPr>
                <w:rFonts w:ascii="Arial" w:cs="Arial" w:eastAsia="Arial" w:hAnsi="Arial"/>
                <w:sz w:val="14"/>
                <w:szCs w:val="14"/>
                <w:color w:val="auto"/>
              </w:rPr>
              <w:t>49,243(3)</w:t>
            </w:r>
          </w:p>
        </w:tc>
        <w:tc>
          <w:tcPr>
            <w:tcW w:w="106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6,683,752</w:t>
            </w:r>
          </w:p>
        </w:tc>
        <w:tc>
          <w:tcPr>
            <w:tcW w:w="0" w:type="dxa"/>
            <w:vAlign w:val="bottom"/>
          </w:tcPr>
          <w:p>
            <w:pPr>
              <w:spacing w:after="0"/>
              <w:rPr>
                <w:sz w:val="1"/>
                <w:szCs w:val="1"/>
                <w:color w:val="auto"/>
              </w:rPr>
            </w:pPr>
          </w:p>
        </w:tc>
      </w:tr>
      <w:tr>
        <w:trPr>
          <w:trHeight w:val="162"/>
        </w:trPr>
        <w:tc>
          <w:tcPr>
            <w:tcW w:w="1300" w:type="dxa"/>
            <w:vAlign w:val="bottom"/>
            <w:shd w:val="clear" w:color="auto" w:fill="F4F3F3"/>
          </w:tcPr>
          <w:p>
            <w:pPr>
              <w:spacing w:after="0"/>
              <w:rPr>
                <w:sz w:val="14"/>
                <w:szCs w:val="14"/>
                <w:color w:val="auto"/>
              </w:rPr>
            </w:pPr>
          </w:p>
        </w:tc>
        <w:tc>
          <w:tcPr>
            <w:tcW w:w="220" w:type="dxa"/>
            <w:vAlign w:val="bottom"/>
            <w:shd w:val="clear" w:color="auto" w:fill="F4F3F3"/>
          </w:tcPr>
          <w:p>
            <w:pPr>
              <w:spacing w:after="0"/>
              <w:rPr>
                <w:sz w:val="14"/>
                <w:szCs w:val="14"/>
                <w:color w:val="auto"/>
              </w:rPr>
            </w:pPr>
          </w:p>
        </w:tc>
        <w:tc>
          <w:tcPr>
            <w:tcW w:w="670" w:type="dxa"/>
            <w:vAlign w:val="bottom"/>
            <w:shd w:val="clear" w:color="auto" w:fill="F4F3F3"/>
          </w:tcPr>
          <w:p>
            <w:pPr>
              <w:spacing w:after="0"/>
              <w:rPr>
                <w:sz w:val="14"/>
                <w:szCs w:val="14"/>
                <w:color w:val="auto"/>
              </w:rPr>
            </w:pP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PSUs</w:t>
            </w:r>
          </w:p>
        </w:tc>
        <w:tc>
          <w:tcPr>
            <w:tcW w:w="240" w:type="dxa"/>
            <w:vAlign w:val="bottom"/>
            <w:shd w:val="clear" w:color="auto" w:fill="F4F3F3"/>
          </w:tcPr>
          <w:p>
            <w:pPr>
              <w:spacing w:after="0"/>
              <w:rPr>
                <w:sz w:val="14"/>
                <w:szCs w:val="14"/>
                <w:color w:val="auto"/>
              </w:rPr>
            </w:pPr>
          </w:p>
        </w:tc>
        <w:tc>
          <w:tcPr>
            <w:tcW w:w="900" w:type="dxa"/>
            <w:vAlign w:val="bottom"/>
            <w:tcBorders>
              <w:right w:val="single" w:sz="8" w:color="F4F3F3"/>
            </w:tcBorders>
            <w:shd w:val="clear" w:color="auto" w:fill="F4F3F3"/>
          </w:tcPr>
          <w:p>
            <w:pPr>
              <w:ind w:left="300"/>
              <w:spacing w:after="0"/>
              <w:rPr>
                <w:sz w:val="20"/>
                <w:szCs w:val="20"/>
                <w:color w:val="auto"/>
              </w:rPr>
            </w:pPr>
            <w:r>
              <w:rPr>
                <w:rFonts w:ascii="Arial" w:cs="Arial" w:eastAsia="Arial" w:hAnsi="Arial"/>
                <w:sz w:val="14"/>
                <w:szCs w:val="14"/>
                <w:color w:val="auto"/>
              </w:rPr>
              <w:t>—</w:t>
            </w:r>
          </w:p>
        </w:tc>
        <w:tc>
          <w:tcPr>
            <w:tcW w:w="46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F4F3F3"/>
          </w:tcPr>
          <w:p>
            <w:pPr>
              <w:spacing w:after="0"/>
              <w:rPr>
                <w:sz w:val="14"/>
                <w:szCs w:val="14"/>
                <w:color w:val="auto"/>
              </w:rPr>
            </w:pPr>
          </w:p>
        </w:tc>
        <w:tc>
          <w:tcPr>
            <w:tcW w:w="220" w:type="dxa"/>
            <w:vAlign w:val="bottom"/>
            <w:shd w:val="clear" w:color="auto" w:fill="F4F3F3"/>
          </w:tcPr>
          <w:p>
            <w:pPr>
              <w:spacing w:after="0"/>
              <w:rPr>
                <w:sz w:val="14"/>
                <w:szCs w:val="14"/>
                <w:color w:val="auto"/>
              </w:rPr>
            </w:pPr>
          </w:p>
        </w:tc>
        <w:tc>
          <w:tcPr>
            <w:tcW w:w="700" w:type="dxa"/>
            <w:vAlign w:val="bottom"/>
            <w:shd w:val="clear" w:color="auto" w:fill="F4F3F3"/>
          </w:tcPr>
          <w:p>
            <w:pPr>
              <w:jc w:val="right"/>
              <w:ind w:right="169"/>
              <w:spacing w:after="0"/>
              <w:rPr>
                <w:sz w:val="20"/>
                <w:szCs w:val="20"/>
                <w:color w:val="auto"/>
              </w:rPr>
            </w:pPr>
            <w:r>
              <w:rPr>
                <w:rFonts w:ascii="Arial" w:cs="Arial" w:eastAsia="Arial" w:hAnsi="Arial"/>
                <w:sz w:val="14"/>
                <w:szCs w:val="14"/>
                <w:color w:val="auto"/>
              </w:rPr>
              <w:t>—</w:t>
            </w:r>
          </w:p>
        </w:tc>
        <w:tc>
          <w:tcPr>
            <w:tcW w:w="240" w:type="dxa"/>
            <w:vAlign w:val="bottom"/>
            <w:shd w:val="clear" w:color="auto" w:fill="F4F3F3"/>
          </w:tcPr>
          <w:p>
            <w:pPr>
              <w:spacing w:after="0"/>
              <w:rPr>
                <w:sz w:val="14"/>
                <w:szCs w:val="14"/>
                <w:color w:val="auto"/>
              </w:rPr>
            </w:pPr>
          </w:p>
        </w:tc>
        <w:tc>
          <w:tcPr>
            <w:tcW w:w="660" w:type="dxa"/>
            <w:vAlign w:val="bottom"/>
            <w:shd w:val="clear" w:color="auto" w:fill="F4F3F3"/>
          </w:tcPr>
          <w:p>
            <w:pPr>
              <w:spacing w:after="0"/>
              <w:rPr>
                <w:sz w:val="14"/>
                <w:szCs w:val="14"/>
                <w:color w:val="auto"/>
              </w:rPr>
            </w:pPr>
          </w:p>
        </w:tc>
        <w:tc>
          <w:tcPr>
            <w:tcW w:w="220" w:type="dxa"/>
            <w:vAlign w:val="bottom"/>
            <w:shd w:val="clear" w:color="auto" w:fill="F4F3F3"/>
          </w:tcPr>
          <w:p>
            <w:pPr>
              <w:spacing w:after="0"/>
              <w:rPr>
                <w:sz w:val="14"/>
                <w:szCs w:val="14"/>
                <w:color w:val="auto"/>
              </w:rPr>
            </w:pPr>
          </w:p>
        </w:tc>
        <w:tc>
          <w:tcPr>
            <w:tcW w:w="1080" w:type="dxa"/>
            <w:vAlign w:val="bottom"/>
            <w:shd w:val="clear" w:color="auto" w:fill="F4F3F3"/>
          </w:tcPr>
          <w:p>
            <w:pPr>
              <w:jc w:val="right"/>
              <w:ind w:right="350"/>
              <w:spacing w:after="0"/>
              <w:rPr>
                <w:sz w:val="20"/>
                <w:szCs w:val="20"/>
                <w:color w:val="auto"/>
              </w:rPr>
            </w:pPr>
            <w:r>
              <w:rPr>
                <w:rFonts w:ascii="Arial" w:cs="Arial" w:eastAsia="Arial" w:hAnsi="Arial"/>
                <w:sz w:val="14"/>
                <w:szCs w:val="14"/>
                <w:color w:val="auto"/>
              </w:rPr>
              <w:t>—</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F4F3F3"/>
          </w:tcPr>
          <w:p>
            <w:pPr>
              <w:jc w:val="right"/>
              <w:ind w:right="30"/>
              <w:spacing w:after="0"/>
              <w:rPr>
                <w:sz w:val="20"/>
                <w:szCs w:val="20"/>
                <w:color w:val="auto"/>
              </w:rPr>
            </w:pPr>
            <w:r>
              <w:rPr>
                <w:rFonts w:ascii="Arial" w:cs="Arial" w:eastAsia="Arial" w:hAnsi="Arial"/>
                <w:sz w:val="14"/>
                <w:szCs w:val="14"/>
                <w:color w:val="auto"/>
              </w:rPr>
              <w:t>89,683(4)</w:t>
            </w:r>
          </w:p>
        </w:tc>
        <w:tc>
          <w:tcPr>
            <w:tcW w:w="106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12,172,674</w:t>
            </w:r>
          </w:p>
        </w:tc>
        <w:tc>
          <w:tcPr>
            <w:tcW w:w="0" w:type="dxa"/>
            <w:vAlign w:val="bottom"/>
          </w:tcPr>
          <w:p>
            <w:pPr>
              <w:spacing w:after="0"/>
              <w:rPr>
                <w:sz w:val="1"/>
                <w:szCs w:val="1"/>
                <w:color w:val="auto"/>
              </w:rPr>
            </w:pPr>
          </w:p>
        </w:tc>
      </w:tr>
      <w:tr>
        <w:trPr>
          <w:trHeight w:val="162"/>
        </w:trPr>
        <w:tc>
          <w:tcPr>
            <w:tcW w:w="1300" w:type="dxa"/>
            <w:vAlign w:val="bottom"/>
            <w:shd w:val="clear" w:color="auto" w:fill="F4F3F3"/>
          </w:tcPr>
          <w:p>
            <w:pPr>
              <w:spacing w:after="0"/>
              <w:rPr>
                <w:sz w:val="14"/>
                <w:szCs w:val="14"/>
                <w:color w:val="auto"/>
              </w:rPr>
            </w:pPr>
          </w:p>
        </w:tc>
        <w:tc>
          <w:tcPr>
            <w:tcW w:w="220" w:type="dxa"/>
            <w:vAlign w:val="bottom"/>
            <w:shd w:val="clear" w:color="auto" w:fill="F4F3F3"/>
          </w:tcPr>
          <w:p>
            <w:pPr>
              <w:spacing w:after="0"/>
              <w:rPr>
                <w:sz w:val="14"/>
                <w:szCs w:val="14"/>
                <w:color w:val="auto"/>
              </w:rPr>
            </w:pPr>
          </w:p>
        </w:tc>
        <w:tc>
          <w:tcPr>
            <w:tcW w:w="670" w:type="dxa"/>
            <w:vAlign w:val="bottom"/>
            <w:shd w:val="clear" w:color="auto" w:fill="F4F3F3"/>
          </w:tcPr>
          <w:p>
            <w:pPr>
              <w:spacing w:after="0"/>
              <w:rPr>
                <w:sz w:val="14"/>
                <w:szCs w:val="14"/>
                <w:color w:val="auto"/>
              </w:rPr>
            </w:pP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PSUs</w:t>
            </w:r>
          </w:p>
        </w:tc>
        <w:tc>
          <w:tcPr>
            <w:tcW w:w="240" w:type="dxa"/>
            <w:vAlign w:val="bottom"/>
            <w:shd w:val="clear" w:color="auto" w:fill="F4F3F3"/>
          </w:tcPr>
          <w:p>
            <w:pPr>
              <w:spacing w:after="0"/>
              <w:rPr>
                <w:sz w:val="14"/>
                <w:szCs w:val="14"/>
                <w:color w:val="auto"/>
              </w:rPr>
            </w:pPr>
          </w:p>
        </w:tc>
        <w:tc>
          <w:tcPr>
            <w:tcW w:w="900" w:type="dxa"/>
            <w:vAlign w:val="bottom"/>
            <w:tcBorders>
              <w:right w:val="single" w:sz="8" w:color="F4F3F3"/>
            </w:tcBorders>
            <w:shd w:val="clear" w:color="auto" w:fill="F4F3F3"/>
          </w:tcPr>
          <w:p>
            <w:pPr>
              <w:ind w:left="30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F4F3F3"/>
          </w:tcPr>
          <w:p>
            <w:pPr>
              <w:spacing w:after="0"/>
              <w:rPr>
                <w:sz w:val="14"/>
                <w:szCs w:val="14"/>
                <w:color w:val="auto"/>
              </w:rPr>
            </w:pPr>
          </w:p>
        </w:tc>
        <w:tc>
          <w:tcPr>
            <w:tcW w:w="220" w:type="dxa"/>
            <w:vAlign w:val="bottom"/>
            <w:shd w:val="clear" w:color="auto" w:fill="F4F3F3"/>
          </w:tcPr>
          <w:p>
            <w:pPr>
              <w:spacing w:after="0"/>
              <w:rPr>
                <w:sz w:val="14"/>
                <w:szCs w:val="14"/>
                <w:color w:val="auto"/>
              </w:rPr>
            </w:pPr>
          </w:p>
        </w:tc>
        <w:tc>
          <w:tcPr>
            <w:tcW w:w="700" w:type="dxa"/>
            <w:vAlign w:val="bottom"/>
            <w:shd w:val="clear" w:color="auto" w:fill="F4F3F3"/>
          </w:tcPr>
          <w:p>
            <w:pPr>
              <w:jc w:val="right"/>
              <w:ind w:right="169"/>
              <w:spacing w:after="0"/>
              <w:rPr>
                <w:sz w:val="20"/>
                <w:szCs w:val="20"/>
                <w:color w:val="auto"/>
              </w:rPr>
            </w:pPr>
            <w:r>
              <w:rPr>
                <w:rFonts w:ascii="Arial" w:cs="Arial" w:eastAsia="Arial" w:hAnsi="Arial"/>
                <w:sz w:val="14"/>
                <w:szCs w:val="14"/>
                <w:color w:val="auto"/>
              </w:rPr>
              <w:t>—</w:t>
            </w:r>
          </w:p>
        </w:tc>
        <w:tc>
          <w:tcPr>
            <w:tcW w:w="240" w:type="dxa"/>
            <w:vAlign w:val="bottom"/>
            <w:shd w:val="clear" w:color="auto" w:fill="F4F3F3"/>
          </w:tcPr>
          <w:p>
            <w:pPr>
              <w:spacing w:after="0"/>
              <w:rPr>
                <w:sz w:val="14"/>
                <w:szCs w:val="14"/>
                <w:color w:val="auto"/>
              </w:rPr>
            </w:pPr>
          </w:p>
        </w:tc>
        <w:tc>
          <w:tcPr>
            <w:tcW w:w="660" w:type="dxa"/>
            <w:vAlign w:val="bottom"/>
            <w:shd w:val="clear" w:color="auto" w:fill="F4F3F3"/>
          </w:tcPr>
          <w:p>
            <w:pPr>
              <w:spacing w:after="0"/>
              <w:rPr>
                <w:sz w:val="14"/>
                <w:szCs w:val="14"/>
                <w:color w:val="auto"/>
              </w:rPr>
            </w:pPr>
          </w:p>
        </w:tc>
        <w:tc>
          <w:tcPr>
            <w:tcW w:w="220" w:type="dxa"/>
            <w:vAlign w:val="bottom"/>
            <w:shd w:val="clear" w:color="auto" w:fill="F4F3F3"/>
          </w:tcPr>
          <w:p>
            <w:pPr>
              <w:spacing w:after="0"/>
              <w:rPr>
                <w:sz w:val="14"/>
                <w:szCs w:val="14"/>
                <w:color w:val="auto"/>
              </w:rPr>
            </w:pPr>
          </w:p>
        </w:tc>
        <w:tc>
          <w:tcPr>
            <w:tcW w:w="1080" w:type="dxa"/>
            <w:vAlign w:val="bottom"/>
            <w:shd w:val="clear" w:color="auto" w:fill="F4F3F3"/>
          </w:tcPr>
          <w:p>
            <w:pPr>
              <w:jc w:val="right"/>
              <w:ind w:right="350"/>
              <w:spacing w:after="0"/>
              <w:rPr>
                <w:sz w:val="20"/>
                <w:szCs w:val="20"/>
                <w:color w:val="auto"/>
              </w:rPr>
            </w:pPr>
            <w:r>
              <w:rPr>
                <w:rFonts w:ascii="Arial" w:cs="Arial" w:eastAsia="Arial" w:hAnsi="Arial"/>
                <w:sz w:val="14"/>
                <w:szCs w:val="14"/>
                <w:color w:val="auto"/>
              </w:rPr>
              <w:t>—</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F4F3F3"/>
          </w:tcPr>
          <w:p>
            <w:pPr>
              <w:jc w:val="right"/>
              <w:ind w:right="30"/>
              <w:spacing w:after="0"/>
              <w:rPr>
                <w:sz w:val="20"/>
                <w:szCs w:val="20"/>
                <w:color w:val="auto"/>
              </w:rPr>
            </w:pPr>
            <w:r>
              <w:rPr>
                <w:rFonts w:ascii="Arial" w:cs="Arial" w:eastAsia="Arial" w:hAnsi="Arial"/>
                <w:sz w:val="14"/>
                <w:szCs w:val="14"/>
                <w:color w:val="auto"/>
              </w:rPr>
              <w:t>29,916(5)</w:t>
            </w:r>
          </w:p>
        </w:tc>
        <w:tc>
          <w:tcPr>
            <w:tcW w:w="106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4,060,499</w:t>
            </w:r>
          </w:p>
        </w:tc>
        <w:tc>
          <w:tcPr>
            <w:tcW w:w="0" w:type="dxa"/>
            <w:vAlign w:val="bottom"/>
          </w:tcPr>
          <w:p>
            <w:pPr>
              <w:spacing w:after="0"/>
              <w:rPr>
                <w:sz w:val="1"/>
                <w:szCs w:val="1"/>
                <w:color w:val="auto"/>
              </w:rPr>
            </w:pPr>
          </w:p>
        </w:tc>
      </w:tr>
      <w:tr>
        <w:trPr>
          <w:trHeight w:val="162"/>
        </w:trPr>
        <w:tc>
          <w:tcPr>
            <w:tcW w:w="1300" w:type="dxa"/>
            <w:vAlign w:val="bottom"/>
            <w:shd w:val="clear" w:color="auto" w:fill="F4F3F3"/>
          </w:tcPr>
          <w:p>
            <w:pPr>
              <w:spacing w:after="0"/>
              <w:rPr>
                <w:sz w:val="14"/>
                <w:szCs w:val="14"/>
                <w:color w:val="auto"/>
              </w:rPr>
            </w:pPr>
          </w:p>
        </w:tc>
        <w:tc>
          <w:tcPr>
            <w:tcW w:w="220" w:type="dxa"/>
            <w:vAlign w:val="bottom"/>
            <w:shd w:val="clear" w:color="auto" w:fill="F4F3F3"/>
          </w:tcPr>
          <w:p>
            <w:pPr>
              <w:spacing w:after="0"/>
              <w:rPr>
                <w:sz w:val="14"/>
                <w:szCs w:val="14"/>
                <w:color w:val="auto"/>
              </w:rPr>
            </w:pPr>
          </w:p>
        </w:tc>
        <w:tc>
          <w:tcPr>
            <w:tcW w:w="670" w:type="dxa"/>
            <w:vAlign w:val="bottom"/>
            <w:shd w:val="clear" w:color="auto" w:fill="F4F3F3"/>
          </w:tcPr>
          <w:p>
            <w:pPr>
              <w:spacing w:after="0"/>
              <w:rPr>
                <w:sz w:val="14"/>
                <w:szCs w:val="14"/>
                <w:color w:val="auto"/>
              </w:rPr>
            </w:pP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PSUs</w:t>
            </w:r>
          </w:p>
        </w:tc>
        <w:tc>
          <w:tcPr>
            <w:tcW w:w="240" w:type="dxa"/>
            <w:vAlign w:val="bottom"/>
            <w:shd w:val="clear" w:color="auto" w:fill="F4F3F3"/>
          </w:tcPr>
          <w:p>
            <w:pPr>
              <w:spacing w:after="0"/>
              <w:rPr>
                <w:sz w:val="14"/>
                <w:szCs w:val="14"/>
                <w:color w:val="auto"/>
              </w:rPr>
            </w:pPr>
          </w:p>
        </w:tc>
        <w:tc>
          <w:tcPr>
            <w:tcW w:w="900" w:type="dxa"/>
            <w:vAlign w:val="bottom"/>
            <w:tcBorders>
              <w:right w:val="single" w:sz="8" w:color="F4F3F3"/>
            </w:tcBorders>
            <w:shd w:val="clear" w:color="auto" w:fill="F4F3F3"/>
          </w:tcPr>
          <w:p>
            <w:pPr>
              <w:ind w:left="30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20" w:type="dxa"/>
            <w:vAlign w:val="bottom"/>
            <w:shd w:val="clear" w:color="auto" w:fill="F4F3F3"/>
          </w:tcPr>
          <w:p>
            <w:pPr>
              <w:spacing w:after="0"/>
              <w:rPr>
                <w:sz w:val="14"/>
                <w:szCs w:val="14"/>
                <w:color w:val="auto"/>
              </w:rPr>
            </w:pPr>
          </w:p>
        </w:tc>
        <w:tc>
          <w:tcPr>
            <w:tcW w:w="700" w:type="dxa"/>
            <w:vAlign w:val="bottom"/>
            <w:shd w:val="clear" w:color="auto" w:fill="F4F3F3"/>
          </w:tcPr>
          <w:p>
            <w:pPr>
              <w:jc w:val="right"/>
              <w:ind w:right="169"/>
              <w:spacing w:after="0"/>
              <w:rPr>
                <w:sz w:val="20"/>
                <w:szCs w:val="20"/>
                <w:color w:val="auto"/>
              </w:rPr>
            </w:pPr>
            <w:r>
              <w:rPr>
                <w:rFonts w:ascii="Arial" w:cs="Arial" w:eastAsia="Arial" w:hAnsi="Arial"/>
                <w:sz w:val="14"/>
                <w:szCs w:val="14"/>
                <w:color w:val="auto"/>
              </w:rPr>
              <w:t>—</w:t>
            </w:r>
          </w:p>
        </w:tc>
        <w:tc>
          <w:tcPr>
            <w:tcW w:w="240" w:type="dxa"/>
            <w:vAlign w:val="bottom"/>
            <w:shd w:val="clear" w:color="auto" w:fill="F4F3F3"/>
          </w:tcPr>
          <w:p>
            <w:pPr>
              <w:spacing w:after="0"/>
              <w:rPr>
                <w:sz w:val="14"/>
                <w:szCs w:val="14"/>
                <w:color w:val="auto"/>
              </w:rPr>
            </w:pPr>
          </w:p>
        </w:tc>
        <w:tc>
          <w:tcPr>
            <w:tcW w:w="660" w:type="dxa"/>
            <w:vAlign w:val="bottom"/>
            <w:shd w:val="clear" w:color="auto" w:fill="F4F3F3"/>
          </w:tcPr>
          <w:p>
            <w:pPr>
              <w:spacing w:after="0"/>
              <w:rPr>
                <w:sz w:val="14"/>
                <w:szCs w:val="14"/>
                <w:color w:val="auto"/>
              </w:rPr>
            </w:pPr>
          </w:p>
        </w:tc>
        <w:tc>
          <w:tcPr>
            <w:tcW w:w="220" w:type="dxa"/>
            <w:vAlign w:val="bottom"/>
            <w:shd w:val="clear" w:color="auto" w:fill="F4F3F3"/>
          </w:tcPr>
          <w:p>
            <w:pPr>
              <w:spacing w:after="0"/>
              <w:rPr>
                <w:sz w:val="14"/>
                <w:szCs w:val="14"/>
                <w:color w:val="auto"/>
              </w:rPr>
            </w:pPr>
          </w:p>
        </w:tc>
        <w:tc>
          <w:tcPr>
            <w:tcW w:w="1080" w:type="dxa"/>
            <w:vAlign w:val="bottom"/>
            <w:shd w:val="clear" w:color="auto" w:fill="F4F3F3"/>
          </w:tcPr>
          <w:p>
            <w:pPr>
              <w:jc w:val="right"/>
              <w:ind w:right="350"/>
              <w:spacing w:after="0"/>
              <w:rPr>
                <w:sz w:val="20"/>
                <w:szCs w:val="20"/>
                <w:color w:val="auto"/>
              </w:rPr>
            </w:pPr>
            <w:r>
              <w:rPr>
                <w:rFonts w:ascii="Arial" w:cs="Arial" w:eastAsia="Arial" w:hAnsi="Arial"/>
                <w:sz w:val="14"/>
                <w:szCs w:val="14"/>
                <w:color w:val="auto"/>
              </w:rPr>
              <w:t>—</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F4F3F3"/>
          </w:tcPr>
          <w:p>
            <w:pPr>
              <w:jc w:val="right"/>
              <w:ind w:right="30"/>
              <w:spacing w:after="0"/>
              <w:rPr>
                <w:sz w:val="20"/>
                <w:szCs w:val="20"/>
                <w:color w:val="auto"/>
              </w:rPr>
            </w:pPr>
            <w:r>
              <w:rPr>
                <w:rFonts w:ascii="Arial" w:cs="Arial" w:eastAsia="Arial" w:hAnsi="Arial"/>
                <w:sz w:val="14"/>
                <w:szCs w:val="14"/>
                <w:color w:val="auto"/>
              </w:rPr>
              <w:t>36,276(6)</w:t>
            </w:r>
          </w:p>
        </w:tc>
        <w:tc>
          <w:tcPr>
            <w:tcW w:w="106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4,923,741</w:t>
            </w:r>
          </w:p>
        </w:tc>
        <w:tc>
          <w:tcPr>
            <w:tcW w:w="0" w:type="dxa"/>
            <w:vAlign w:val="bottom"/>
          </w:tcPr>
          <w:p>
            <w:pPr>
              <w:spacing w:after="0"/>
              <w:rPr>
                <w:sz w:val="1"/>
                <w:szCs w:val="1"/>
                <w:color w:val="auto"/>
              </w:rPr>
            </w:pPr>
          </w:p>
        </w:tc>
      </w:tr>
      <w:tr>
        <w:trPr>
          <w:trHeight w:val="175"/>
        </w:trPr>
        <w:tc>
          <w:tcPr>
            <w:tcW w:w="1300" w:type="dxa"/>
            <w:vAlign w:val="bottom"/>
            <w:shd w:val="clear" w:color="auto" w:fill="F4F3F3"/>
          </w:tcPr>
          <w:p>
            <w:pPr>
              <w:spacing w:after="0"/>
              <w:rPr>
                <w:sz w:val="15"/>
                <w:szCs w:val="15"/>
                <w:color w:val="auto"/>
              </w:rPr>
            </w:pPr>
          </w:p>
        </w:tc>
        <w:tc>
          <w:tcPr>
            <w:tcW w:w="220" w:type="dxa"/>
            <w:vAlign w:val="bottom"/>
            <w:shd w:val="clear" w:color="auto" w:fill="F4F3F3"/>
          </w:tcPr>
          <w:p>
            <w:pPr>
              <w:spacing w:after="0"/>
              <w:rPr>
                <w:sz w:val="15"/>
                <w:szCs w:val="15"/>
                <w:color w:val="auto"/>
              </w:rPr>
            </w:pPr>
          </w:p>
        </w:tc>
        <w:tc>
          <w:tcPr>
            <w:tcW w:w="670" w:type="dxa"/>
            <w:vAlign w:val="bottom"/>
            <w:shd w:val="clear" w:color="auto" w:fill="F4F3F3"/>
          </w:tcPr>
          <w:p>
            <w:pPr>
              <w:spacing w:after="0"/>
              <w:rPr>
                <w:sz w:val="15"/>
                <w:szCs w:val="15"/>
                <w:color w:val="auto"/>
              </w:rPr>
            </w:pP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PSUs</w:t>
            </w:r>
          </w:p>
        </w:tc>
        <w:tc>
          <w:tcPr>
            <w:tcW w:w="240" w:type="dxa"/>
            <w:vAlign w:val="bottom"/>
            <w:shd w:val="clear" w:color="auto" w:fill="F4F3F3"/>
          </w:tcPr>
          <w:p>
            <w:pPr>
              <w:spacing w:after="0"/>
              <w:rPr>
                <w:sz w:val="15"/>
                <w:szCs w:val="15"/>
                <w:color w:val="auto"/>
              </w:rPr>
            </w:pPr>
          </w:p>
        </w:tc>
        <w:tc>
          <w:tcPr>
            <w:tcW w:w="900" w:type="dxa"/>
            <w:vAlign w:val="bottom"/>
            <w:tcBorders>
              <w:right w:val="single" w:sz="8" w:color="F4F3F3"/>
            </w:tcBorders>
            <w:shd w:val="clear" w:color="auto" w:fill="F4F3F3"/>
          </w:tcPr>
          <w:p>
            <w:pPr>
              <w:ind w:left="30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220" w:type="dxa"/>
            <w:vAlign w:val="bottom"/>
            <w:shd w:val="clear" w:color="auto" w:fill="F4F3F3"/>
          </w:tcPr>
          <w:p>
            <w:pPr>
              <w:spacing w:after="0"/>
              <w:rPr>
                <w:sz w:val="15"/>
                <w:szCs w:val="15"/>
                <w:color w:val="auto"/>
              </w:rPr>
            </w:pPr>
          </w:p>
        </w:tc>
        <w:tc>
          <w:tcPr>
            <w:tcW w:w="700" w:type="dxa"/>
            <w:vAlign w:val="bottom"/>
            <w:shd w:val="clear" w:color="auto" w:fill="F4F3F3"/>
          </w:tcPr>
          <w:p>
            <w:pPr>
              <w:jc w:val="right"/>
              <w:ind w:right="169"/>
              <w:spacing w:after="0"/>
              <w:rPr>
                <w:sz w:val="20"/>
                <w:szCs w:val="20"/>
                <w:color w:val="auto"/>
              </w:rPr>
            </w:pPr>
            <w:r>
              <w:rPr>
                <w:rFonts w:ascii="Arial" w:cs="Arial" w:eastAsia="Arial" w:hAnsi="Arial"/>
                <w:sz w:val="14"/>
                <w:szCs w:val="14"/>
                <w:color w:val="auto"/>
              </w:rPr>
              <w:t>—</w:t>
            </w:r>
          </w:p>
        </w:tc>
        <w:tc>
          <w:tcPr>
            <w:tcW w:w="240" w:type="dxa"/>
            <w:vAlign w:val="bottom"/>
            <w:shd w:val="clear" w:color="auto" w:fill="F4F3F3"/>
          </w:tcPr>
          <w:p>
            <w:pPr>
              <w:spacing w:after="0"/>
              <w:rPr>
                <w:sz w:val="15"/>
                <w:szCs w:val="15"/>
                <w:color w:val="auto"/>
              </w:rPr>
            </w:pPr>
          </w:p>
        </w:tc>
        <w:tc>
          <w:tcPr>
            <w:tcW w:w="660" w:type="dxa"/>
            <w:vAlign w:val="bottom"/>
            <w:shd w:val="clear" w:color="auto" w:fill="F4F3F3"/>
          </w:tcPr>
          <w:p>
            <w:pPr>
              <w:spacing w:after="0"/>
              <w:rPr>
                <w:sz w:val="15"/>
                <w:szCs w:val="15"/>
                <w:color w:val="auto"/>
              </w:rPr>
            </w:pPr>
          </w:p>
        </w:tc>
        <w:tc>
          <w:tcPr>
            <w:tcW w:w="220" w:type="dxa"/>
            <w:vAlign w:val="bottom"/>
            <w:shd w:val="clear" w:color="auto" w:fill="F4F3F3"/>
          </w:tcPr>
          <w:p>
            <w:pPr>
              <w:spacing w:after="0"/>
              <w:rPr>
                <w:sz w:val="15"/>
                <w:szCs w:val="15"/>
                <w:color w:val="auto"/>
              </w:rPr>
            </w:pPr>
          </w:p>
        </w:tc>
        <w:tc>
          <w:tcPr>
            <w:tcW w:w="1080" w:type="dxa"/>
            <w:vAlign w:val="bottom"/>
            <w:shd w:val="clear" w:color="auto" w:fill="F4F3F3"/>
          </w:tcPr>
          <w:p>
            <w:pPr>
              <w:jc w:val="right"/>
              <w:ind w:right="350"/>
              <w:spacing w:after="0"/>
              <w:rPr>
                <w:sz w:val="20"/>
                <w:szCs w:val="20"/>
                <w:color w:val="auto"/>
              </w:rPr>
            </w:pPr>
            <w:r>
              <w:rPr>
                <w:rFonts w:ascii="Arial" w:cs="Arial" w:eastAsia="Arial" w:hAnsi="Arial"/>
                <w:sz w:val="14"/>
                <w:szCs w:val="14"/>
                <w:color w:val="auto"/>
              </w:rPr>
              <w:t>—</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F4F3F3"/>
          </w:tcPr>
          <w:p>
            <w:pPr>
              <w:jc w:val="right"/>
              <w:ind w:right="30"/>
              <w:spacing w:after="0"/>
              <w:rPr>
                <w:sz w:val="20"/>
                <w:szCs w:val="20"/>
                <w:color w:val="auto"/>
              </w:rPr>
            </w:pPr>
            <w:r>
              <w:rPr>
                <w:rFonts w:ascii="Arial" w:cs="Arial" w:eastAsia="Arial" w:hAnsi="Arial"/>
                <w:sz w:val="14"/>
                <w:szCs w:val="14"/>
                <w:color w:val="auto"/>
              </w:rPr>
              <w:t>42,465(7)</w:t>
            </w:r>
          </w:p>
        </w:tc>
        <w:tc>
          <w:tcPr>
            <w:tcW w:w="106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5,763,774</w:t>
            </w:r>
          </w:p>
        </w:tc>
        <w:tc>
          <w:tcPr>
            <w:tcW w:w="0" w:type="dxa"/>
            <w:vAlign w:val="bottom"/>
          </w:tcPr>
          <w:p>
            <w:pPr>
              <w:spacing w:after="0"/>
              <w:rPr>
                <w:sz w:val="1"/>
                <w:szCs w:val="1"/>
                <w:color w:val="auto"/>
              </w:rPr>
            </w:pPr>
          </w:p>
        </w:tc>
      </w:tr>
      <w:tr>
        <w:trPr>
          <w:trHeight w:val="175"/>
        </w:trPr>
        <w:tc>
          <w:tcPr>
            <w:tcW w:w="1300" w:type="dxa"/>
            <w:vAlign w:val="bottom"/>
            <w:shd w:val="clear" w:color="auto" w:fill="F4F3F3"/>
          </w:tcPr>
          <w:p>
            <w:pPr>
              <w:ind w:left="180"/>
              <w:spacing w:after="0"/>
              <w:rPr>
                <w:sz w:val="20"/>
                <w:szCs w:val="20"/>
                <w:color w:val="auto"/>
              </w:rPr>
            </w:pPr>
            <w:r>
              <w:rPr>
                <w:rFonts w:ascii="Arial" w:cs="Arial" w:eastAsia="Arial" w:hAnsi="Arial"/>
                <w:sz w:val="14"/>
                <w:szCs w:val="14"/>
                <w:color w:val="998C87"/>
              </w:rPr>
              <w:t>Mr. Capuano</w:t>
            </w:r>
          </w:p>
        </w:tc>
        <w:tc>
          <w:tcPr>
            <w:tcW w:w="220" w:type="dxa"/>
            <w:vAlign w:val="bottom"/>
            <w:shd w:val="clear" w:color="auto" w:fill="F4F3F3"/>
          </w:tcPr>
          <w:p>
            <w:pPr>
              <w:spacing w:after="0"/>
              <w:rPr>
                <w:sz w:val="15"/>
                <w:szCs w:val="15"/>
                <w:color w:val="auto"/>
              </w:rPr>
            </w:pPr>
          </w:p>
        </w:tc>
        <w:tc>
          <w:tcPr>
            <w:tcW w:w="670" w:type="dxa"/>
            <w:vAlign w:val="bottom"/>
            <w:shd w:val="clear" w:color="auto" w:fill="F4F3F3"/>
          </w:tcPr>
          <w:p>
            <w:pPr>
              <w:jc w:val="right"/>
              <w:ind w:right="99"/>
              <w:spacing w:after="0"/>
              <w:rPr>
                <w:sz w:val="20"/>
                <w:szCs w:val="20"/>
                <w:color w:val="auto"/>
              </w:rPr>
            </w:pPr>
            <w:r>
              <w:rPr>
                <w:rFonts w:ascii="Arial" w:cs="Arial" w:eastAsia="Arial" w:hAnsi="Arial"/>
                <w:sz w:val="14"/>
                <w:szCs w:val="14"/>
                <w:color w:val="auto"/>
              </w:rPr>
              <w:t>2/21/12</w:t>
            </w: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SARs</w:t>
            </w:r>
          </w:p>
        </w:tc>
        <w:tc>
          <w:tcPr>
            <w:tcW w:w="240" w:type="dxa"/>
            <w:vAlign w:val="bottom"/>
            <w:shd w:val="clear" w:color="auto" w:fill="F4F3F3"/>
          </w:tcPr>
          <w:p>
            <w:pPr>
              <w:spacing w:after="0"/>
              <w:rPr>
                <w:sz w:val="15"/>
                <w:szCs w:val="15"/>
                <w:color w:val="auto"/>
              </w:rPr>
            </w:pPr>
          </w:p>
        </w:tc>
        <w:tc>
          <w:tcPr>
            <w:tcW w:w="900" w:type="dxa"/>
            <w:vAlign w:val="bottom"/>
            <w:tcBorders>
              <w:right w:val="single" w:sz="8" w:color="F4F3F3"/>
            </w:tcBorders>
            <w:shd w:val="clear" w:color="auto" w:fill="F4F3F3"/>
          </w:tcPr>
          <w:p>
            <w:pPr>
              <w:jc w:val="right"/>
              <w:ind w:right="310"/>
              <w:spacing w:after="0"/>
              <w:rPr>
                <w:sz w:val="20"/>
                <w:szCs w:val="20"/>
                <w:color w:val="auto"/>
              </w:rPr>
            </w:pPr>
            <w:r>
              <w:rPr>
                <w:rFonts w:ascii="Arial" w:cs="Arial" w:eastAsia="Arial" w:hAnsi="Arial"/>
                <w:sz w:val="14"/>
                <w:szCs w:val="14"/>
                <w:color w:val="auto"/>
              </w:rPr>
              <w:t>32,762</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220" w:type="dxa"/>
            <w:vAlign w:val="bottom"/>
            <w:shd w:val="clear" w:color="auto" w:fill="F4F3F3"/>
          </w:tcPr>
          <w:p>
            <w:pPr>
              <w:spacing w:after="0"/>
              <w:rPr>
                <w:sz w:val="15"/>
                <w:szCs w:val="15"/>
                <w:color w:val="auto"/>
              </w:rPr>
            </w:pPr>
          </w:p>
        </w:tc>
        <w:tc>
          <w:tcPr>
            <w:tcW w:w="700" w:type="dxa"/>
            <w:vAlign w:val="bottom"/>
            <w:shd w:val="clear" w:color="auto" w:fill="F4F3F3"/>
          </w:tcPr>
          <w:p>
            <w:pPr>
              <w:jc w:val="right"/>
              <w:ind w:right="89"/>
              <w:spacing w:after="0"/>
              <w:rPr>
                <w:sz w:val="20"/>
                <w:szCs w:val="20"/>
                <w:color w:val="auto"/>
              </w:rPr>
            </w:pPr>
            <w:r>
              <w:rPr>
                <w:rFonts w:ascii="Arial" w:cs="Arial" w:eastAsia="Arial" w:hAnsi="Arial"/>
                <w:sz w:val="14"/>
                <w:szCs w:val="14"/>
                <w:color w:val="auto"/>
              </w:rPr>
              <w:t>34.67</w:t>
            </w:r>
          </w:p>
        </w:tc>
        <w:tc>
          <w:tcPr>
            <w:tcW w:w="900" w:type="dxa"/>
            <w:vAlign w:val="bottom"/>
            <w:gridSpan w:val="2"/>
            <w:shd w:val="clear" w:color="auto" w:fill="F4F3F3"/>
          </w:tcPr>
          <w:p>
            <w:pPr>
              <w:jc w:val="right"/>
              <w:ind w:right="111"/>
              <w:spacing w:after="0"/>
              <w:rPr>
                <w:sz w:val="20"/>
                <w:szCs w:val="20"/>
                <w:color w:val="auto"/>
              </w:rPr>
            </w:pPr>
            <w:r>
              <w:rPr>
                <w:rFonts w:ascii="Arial" w:cs="Arial" w:eastAsia="Arial" w:hAnsi="Arial"/>
                <w:sz w:val="14"/>
                <w:szCs w:val="14"/>
                <w:color w:val="auto"/>
              </w:rPr>
              <w:t>2/21/22</w:t>
            </w:r>
          </w:p>
        </w:tc>
        <w:tc>
          <w:tcPr>
            <w:tcW w:w="1300" w:type="dxa"/>
            <w:vAlign w:val="bottom"/>
            <w:gridSpan w:val="2"/>
            <w:shd w:val="clear" w:color="auto" w:fill="F4F3F3"/>
          </w:tcPr>
          <w:p>
            <w:pPr>
              <w:jc w:val="right"/>
              <w:ind w:right="270"/>
              <w:spacing w:after="0"/>
              <w:rPr>
                <w:sz w:val="20"/>
                <w:szCs w:val="20"/>
                <w:color w:val="auto"/>
              </w:rPr>
            </w:pPr>
            <w:r>
              <w:rPr>
                <w:rFonts w:ascii="Arial" w:cs="Arial" w:eastAsia="Arial" w:hAnsi="Arial"/>
                <w:sz w:val="14"/>
                <w:szCs w:val="14"/>
                <w:color w:val="auto"/>
              </w:rPr>
              <w:t>3,310,928</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F4F3F3"/>
          </w:tcPr>
          <w:p>
            <w:pPr>
              <w:spacing w:after="0"/>
              <w:rPr>
                <w:sz w:val="15"/>
                <w:szCs w:val="15"/>
                <w:color w:val="auto"/>
              </w:rPr>
            </w:pPr>
          </w:p>
        </w:tc>
        <w:tc>
          <w:tcPr>
            <w:tcW w:w="940" w:type="dxa"/>
            <w:vAlign w:val="bottom"/>
            <w:shd w:val="clear" w:color="auto" w:fill="F4F3F3"/>
          </w:tcPr>
          <w:p>
            <w:pPr>
              <w:jc w:val="right"/>
              <w:ind w:right="290"/>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300" w:type="dxa"/>
            <w:vAlign w:val="bottom"/>
            <w:shd w:val="clear" w:color="auto" w:fill="F4F3F3"/>
          </w:tcPr>
          <w:p>
            <w:pPr>
              <w:spacing w:after="0"/>
              <w:rPr>
                <w:sz w:val="14"/>
                <w:szCs w:val="14"/>
                <w:color w:val="auto"/>
              </w:rPr>
            </w:pPr>
          </w:p>
        </w:tc>
        <w:tc>
          <w:tcPr>
            <w:tcW w:w="220" w:type="dxa"/>
            <w:vAlign w:val="bottom"/>
            <w:shd w:val="clear" w:color="auto" w:fill="F4F3F3"/>
          </w:tcPr>
          <w:p>
            <w:pPr>
              <w:spacing w:after="0"/>
              <w:rPr>
                <w:sz w:val="14"/>
                <w:szCs w:val="14"/>
                <w:color w:val="auto"/>
              </w:rPr>
            </w:pPr>
          </w:p>
        </w:tc>
        <w:tc>
          <w:tcPr>
            <w:tcW w:w="670" w:type="dxa"/>
            <w:vAlign w:val="bottom"/>
            <w:shd w:val="clear" w:color="auto" w:fill="F4F3F3"/>
          </w:tcPr>
          <w:p>
            <w:pPr>
              <w:jc w:val="right"/>
              <w:ind w:right="99"/>
              <w:spacing w:after="0"/>
              <w:rPr>
                <w:sz w:val="20"/>
                <w:szCs w:val="20"/>
                <w:color w:val="auto"/>
              </w:rPr>
            </w:pPr>
            <w:r>
              <w:rPr>
                <w:rFonts w:ascii="Arial" w:cs="Arial" w:eastAsia="Arial" w:hAnsi="Arial"/>
                <w:sz w:val="14"/>
                <w:szCs w:val="14"/>
                <w:color w:val="auto"/>
              </w:rPr>
              <w:t>2/22/13</w:t>
            </w: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SARs</w:t>
            </w:r>
          </w:p>
        </w:tc>
        <w:tc>
          <w:tcPr>
            <w:tcW w:w="240" w:type="dxa"/>
            <w:vAlign w:val="bottom"/>
            <w:shd w:val="clear" w:color="auto" w:fill="F4F3F3"/>
          </w:tcPr>
          <w:p>
            <w:pPr>
              <w:spacing w:after="0"/>
              <w:rPr>
                <w:sz w:val="14"/>
                <w:szCs w:val="14"/>
                <w:color w:val="auto"/>
              </w:rPr>
            </w:pPr>
          </w:p>
        </w:tc>
        <w:tc>
          <w:tcPr>
            <w:tcW w:w="900" w:type="dxa"/>
            <w:vAlign w:val="bottom"/>
            <w:tcBorders>
              <w:right w:val="single" w:sz="8" w:color="F4F3F3"/>
            </w:tcBorders>
            <w:shd w:val="clear" w:color="auto" w:fill="F4F3F3"/>
          </w:tcPr>
          <w:p>
            <w:pPr>
              <w:jc w:val="right"/>
              <w:ind w:right="310"/>
              <w:spacing w:after="0"/>
              <w:rPr>
                <w:sz w:val="20"/>
                <w:szCs w:val="20"/>
                <w:color w:val="auto"/>
              </w:rPr>
            </w:pPr>
            <w:r>
              <w:rPr>
                <w:rFonts w:ascii="Arial" w:cs="Arial" w:eastAsia="Arial" w:hAnsi="Arial"/>
                <w:sz w:val="14"/>
                <w:szCs w:val="14"/>
                <w:color w:val="auto"/>
              </w:rPr>
              <w:t>45,804</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20" w:type="dxa"/>
            <w:vAlign w:val="bottom"/>
            <w:shd w:val="clear" w:color="auto" w:fill="F4F3F3"/>
          </w:tcPr>
          <w:p>
            <w:pPr>
              <w:spacing w:after="0"/>
              <w:rPr>
                <w:sz w:val="14"/>
                <w:szCs w:val="14"/>
                <w:color w:val="auto"/>
              </w:rPr>
            </w:pPr>
          </w:p>
        </w:tc>
        <w:tc>
          <w:tcPr>
            <w:tcW w:w="700" w:type="dxa"/>
            <w:vAlign w:val="bottom"/>
            <w:shd w:val="clear" w:color="auto" w:fill="F4F3F3"/>
          </w:tcPr>
          <w:p>
            <w:pPr>
              <w:jc w:val="right"/>
              <w:ind w:right="89"/>
              <w:spacing w:after="0"/>
              <w:rPr>
                <w:sz w:val="20"/>
                <w:szCs w:val="20"/>
                <w:color w:val="auto"/>
              </w:rPr>
            </w:pPr>
            <w:r>
              <w:rPr>
                <w:rFonts w:ascii="Arial" w:cs="Arial" w:eastAsia="Arial" w:hAnsi="Arial"/>
                <w:sz w:val="14"/>
                <w:szCs w:val="14"/>
                <w:color w:val="auto"/>
              </w:rPr>
              <w:t>39.27</w:t>
            </w:r>
          </w:p>
        </w:tc>
        <w:tc>
          <w:tcPr>
            <w:tcW w:w="900" w:type="dxa"/>
            <w:vAlign w:val="bottom"/>
            <w:gridSpan w:val="2"/>
            <w:shd w:val="clear" w:color="auto" w:fill="F4F3F3"/>
          </w:tcPr>
          <w:p>
            <w:pPr>
              <w:jc w:val="right"/>
              <w:ind w:right="111"/>
              <w:spacing w:after="0"/>
              <w:rPr>
                <w:sz w:val="20"/>
                <w:szCs w:val="20"/>
                <w:color w:val="auto"/>
              </w:rPr>
            </w:pPr>
            <w:r>
              <w:rPr>
                <w:rFonts w:ascii="Arial" w:cs="Arial" w:eastAsia="Arial" w:hAnsi="Arial"/>
                <w:sz w:val="14"/>
                <w:szCs w:val="14"/>
                <w:color w:val="auto"/>
              </w:rPr>
              <w:t>2/22/23</w:t>
            </w:r>
          </w:p>
        </w:tc>
        <w:tc>
          <w:tcPr>
            <w:tcW w:w="1300" w:type="dxa"/>
            <w:vAlign w:val="bottom"/>
            <w:gridSpan w:val="2"/>
            <w:shd w:val="clear" w:color="auto" w:fill="F4F3F3"/>
          </w:tcPr>
          <w:p>
            <w:pPr>
              <w:jc w:val="right"/>
              <w:ind w:right="270"/>
              <w:spacing w:after="0"/>
              <w:rPr>
                <w:sz w:val="20"/>
                <w:szCs w:val="20"/>
                <w:color w:val="auto"/>
              </w:rPr>
            </w:pPr>
            <w:r>
              <w:rPr>
                <w:rFonts w:ascii="Arial" w:cs="Arial" w:eastAsia="Arial" w:hAnsi="Arial"/>
                <w:sz w:val="14"/>
                <w:szCs w:val="14"/>
                <w:color w:val="auto"/>
              </w:rPr>
              <w:t>4,418,254</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F4F3F3"/>
          </w:tcPr>
          <w:p>
            <w:pPr>
              <w:spacing w:after="0"/>
              <w:rPr>
                <w:sz w:val="14"/>
                <w:szCs w:val="14"/>
                <w:color w:val="auto"/>
              </w:rPr>
            </w:pPr>
          </w:p>
        </w:tc>
        <w:tc>
          <w:tcPr>
            <w:tcW w:w="940" w:type="dxa"/>
            <w:vAlign w:val="bottom"/>
            <w:shd w:val="clear" w:color="auto" w:fill="F4F3F3"/>
          </w:tcPr>
          <w:p>
            <w:pPr>
              <w:jc w:val="right"/>
              <w:ind w:right="290"/>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300" w:type="dxa"/>
            <w:vAlign w:val="bottom"/>
            <w:shd w:val="clear" w:color="auto" w:fill="F4F3F3"/>
          </w:tcPr>
          <w:p>
            <w:pPr>
              <w:spacing w:after="0"/>
              <w:rPr>
                <w:sz w:val="14"/>
                <w:szCs w:val="14"/>
                <w:color w:val="auto"/>
              </w:rPr>
            </w:pPr>
          </w:p>
        </w:tc>
        <w:tc>
          <w:tcPr>
            <w:tcW w:w="220" w:type="dxa"/>
            <w:vAlign w:val="bottom"/>
            <w:shd w:val="clear" w:color="auto" w:fill="F4F3F3"/>
          </w:tcPr>
          <w:p>
            <w:pPr>
              <w:spacing w:after="0"/>
              <w:rPr>
                <w:sz w:val="14"/>
                <w:szCs w:val="14"/>
                <w:color w:val="auto"/>
              </w:rPr>
            </w:pPr>
          </w:p>
        </w:tc>
        <w:tc>
          <w:tcPr>
            <w:tcW w:w="670" w:type="dxa"/>
            <w:vAlign w:val="bottom"/>
            <w:shd w:val="clear" w:color="auto" w:fill="F4F3F3"/>
          </w:tcPr>
          <w:p>
            <w:pPr>
              <w:jc w:val="right"/>
              <w:ind w:right="99"/>
              <w:spacing w:after="0"/>
              <w:rPr>
                <w:sz w:val="20"/>
                <w:szCs w:val="20"/>
                <w:color w:val="auto"/>
              </w:rPr>
            </w:pPr>
            <w:r>
              <w:rPr>
                <w:rFonts w:ascii="Arial" w:cs="Arial" w:eastAsia="Arial" w:hAnsi="Arial"/>
                <w:sz w:val="14"/>
                <w:szCs w:val="14"/>
                <w:color w:val="auto"/>
              </w:rPr>
              <w:t>2/24/14</w:t>
            </w: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SARs</w:t>
            </w:r>
          </w:p>
        </w:tc>
        <w:tc>
          <w:tcPr>
            <w:tcW w:w="240" w:type="dxa"/>
            <w:vAlign w:val="bottom"/>
            <w:shd w:val="clear" w:color="auto" w:fill="F4F3F3"/>
          </w:tcPr>
          <w:p>
            <w:pPr>
              <w:spacing w:after="0"/>
              <w:rPr>
                <w:sz w:val="14"/>
                <w:szCs w:val="14"/>
                <w:color w:val="auto"/>
              </w:rPr>
            </w:pPr>
          </w:p>
        </w:tc>
        <w:tc>
          <w:tcPr>
            <w:tcW w:w="900" w:type="dxa"/>
            <w:vAlign w:val="bottom"/>
            <w:tcBorders>
              <w:right w:val="single" w:sz="8" w:color="F4F3F3"/>
            </w:tcBorders>
            <w:shd w:val="clear" w:color="auto" w:fill="F4F3F3"/>
          </w:tcPr>
          <w:p>
            <w:pPr>
              <w:jc w:val="right"/>
              <w:ind w:right="310"/>
              <w:spacing w:after="0"/>
              <w:rPr>
                <w:sz w:val="20"/>
                <w:szCs w:val="20"/>
                <w:color w:val="auto"/>
              </w:rPr>
            </w:pPr>
            <w:r>
              <w:rPr>
                <w:rFonts w:ascii="Arial" w:cs="Arial" w:eastAsia="Arial" w:hAnsi="Arial"/>
                <w:sz w:val="14"/>
                <w:szCs w:val="14"/>
                <w:color w:val="auto"/>
              </w:rPr>
              <w:t>31,578</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20" w:type="dxa"/>
            <w:vAlign w:val="bottom"/>
            <w:shd w:val="clear" w:color="auto" w:fill="F4F3F3"/>
          </w:tcPr>
          <w:p>
            <w:pPr>
              <w:spacing w:after="0"/>
              <w:rPr>
                <w:sz w:val="14"/>
                <w:szCs w:val="14"/>
                <w:color w:val="auto"/>
              </w:rPr>
            </w:pPr>
          </w:p>
        </w:tc>
        <w:tc>
          <w:tcPr>
            <w:tcW w:w="700" w:type="dxa"/>
            <w:vAlign w:val="bottom"/>
            <w:shd w:val="clear" w:color="auto" w:fill="F4F3F3"/>
          </w:tcPr>
          <w:p>
            <w:pPr>
              <w:jc w:val="right"/>
              <w:ind w:right="89"/>
              <w:spacing w:after="0"/>
              <w:rPr>
                <w:sz w:val="20"/>
                <w:szCs w:val="20"/>
                <w:color w:val="auto"/>
              </w:rPr>
            </w:pPr>
            <w:r>
              <w:rPr>
                <w:rFonts w:ascii="Arial" w:cs="Arial" w:eastAsia="Arial" w:hAnsi="Arial"/>
                <w:sz w:val="14"/>
                <w:szCs w:val="14"/>
                <w:color w:val="auto"/>
              </w:rPr>
              <w:t>53.25</w:t>
            </w:r>
          </w:p>
        </w:tc>
        <w:tc>
          <w:tcPr>
            <w:tcW w:w="900" w:type="dxa"/>
            <w:vAlign w:val="bottom"/>
            <w:gridSpan w:val="2"/>
            <w:shd w:val="clear" w:color="auto" w:fill="F4F3F3"/>
          </w:tcPr>
          <w:p>
            <w:pPr>
              <w:jc w:val="right"/>
              <w:ind w:right="111"/>
              <w:spacing w:after="0"/>
              <w:rPr>
                <w:sz w:val="20"/>
                <w:szCs w:val="20"/>
                <w:color w:val="auto"/>
              </w:rPr>
            </w:pPr>
            <w:r>
              <w:rPr>
                <w:rFonts w:ascii="Arial" w:cs="Arial" w:eastAsia="Arial" w:hAnsi="Arial"/>
                <w:sz w:val="14"/>
                <w:szCs w:val="14"/>
                <w:color w:val="auto"/>
              </w:rPr>
              <w:t>2/24/24</w:t>
            </w:r>
          </w:p>
        </w:tc>
        <w:tc>
          <w:tcPr>
            <w:tcW w:w="1300" w:type="dxa"/>
            <w:vAlign w:val="bottom"/>
            <w:gridSpan w:val="2"/>
            <w:shd w:val="clear" w:color="auto" w:fill="F4F3F3"/>
          </w:tcPr>
          <w:p>
            <w:pPr>
              <w:jc w:val="right"/>
              <w:ind w:right="270"/>
              <w:spacing w:after="0"/>
              <w:rPr>
                <w:sz w:val="20"/>
                <w:szCs w:val="20"/>
                <w:color w:val="auto"/>
              </w:rPr>
            </w:pPr>
            <w:r>
              <w:rPr>
                <w:rFonts w:ascii="Arial" w:cs="Arial" w:eastAsia="Arial" w:hAnsi="Arial"/>
                <w:sz w:val="14"/>
                <w:szCs w:val="14"/>
                <w:color w:val="auto"/>
              </w:rPr>
              <w:t>2,604,553</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F4F3F3"/>
          </w:tcPr>
          <w:p>
            <w:pPr>
              <w:spacing w:after="0"/>
              <w:rPr>
                <w:sz w:val="14"/>
                <w:szCs w:val="14"/>
                <w:color w:val="auto"/>
              </w:rPr>
            </w:pPr>
          </w:p>
        </w:tc>
        <w:tc>
          <w:tcPr>
            <w:tcW w:w="940" w:type="dxa"/>
            <w:vAlign w:val="bottom"/>
            <w:shd w:val="clear" w:color="auto" w:fill="F4F3F3"/>
          </w:tcPr>
          <w:p>
            <w:pPr>
              <w:jc w:val="right"/>
              <w:ind w:right="290"/>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300" w:type="dxa"/>
            <w:vAlign w:val="bottom"/>
            <w:shd w:val="clear" w:color="auto" w:fill="F4F3F3"/>
          </w:tcPr>
          <w:p>
            <w:pPr>
              <w:spacing w:after="0"/>
              <w:rPr>
                <w:sz w:val="14"/>
                <w:szCs w:val="14"/>
                <w:color w:val="auto"/>
              </w:rPr>
            </w:pPr>
          </w:p>
        </w:tc>
        <w:tc>
          <w:tcPr>
            <w:tcW w:w="220" w:type="dxa"/>
            <w:vAlign w:val="bottom"/>
            <w:shd w:val="clear" w:color="auto" w:fill="F4F3F3"/>
          </w:tcPr>
          <w:p>
            <w:pPr>
              <w:spacing w:after="0"/>
              <w:rPr>
                <w:sz w:val="14"/>
                <w:szCs w:val="14"/>
                <w:color w:val="auto"/>
              </w:rPr>
            </w:pPr>
          </w:p>
        </w:tc>
        <w:tc>
          <w:tcPr>
            <w:tcW w:w="670" w:type="dxa"/>
            <w:vAlign w:val="bottom"/>
            <w:shd w:val="clear" w:color="auto" w:fill="F4F3F3"/>
          </w:tcPr>
          <w:p>
            <w:pPr>
              <w:jc w:val="right"/>
              <w:ind w:right="99"/>
              <w:spacing w:after="0"/>
              <w:rPr>
                <w:sz w:val="20"/>
                <w:szCs w:val="20"/>
                <w:color w:val="auto"/>
              </w:rPr>
            </w:pPr>
            <w:r>
              <w:rPr>
                <w:rFonts w:ascii="Arial" w:cs="Arial" w:eastAsia="Arial" w:hAnsi="Arial"/>
                <w:sz w:val="14"/>
                <w:szCs w:val="14"/>
                <w:color w:val="auto"/>
              </w:rPr>
              <w:t>2/23/15</w:t>
            </w: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SARs</w:t>
            </w:r>
          </w:p>
        </w:tc>
        <w:tc>
          <w:tcPr>
            <w:tcW w:w="240" w:type="dxa"/>
            <w:vAlign w:val="bottom"/>
            <w:shd w:val="clear" w:color="auto" w:fill="F4F3F3"/>
          </w:tcPr>
          <w:p>
            <w:pPr>
              <w:spacing w:after="0"/>
              <w:rPr>
                <w:sz w:val="14"/>
                <w:szCs w:val="14"/>
                <w:color w:val="auto"/>
              </w:rPr>
            </w:pPr>
          </w:p>
        </w:tc>
        <w:tc>
          <w:tcPr>
            <w:tcW w:w="900" w:type="dxa"/>
            <w:vAlign w:val="bottom"/>
            <w:tcBorders>
              <w:right w:val="single" w:sz="8" w:color="F4F3F3"/>
            </w:tcBorders>
            <w:shd w:val="clear" w:color="auto" w:fill="F4F3F3"/>
          </w:tcPr>
          <w:p>
            <w:pPr>
              <w:jc w:val="right"/>
              <w:ind w:right="310"/>
              <w:spacing w:after="0"/>
              <w:rPr>
                <w:sz w:val="20"/>
                <w:szCs w:val="20"/>
                <w:color w:val="auto"/>
              </w:rPr>
            </w:pPr>
            <w:r>
              <w:rPr>
                <w:rFonts w:ascii="Arial" w:cs="Arial" w:eastAsia="Arial" w:hAnsi="Arial"/>
                <w:sz w:val="14"/>
                <w:szCs w:val="14"/>
                <w:color w:val="auto"/>
              </w:rPr>
              <w:t>15,410</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7,705(2)</w:t>
            </w:r>
          </w:p>
        </w:tc>
        <w:tc>
          <w:tcPr>
            <w:tcW w:w="220" w:type="dxa"/>
            <w:vAlign w:val="bottom"/>
            <w:shd w:val="clear" w:color="auto" w:fill="F4F3F3"/>
          </w:tcPr>
          <w:p>
            <w:pPr>
              <w:spacing w:after="0"/>
              <w:rPr>
                <w:sz w:val="14"/>
                <w:szCs w:val="14"/>
                <w:color w:val="auto"/>
              </w:rPr>
            </w:pPr>
          </w:p>
        </w:tc>
        <w:tc>
          <w:tcPr>
            <w:tcW w:w="700" w:type="dxa"/>
            <w:vAlign w:val="bottom"/>
            <w:shd w:val="clear" w:color="auto" w:fill="F4F3F3"/>
          </w:tcPr>
          <w:p>
            <w:pPr>
              <w:jc w:val="right"/>
              <w:ind w:right="89"/>
              <w:spacing w:after="0"/>
              <w:rPr>
                <w:sz w:val="20"/>
                <w:szCs w:val="20"/>
                <w:color w:val="auto"/>
              </w:rPr>
            </w:pPr>
            <w:r>
              <w:rPr>
                <w:rFonts w:ascii="Arial" w:cs="Arial" w:eastAsia="Arial" w:hAnsi="Arial"/>
                <w:sz w:val="14"/>
                <w:szCs w:val="14"/>
                <w:color w:val="auto"/>
              </w:rPr>
              <w:t>82.67</w:t>
            </w:r>
          </w:p>
        </w:tc>
        <w:tc>
          <w:tcPr>
            <w:tcW w:w="900" w:type="dxa"/>
            <w:vAlign w:val="bottom"/>
            <w:gridSpan w:val="2"/>
            <w:shd w:val="clear" w:color="auto" w:fill="F4F3F3"/>
          </w:tcPr>
          <w:p>
            <w:pPr>
              <w:jc w:val="right"/>
              <w:ind w:right="111"/>
              <w:spacing w:after="0"/>
              <w:rPr>
                <w:sz w:val="20"/>
                <w:szCs w:val="20"/>
                <w:color w:val="auto"/>
              </w:rPr>
            </w:pPr>
            <w:r>
              <w:rPr>
                <w:rFonts w:ascii="Arial" w:cs="Arial" w:eastAsia="Arial" w:hAnsi="Arial"/>
                <w:sz w:val="14"/>
                <w:szCs w:val="14"/>
                <w:color w:val="auto"/>
              </w:rPr>
              <w:t>2/23/25</w:t>
            </w:r>
          </w:p>
        </w:tc>
        <w:tc>
          <w:tcPr>
            <w:tcW w:w="1300" w:type="dxa"/>
            <w:vAlign w:val="bottom"/>
            <w:gridSpan w:val="2"/>
            <w:shd w:val="clear" w:color="auto" w:fill="F4F3F3"/>
          </w:tcPr>
          <w:p>
            <w:pPr>
              <w:jc w:val="right"/>
              <w:ind w:right="270"/>
              <w:spacing w:after="0"/>
              <w:rPr>
                <w:sz w:val="20"/>
                <w:szCs w:val="20"/>
                <w:color w:val="auto"/>
              </w:rPr>
            </w:pPr>
            <w:r>
              <w:rPr>
                <w:rFonts w:ascii="Arial" w:cs="Arial" w:eastAsia="Arial" w:hAnsi="Arial"/>
                <w:sz w:val="14"/>
                <w:szCs w:val="14"/>
                <w:color w:val="auto"/>
              </w:rPr>
              <w:t>817,655</w:t>
            </w:r>
          </w:p>
        </w:tc>
        <w:tc>
          <w:tcPr>
            <w:tcW w:w="700" w:type="dxa"/>
            <w:vAlign w:val="bottom"/>
            <w:shd w:val="clear" w:color="auto" w:fill="F4F3F3"/>
          </w:tcPr>
          <w:p>
            <w:pPr>
              <w:jc w:val="right"/>
              <w:spacing w:after="0"/>
              <w:rPr>
                <w:sz w:val="20"/>
                <w:szCs w:val="20"/>
                <w:color w:val="auto"/>
              </w:rPr>
            </w:pPr>
            <w:r>
              <w:rPr>
                <w:rFonts w:ascii="Arial" w:cs="Arial" w:eastAsia="Arial" w:hAnsi="Arial"/>
                <w:sz w:val="14"/>
                <w:szCs w:val="14"/>
                <w:color w:val="auto"/>
              </w:rPr>
              <w:t>408,827</w:t>
            </w:r>
          </w:p>
        </w:tc>
        <w:tc>
          <w:tcPr>
            <w:tcW w:w="180" w:type="dxa"/>
            <w:vAlign w:val="bottom"/>
            <w:shd w:val="clear" w:color="auto" w:fill="F4F3F3"/>
          </w:tcPr>
          <w:p>
            <w:pPr>
              <w:spacing w:after="0"/>
              <w:rPr>
                <w:sz w:val="14"/>
                <w:szCs w:val="14"/>
                <w:color w:val="auto"/>
              </w:rPr>
            </w:pPr>
          </w:p>
        </w:tc>
        <w:tc>
          <w:tcPr>
            <w:tcW w:w="940" w:type="dxa"/>
            <w:vAlign w:val="bottom"/>
            <w:shd w:val="clear" w:color="auto" w:fill="F4F3F3"/>
          </w:tcPr>
          <w:p>
            <w:pPr>
              <w:jc w:val="right"/>
              <w:ind w:right="290"/>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300" w:type="dxa"/>
            <w:vAlign w:val="bottom"/>
            <w:shd w:val="clear" w:color="auto" w:fill="F4F3F3"/>
          </w:tcPr>
          <w:p>
            <w:pPr>
              <w:spacing w:after="0"/>
              <w:rPr>
                <w:sz w:val="14"/>
                <w:szCs w:val="14"/>
                <w:color w:val="auto"/>
              </w:rPr>
            </w:pPr>
          </w:p>
        </w:tc>
        <w:tc>
          <w:tcPr>
            <w:tcW w:w="220" w:type="dxa"/>
            <w:vAlign w:val="bottom"/>
            <w:shd w:val="clear" w:color="auto" w:fill="F4F3F3"/>
          </w:tcPr>
          <w:p>
            <w:pPr>
              <w:spacing w:after="0"/>
              <w:rPr>
                <w:sz w:val="14"/>
                <w:szCs w:val="14"/>
                <w:color w:val="auto"/>
              </w:rPr>
            </w:pPr>
          </w:p>
        </w:tc>
        <w:tc>
          <w:tcPr>
            <w:tcW w:w="670" w:type="dxa"/>
            <w:vAlign w:val="bottom"/>
            <w:shd w:val="clear" w:color="auto" w:fill="F4F3F3"/>
          </w:tcPr>
          <w:p>
            <w:pPr>
              <w:jc w:val="right"/>
              <w:ind w:right="99"/>
              <w:spacing w:after="0"/>
              <w:rPr>
                <w:sz w:val="20"/>
                <w:szCs w:val="20"/>
                <w:color w:val="auto"/>
              </w:rPr>
            </w:pPr>
            <w:r>
              <w:rPr>
                <w:rFonts w:ascii="Arial" w:cs="Arial" w:eastAsia="Arial" w:hAnsi="Arial"/>
                <w:sz w:val="14"/>
                <w:szCs w:val="14"/>
                <w:color w:val="auto"/>
              </w:rPr>
              <w:t>2/22/16</w:t>
            </w: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SARs</w:t>
            </w:r>
          </w:p>
        </w:tc>
        <w:tc>
          <w:tcPr>
            <w:tcW w:w="240" w:type="dxa"/>
            <w:vAlign w:val="bottom"/>
            <w:shd w:val="clear" w:color="auto" w:fill="F4F3F3"/>
          </w:tcPr>
          <w:p>
            <w:pPr>
              <w:spacing w:after="0"/>
              <w:rPr>
                <w:sz w:val="14"/>
                <w:szCs w:val="14"/>
                <w:color w:val="auto"/>
              </w:rPr>
            </w:pPr>
          </w:p>
        </w:tc>
        <w:tc>
          <w:tcPr>
            <w:tcW w:w="900" w:type="dxa"/>
            <w:vAlign w:val="bottom"/>
            <w:tcBorders>
              <w:right w:val="single" w:sz="8" w:color="F4F3F3"/>
            </w:tcBorders>
            <w:shd w:val="clear" w:color="auto" w:fill="F4F3F3"/>
          </w:tcPr>
          <w:p>
            <w:pPr>
              <w:jc w:val="right"/>
              <w:ind w:right="310"/>
              <w:spacing w:after="0"/>
              <w:rPr>
                <w:sz w:val="20"/>
                <w:szCs w:val="20"/>
                <w:color w:val="auto"/>
              </w:rPr>
            </w:pPr>
            <w:r>
              <w:rPr>
                <w:rFonts w:ascii="Arial" w:cs="Arial" w:eastAsia="Arial" w:hAnsi="Arial"/>
                <w:sz w:val="14"/>
                <w:szCs w:val="14"/>
                <w:color w:val="auto"/>
              </w:rPr>
              <w:t>10,171</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20,342(2)</w:t>
            </w:r>
          </w:p>
        </w:tc>
        <w:tc>
          <w:tcPr>
            <w:tcW w:w="220" w:type="dxa"/>
            <w:vAlign w:val="bottom"/>
            <w:shd w:val="clear" w:color="auto" w:fill="F4F3F3"/>
          </w:tcPr>
          <w:p>
            <w:pPr>
              <w:spacing w:after="0"/>
              <w:rPr>
                <w:sz w:val="14"/>
                <w:szCs w:val="14"/>
                <w:color w:val="auto"/>
              </w:rPr>
            </w:pPr>
          </w:p>
        </w:tc>
        <w:tc>
          <w:tcPr>
            <w:tcW w:w="700" w:type="dxa"/>
            <w:vAlign w:val="bottom"/>
            <w:shd w:val="clear" w:color="auto" w:fill="F4F3F3"/>
          </w:tcPr>
          <w:p>
            <w:pPr>
              <w:jc w:val="right"/>
              <w:ind w:right="89"/>
              <w:spacing w:after="0"/>
              <w:rPr>
                <w:sz w:val="20"/>
                <w:szCs w:val="20"/>
                <w:color w:val="auto"/>
              </w:rPr>
            </w:pPr>
            <w:r>
              <w:rPr>
                <w:rFonts w:ascii="Arial" w:cs="Arial" w:eastAsia="Arial" w:hAnsi="Arial"/>
                <w:sz w:val="14"/>
                <w:szCs w:val="14"/>
                <w:color w:val="auto"/>
              </w:rPr>
              <w:t>66.86</w:t>
            </w:r>
          </w:p>
        </w:tc>
        <w:tc>
          <w:tcPr>
            <w:tcW w:w="900" w:type="dxa"/>
            <w:vAlign w:val="bottom"/>
            <w:gridSpan w:val="2"/>
            <w:shd w:val="clear" w:color="auto" w:fill="F4F3F3"/>
          </w:tcPr>
          <w:p>
            <w:pPr>
              <w:jc w:val="right"/>
              <w:ind w:right="111"/>
              <w:spacing w:after="0"/>
              <w:rPr>
                <w:sz w:val="20"/>
                <w:szCs w:val="20"/>
                <w:color w:val="auto"/>
              </w:rPr>
            </w:pPr>
            <w:r>
              <w:rPr>
                <w:rFonts w:ascii="Arial" w:cs="Arial" w:eastAsia="Arial" w:hAnsi="Arial"/>
                <w:sz w:val="14"/>
                <w:szCs w:val="14"/>
                <w:color w:val="auto"/>
              </w:rPr>
              <w:t>2/22/26</w:t>
            </w:r>
          </w:p>
        </w:tc>
        <w:tc>
          <w:tcPr>
            <w:tcW w:w="1300" w:type="dxa"/>
            <w:vAlign w:val="bottom"/>
            <w:gridSpan w:val="2"/>
            <w:shd w:val="clear" w:color="auto" w:fill="F4F3F3"/>
          </w:tcPr>
          <w:p>
            <w:pPr>
              <w:jc w:val="right"/>
              <w:ind w:right="270"/>
              <w:spacing w:after="0"/>
              <w:rPr>
                <w:sz w:val="20"/>
                <w:szCs w:val="20"/>
                <w:color w:val="auto"/>
              </w:rPr>
            </w:pPr>
            <w:r>
              <w:rPr>
                <w:rFonts w:ascii="Arial" w:cs="Arial" w:eastAsia="Arial" w:hAnsi="Arial"/>
                <w:sz w:val="14"/>
                <w:szCs w:val="14"/>
                <w:color w:val="auto"/>
              </w:rPr>
              <w:t>700,477</w:t>
            </w:r>
          </w:p>
        </w:tc>
        <w:tc>
          <w:tcPr>
            <w:tcW w:w="700" w:type="dxa"/>
            <w:vAlign w:val="bottom"/>
            <w:shd w:val="clear" w:color="auto" w:fill="F4F3F3"/>
          </w:tcPr>
          <w:p>
            <w:pPr>
              <w:jc w:val="right"/>
              <w:spacing w:after="0"/>
              <w:rPr>
                <w:sz w:val="20"/>
                <w:szCs w:val="20"/>
                <w:color w:val="auto"/>
              </w:rPr>
            </w:pPr>
            <w:r>
              <w:rPr>
                <w:rFonts w:ascii="Arial" w:cs="Arial" w:eastAsia="Arial" w:hAnsi="Arial"/>
                <w:sz w:val="14"/>
                <w:szCs w:val="14"/>
                <w:color w:val="auto"/>
              </w:rPr>
              <w:t>1,400,954</w:t>
            </w:r>
          </w:p>
        </w:tc>
        <w:tc>
          <w:tcPr>
            <w:tcW w:w="180" w:type="dxa"/>
            <w:vAlign w:val="bottom"/>
            <w:shd w:val="clear" w:color="auto" w:fill="F4F3F3"/>
          </w:tcPr>
          <w:p>
            <w:pPr>
              <w:spacing w:after="0"/>
              <w:rPr>
                <w:sz w:val="14"/>
                <w:szCs w:val="14"/>
                <w:color w:val="auto"/>
              </w:rPr>
            </w:pPr>
          </w:p>
        </w:tc>
        <w:tc>
          <w:tcPr>
            <w:tcW w:w="940" w:type="dxa"/>
            <w:vAlign w:val="bottom"/>
            <w:shd w:val="clear" w:color="auto" w:fill="F4F3F3"/>
          </w:tcPr>
          <w:p>
            <w:pPr>
              <w:jc w:val="right"/>
              <w:ind w:right="290"/>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300" w:type="dxa"/>
            <w:vAlign w:val="bottom"/>
            <w:shd w:val="clear" w:color="auto" w:fill="F4F3F3"/>
          </w:tcPr>
          <w:p>
            <w:pPr>
              <w:spacing w:after="0"/>
              <w:rPr>
                <w:sz w:val="14"/>
                <w:szCs w:val="14"/>
                <w:color w:val="auto"/>
              </w:rPr>
            </w:pPr>
          </w:p>
        </w:tc>
        <w:tc>
          <w:tcPr>
            <w:tcW w:w="220" w:type="dxa"/>
            <w:vAlign w:val="bottom"/>
            <w:shd w:val="clear" w:color="auto" w:fill="F4F3F3"/>
          </w:tcPr>
          <w:p>
            <w:pPr>
              <w:spacing w:after="0"/>
              <w:rPr>
                <w:sz w:val="14"/>
                <w:szCs w:val="14"/>
                <w:color w:val="auto"/>
              </w:rPr>
            </w:pPr>
          </w:p>
        </w:tc>
        <w:tc>
          <w:tcPr>
            <w:tcW w:w="670" w:type="dxa"/>
            <w:vAlign w:val="bottom"/>
            <w:shd w:val="clear" w:color="auto" w:fill="F4F3F3"/>
          </w:tcPr>
          <w:p>
            <w:pPr>
              <w:jc w:val="right"/>
              <w:ind w:right="99"/>
              <w:spacing w:after="0"/>
              <w:rPr>
                <w:sz w:val="20"/>
                <w:szCs w:val="20"/>
                <w:color w:val="auto"/>
              </w:rPr>
            </w:pPr>
            <w:r>
              <w:rPr>
                <w:rFonts w:ascii="Arial" w:cs="Arial" w:eastAsia="Arial" w:hAnsi="Arial"/>
                <w:sz w:val="14"/>
                <w:szCs w:val="14"/>
                <w:color w:val="auto"/>
              </w:rPr>
              <w:t>2/21/17</w:t>
            </w: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SARs</w:t>
            </w:r>
          </w:p>
        </w:tc>
        <w:tc>
          <w:tcPr>
            <w:tcW w:w="240" w:type="dxa"/>
            <w:vAlign w:val="bottom"/>
            <w:shd w:val="clear" w:color="auto" w:fill="F4F3F3"/>
          </w:tcPr>
          <w:p>
            <w:pPr>
              <w:spacing w:after="0"/>
              <w:rPr>
                <w:sz w:val="14"/>
                <w:szCs w:val="14"/>
                <w:color w:val="auto"/>
              </w:rPr>
            </w:pPr>
          </w:p>
        </w:tc>
        <w:tc>
          <w:tcPr>
            <w:tcW w:w="900" w:type="dxa"/>
            <w:vAlign w:val="bottom"/>
            <w:tcBorders>
              <w:right w:val="single" w:sz="8" w:color="F4F3F3"/>
            </w:tcBorders>
            <w:shd w:val="clear" w:color="auto" w:fill="F4F3F3"/>
          </w:tcPr>
          <w:p>
            <w:pPr>
              <w:ind w:left="3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23,370(2)</w:t>
            </w:r>
          </w:p>
        </w:tc>
        <w:tc>
          <w:tcPr>
            <w:tcW w:w="220" w:type="dxa"/>
            <w:vAlign w:val="bottom"/>
            <w:shd w:val="clear" w:color="auto" w:fill="F4F3F3"/>
          </w:tcPr>
          <w:p>
            <w:pPr>
              <w:spacing w:after="0"/>
              <w:rPr>
                <w:sz w:val="14"/>
                <w:szCs w:val="14"/>
                <w:color w:val="auto"/>
              </w:rPr>
            </w:pPr>
          </w:p>
        </w:tc>
        <w:tc>
          <w:tcPr>
            <w:tcW w:w="700" w:type="dxa"/>
            <w:vAlign w:val="bottom"/>
            <w:shd w:val="clear" w:color="auto" w:fill="F4F3F3"/>
          </w:tcPr>
          <w:p>
            <w:pPr>
              <w:jc w:val="right"/>
              <w:ind w:right="89"/>
              <w:spacing w:after="0"/>
              <w:rPr>
                <w:sz w:val="20"/>
                <w:szCs w:val="20"/>
                <w:color w:val="auto"/>
              </w:rPr>
            </w:pPr>
            <w:r>
              <w:rPr>
                <w:rFonts w:ascii="Arial" w:cs="Arial" w:eastAsia="Arial" w:hAnsi="Arial"/>
                <w:sz w:val="14"/>
                <w:szCs w:val="14"/>
                <w:color w:val="auto"/>
              </w:rPr>
              <w:t>88.31</w:t>
            </w:r>
          </w:p>
        </w:tc>
        <w:tc>
          <w:tcPr>
            <w:tcW w:w="240" w:type="dxa"/>
            <w:vAlign w:val="bottom"/>
            <w:shd w:val="clear" w:color="auto" w:fill="F4F3F3"/>
          </w:tcPr>
          <w:p>
            <w:pPr>
              <w:spacing w:after="0"/>
              <w:rPr>
                <w:sz w:val="14"/>
                <w:szCs w:val="14"/>
                <w:color w:val="auto"/>
              </w:rPr>
            </w:pPr>
          </w:p>
        </w:tc>
        <w:tc>
          <w:tcPr>
            <w:tcW w:w="660" w:type="dxa"/>
            <w:vAlign w:val="bottom"/>
            <w:shd w:val="clear" w:color="auto" w:fill="F4F3F3"/>
          </w:tcPr>
          <w:p>
            <w:pPr>
              <w:jc w:val="right"/>
              <w:ind w:right="111"/>
              <w:spacing w:after="0"/>
              <w:rPr>
                <w:sz w:val="20"/>
                <w:szCs w:val="20"/>
                <w:color w:val="auto"/>
              </w:rPr>
            </w:pPr>
            <w:r>
              <w:rPr>
                <w:rFonts w:ascii="Arial" w:cs="Arial" w:eastAsia="Arial" w:hAnsi="Arial"/>
                <w:sz w:val="14"/>
                <w:szCs w:val="14"/>
                <w:color w:val="auto"/>
                <w:w w:val="98"/>
              </w:rPr>
              <w:t>2/21/27</w:t>
            </w:r>
          </w:p>
        </w:tc>
        <w:tc>
          <w:tcPr>
            <w:tcW w:w="220" w:type="dxa"/>
            <w:vAlign w:val="bottom"/>
            <w:shd w:val="clear" w:color="auto" w:fill="F4F3F3"/>
          </w:tcPr>
          <w:p>
            <w:pPr>
              <w:spacing w:after="0"/>
              <w:rPr>
                <w:sz w:val="14"/>
                <w:szCs w:val="14"/>
                <w:color w:val="auto"/>
              </w:rPr>
            </w:pPr>
          </w:p>
        </w:tc>
        <w:tc>
          <w:tcPr>
            <w:tcW w:w="1080" w:type="dxa"/>
            <w:vAlign w:val="bottom"/>
            <w:shd w:val="clear" w:color="auto" w:fill="F4F3F3"/>
          </w:tcPr>
          <w:p>
            <w:pPr>
              <w:jc w:val="right"/>
              <w:ind w:right="350"/>
              <w:spacing w:after="0"/>
              <w:rPr>
                <w:sz w:val="20"/>
                <w:szCs w:val="20"/>
                <w:color w:val="auto"/>
              </w:rPr>
            </w:pPr>
            <w:r>
              <w:rPr>
                <w:rFonts w:ascii="Arial" w:cs="Arial" w:eastAsia="Arial" w:hAnsi="Arial"/>
                <w:sz w:val="14"/>
                <w:szCs w:val="14"/>
                <w:color w:val="auto"/>
              </w:rPr>
              <w:t>—</w:t>
            </w:r>
          </w:p>
        </w:tc>
        <w:tc>
          <w:tcPr>
            <w:tcW w:w="700" w:type="dxa"/>
            <w:vAlign w:val="bottom"/>
            <w:shd w:val="clear" w:color="auto" w:fill="F4F3F3"/>
          </w:tcPr>
          <w:p>
            <w:pPr>
              <w:jc w:val="right"/>
              <w:spacing w:after="0"/>
              <w:rPr>
                <w:sz w:val="20"/>
                <w:szCs w:val="20"/>
                <w:color w:val="auto"/>
              </w:rPr>
            </w:pPr>
            <w:r>
              <w:rPr>
                <w:rFonts w:ascii="Arial" w:cs="Arial" w:eastAsia="Arial" w:hAnsi="Arial"/>
                <w:sz w:val="14"/>
                <w:szCs w:val="14"/>
                <w:color w:val="auto"/>
              </w:rPr>
              <w:t>1,108,205</w:t>
            </w:r>
          </w:p>
        </w:tc>
        <w:tc>
          <w:tcPr>
            <w:tcW w:w="180" w:type="dxa"/>
            <w:vAlign w:val="bottom"/>
            <w:shd w:val="clear" w:color="auto" w:fill="F4F3F3"/>
          </w:tcPr>
          <w:p>
            <w:pPr>
              <w:spacing w:after="0"/>
              <w:rPr>
                <w:sz w:val="14"/>
                <w:szCs w:val="14"/>
                <w:color w:val="auto"/>
              </w:rPr>
            </w:pPr>
          </w:p>
        </w:tc>
        <w:tc>
          <w:tcPr>
            <w:tcW w:w="940" w:type="dxa"/>
            <w:vAlign w:val="bottom"/>
            <w:shd w:val="clear" w:color="auto" w:fill="F4F3F3"/>
          </w:tcPr>
          <w:p>
            <w:pPr>
              <w:jc w:val="right"/>
              <w:ind w:right="290"/>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300" w:type="dxa"/>
            <w:vAlign w:val="bottom"/>
            <w:shd w:val="clear" w:color="auto" w:fill="F4F3F3"/>
          </w:tcPr>
          <w:p>
            <w:pPr>
              <w:spacing w:after="0"/>
              <w:rPr>
                <w:sz w:val="14"/>
                <w:szCs w:val="14"/>
                <w:color w:val="auto"/>
              </w:rPr>
            </w:pPr>
          </w:p>
        </w:tc>
        <w:tc>
          <w:tcPr>
            <w:tcW w:w="220" w:type="dxa"/>
            <w:vAlign w:val="bottom"/>
            <w:shd w:val="clear" w:color="auto" w:fill="F4F3F3"/>
          </w:tcPr>
          <w:p>
            <w:pPr>
              <w:spacing w:after="0"/>
              <w:rPr>
                <w:sz w:val="14"/>
                <w:szCs w:val="14"/>
                <w:color w:val="auto"/>
              </w:rPr>
            </w:pPr>
          </w:p>
        </w:tc>
        <w:tc>
          <w:tcPr>
            <w:tcW w:w="670" w:type="dxa"/>
            <w:vAlign w:val="bottom"/>
            <w:shd w:val="clear" w:color="auto" w:fill="F4F3F3"/>
          </w:tcPr>
          <w:p>
            <w:pPr>
              <w:spacing w:after="0"/>
              <w:rPr>
                <w:sz w:val="14"/>
                <w:szCs w:val="14"/>
                <w:color w:val="auto"/>
              </w:rPr>
            </w:pP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RSUs</w:t>
            </w:r>
          </w:p>
        </w:tc>
        <w:tc>
          <w:tcPr>
            <w:tcW w:w="240" w:type="dxa"/>
            <w:vAlign w:val="bottom"/>
            <w:shd w:val="clear" w:color="auto" w:fill="F4F3F3"/>
          </w:tcPr>
          <w:p>
            <w:pPr>
              <w:spacing w:after="0"/>
              <w:rPr>
                <w:sz w:val="14"/>
                <w:szCs w:val="14"/>
                <w:color w:val="auto"/>
              </w:rPr>
            </w:pPr>
          </w:p>
        </w:tc>
        <w:tc>
          <w:tcPr>
            <w:tcW w:w="900" w:type="dxa"/>
            <w:vAlign w:val="bottom"/>
            <w:tcBorders>
              <w:right w:val="single" w:sz="8" w:color="F4F3F3"/>
            </w:tcBorders>
            <w:shd w:val="clear" w:color="auto" w:fill="F4F3F3"/>
          </w:tcPr>
          <w:p>
            <w:pPr>
              <w:ind w:left="3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F4F3F3"/>
          </w:tcPr>
          <w:p>
            <w:pPr>
              <w:spacing w:after="0"/>
              <w:rPr>
                <w:sz w:val="14"/>
                <w:szCs w:val="14"/>
                <w:color w:val="auto"/>
              </w:rPr>
            </w:pPr>
          </w:p>
        </w:tc>
        <w:tc>
          <w:tcPr>
            <w:tcW w:w="700" w:type="dxa"/>
            <w:vAlign w:val="bottom"/>
            <w:shd w:val="clear" w:color="auto" w:fill="F4F3F3"/>
          </w:tcPr>
          <w:p>
            <w:pPr>
              <w:jc w:val="right"/>
              <w:ind w:right="169"/>
              <w:spacing w:after="0"/>
              <w:rPr>
                <w:sz w:val="20"/>
                <w:szCs w:val="20"/>
                <w:color w:val="auto"/>
              </w:rPr>
            </w:pPr>
            <w:r>
              <w:rPr>
                <w:rFonts w:ascii="Arial" w:cs="Arial" w:eastAsia="Arial" w:hAnsi="Arial"/>
                <w:sz w:val="14"/>
                <w:szCs w:val="14"/>
                <w:color w:val="auto"/>
              </w:rPr>
              <w:t>—</w:t>
            </w:r>
          </w:p>
        </w:tc>
        <w:tc>
          <w:tcPr>
            <w:tcW w:w="240" w:type="dxa"/>
            <w:vAlign w:val="bottom"/>
            <w:shd w:val="clear" w:color="auto" w:fill="F4F3F3"/>
          </w:tcPr>
          <w:p>
            <w:pPr>
              <w:spacing w:after="0"/>
              <w:rPr>
                <w:sz w:val="14"/>
                <w:szCs w:val="14"/>
                <w:color w:val="auto"/>
              </w:rPr>
            </w:pPr>
          </w:p>
        </w:tc>
        <w:tc>
          <w:tcPr>
            <w:tcW w:w="660" w:type="dxa"/>
            <w:vAlign w:val="bottom"/>
            <w:shd w:val="clear" w:color="auto" w:fill="F4F3F3"/>
          </w:tcPr>
          <w:p>
            <w:pPr>
              <w:spacing w:after="0"/>
              <w:rPr>
                <w:sz w:val="14"/>
                <w:szCs w:val="14"/>
                <w:color w:val="auto"/>
              </w:rPr>
            </w:pPr>
          </w:p>
        </w:tc>
        <w:tc>
          <w:tcPr>
            <w:tcW w:w="220" w:type="dxa"/>
            <w:vAlign w:val="bottom"/>
            <w:shd w:val="clear" w:color="auto" w:fill="F4F3F3"/>
          </w:tcPr>
          <w:p>
            <w:pPr>
              <w:spacing w:after="0"/>
              <w:rPr>
                <w:sz w:val="14"/>
                <w:szCs w:val="14"/>
                <w:color w:val="auto"/>
              </w:rPr>
            </w:pPr>
          </w:p>
        </w:tc>
        <w:tc>
          <w:tcPr>
            <w:tcW w:w="1080" w:type="dxa"/>
            <w:vAlign w:val="bottom"/>
            <w:shd w:val="clear" w:color="auto" w:fill="F4F3F3"/>
          </w:tcPr>
          <w:p>
            <w:pPr>
              <w:jc w:val="right"/>
              <w:ind w:right="350"/>
              <w:spacing w:after="0"/>
              <w:rPr>
                <w:sz w:val="20"/>
                <w:szCs w:val="20"/>
                <w:color w:val="auto"/>
              </w:rPr>
            </w:pPr>
            <w:r>
              <w:rPr>
                <w:rFonts w:ascii="Arial" w:cs="Arial" w:eastAsia="Arial" w:hAnsi="Arial"/>
                <w:sz w:val="14"/>
                <w:szCs w:val="14"/>
                <w:color w:val="auto"/>
              </w:rPr>
              <w:t>—</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F4F3F3"/>
          </w:tcPr>
          <w:p>
            <w:pPr>
              <w:jc w:val="right"/>
              <w:ind w:right="30"/>
              <w:spacing w:after="0"/>
              <w:rPr>
                <w:sz w:val="20"/>
                <w:szCs w:val="20"/>
                <w:color w:val="auto"/>
              </w:rPr>
            </w:pPr>
            <w:r>
              <w:rPr>
                <w:rFonts w:ascii="Arial" w:cs="Arial" w:eastAsia="Arial" w:hAnsi="Arial"/>
                <w:sz w:val="14"/>
                <w:szCs w:val="14"/>
                <w:color w:val="auto"/>
              </w:rPr>
              <w:t>56,157(8)</w:t>
            </w:r>
          </w:p>
        </w:tc>
        <w:tc>
          <w:tcPr>
            <w:tcW w:w="106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7,622,190</w:t>
            </w:r>
          </w:p>
        </w:tc>
        <w:tc>
          <w:tcPr>
            <w:tcW w:w="0" w:type="dxa"/>
            <w:vAlign w:val="bottom"/>
          </w:tcPr>
          <w:p>
            <w:pPr>
              <w:spacing w:after="0"/>
              <w:rPr>
                <w:sz w:val="1"/>
                <w:szCs w:val="1"/>
                <w:color w:val="auto"/>
              </w:rPr>
            </w:pPr>
          </w:p>
        </w:tc>
      </w:tr>
      <w:tr>
        <w:trPr>
          <w:trHeight w:val="162"/>
        </w:trPr>
        <w:tc>
          <w:tcPr>
            <w:tcW w:w="1300" w:type="dxa"/>
            <w:vAlign w:val="bottom"/>
            <w:shd w:val="clear" w:color="auto" w:fill="F4F3F3"/>
          </w:tcPr>
          <w:p>
            <w:pPr>
              <w:spacing w:after="0"/>
              <w:rPr>
                <w:sz w:val="14"/>
                <w:szCs w:val="14"/>
                <w:color w:val="auto"/>
              </w:rPr>
            </w:pPr>
          </w:p>
        </w:tc>
        <w:tc>
          <w:tcPr>
            <w:tcW w:w="220" w:type="dxa"/>
            <w:vAlign w:val="bottom"/>
            <w:shd w:val="clear" w:color="auto" w:fill="F4F3F3"/>
          </w:tcPr>
          <w:p>
            <w:pPr>
              <w:spacing w:after="0"/>
              <w:rPr>
                <w:sz w:val="14"/>
                <w:szCs w:val="14"/>
                <w:color w:val="auto"/>
              </w:rPr>
            </w:pPr>
          </w:p>
        </w:tc>
        <w:tc>
          <w:tcPr>
            <w:tcW w:w="670" w:type="dxa"/>
            <w:vAlign w:val="bottom"/>
            <w:shd w:val="clear" w:color="auto" w:fill="F4F3F3"/>
          </w:tcPr>
          <w:p>
            <w:pPr>
              <w:spacing w:after="0"/>
              <w:rPr>
                <w:sz w:val="14"/>
                <w:szCs w:val="14"/>
                <w:color w:val="auto"/>
              </w:rPr>
            </w:pP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PSUs</w:t>
            </w:r>
          </w:p>
        </w:tc>
        <w:tc>
          <w:tcPr>
            <w:tcW w:w="240" w:type="dxa"/>
            <w:vAlign w:val="bottom"/>
            <w:shd w:val="clear" w:color="auto" w:fill="F4F3F3"/>
          </w:tcPr>
          <w:p>
            <w:pPr>
              <w:spacing w:after="0"/>
              <w:rPr>
                <w:sz w:val="14"/>
                <w:szCs w:val="14"/>
                <w:color w:val="auto"/>
              </w:rPr>
            </w:pPr>
          </w:p>
        </w:tc>
        <w:tc>
          <w:tcPr>
            <w:tcW w:w="900" w:type="dxa"/>
            <w:vAlign w:val="bottom"/>
            <w:tcBorders>
              <w:right w:val="single" w:sz="8" w:color="F4F3F3"/>
            </w:tcBorders>
            <w:shd w:val="clear" w:color="auto" w:fill="F4F3F3"/>
          </w:tcPr>
          <w:p>
            <w:pPr>
              <w:ind w:left="3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F4F3F3"/>
          </w:tcPr>
          <w:p>
            <w:pPr>
              <w:spacing w:after="0"/>
              <w:rPr>
                <w:sz w:val="14"/>
                <w:szCs w:val="14"/>
                <w:color w:val="auto"/>
              </w:rPr>
            </w:pPr>
          </w:p>
        </w:tc>
        <w:tc>
          <w:tcPr>
            <w:tcW w:w="700" w:type="dxa"/>
            <w:vAlign w:val="bottom"/>
            <w:shd w:val="clear" w:color="auto" w:fill="F4F3F3"/>
          </w:tcPr>
          <w:p>
            <w:pPr>
              <w:jc w:val="right"/>
              <w:ind w:right="169"/>
              <w:spacing w:after="0"/>
              <w:rPr>
                <w:sz w:val="20"/>
                <w:szCs w:val="20"/>
                <w:color w:val="auto"/>
              </w:rPr>
            </w:pPr>
            <w:r>
              <w:rPr>
                <w:rFonts w:ascii="Arial" w:cs="Arial" w:eastAsia="Arial" w:hAnsi="Arial"/>
                <w:sz w:val="14"/>
                <w:szCs w:val="14"/>
                <w:color w:val="auto"/>
              </w:rPr>
              <w:t>—</w:t>
            </w:r>
          </w:p>
        </w:tc>
        <w:tc>
          <w:tcPr>
            <w:tcW w:w="240" w:type="dxa"/>
            <w:vAlign w:val="bottom"/>
            <w:shd w:val="clear" w:color="auto" w:fill="F4F3F3"/>
          </w:tcPr>
          <w:p>
            <w:pPr>
              <w:spacing w:after="0"/>
              <w:rPr>
                <w:sz w:val="14"/>
                <w:szCs w:val="14"/>
                <w:color w:val="auto"/>
              </w:rPr>
            </w:pPr>
          </w:p>
        </w:tc>
        <w:tc>
          <w:tcPr>
            <w:tcW w:w="660" w:type="dxa"/>
            <w:vAlign w:val="bottom"/>
            <w:shd w:val="clear" w:color="auto" w:fill="F4F3F3"/>
          </w:tcPr>
          <w:p>
            <w:pPr>
              <w:spacing w:after="0"/>
              <w:rPr>
                <w:sz w:val="14"/>
                <w:szCs w:val="14"/>
                <w:color w:val="auto"/>
              </w:rPr>
            </w:pPr>
          </w:p>
        </w:tc>
        <w:tc>
          <w:tcPr>
            <w:tcW w:w="220" w:type="dxa"/>
            <w:vAlign w:val="bottom"/>
            <w:shd w:val="clear" w:color="auto" w:fill="F4F3F3"/>
          </w:tcPr>
          <w:p>
            <w:pPr>
              <w:spacing w:after="0"/>
              <w:rPr>
                <w:sz w:val="14"/>
                <w:szCs w:val="14"/>
                <w:color w:val="auto"/>
              </w:rPr>
            </w:pPr>
          </w:p>
        </w:tc>
        <w:tc>
          <w:tcPr>
            <w:tcW w:w="1080" w:type="dxa"/>
            <w:vAlign w:val="bottom"/>
            <w:shd w:val="clear" w:color="auto" w:fill="F4F3F3"/>
          </w:tcPr>
          <w:p>
            <w:pPr>
              <w:jc w:val="right"/>
              <w:ind w:right="350"/>
              <w:spacing w:after="0"/>
              <w:rPr>
                <w:sz w:val="20"/>
                <w:szCs w:val="20"/>
                <w:color w:val="auto"/>
              </w:rPr>
            </w:pPr>
            <w:r>
              <w:rPr>
                <w:rFonts w:ascii="Arial" w:cs="Arial" w:eastAsia="Arial" w:hAnsi="Arial"/>
                <w:sz w:val="14"/>
                <w:szCs w:val="14"/>
                <w:color w:val="auto"/>
              </w:rPr>
              <w:t>—</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F4F3F3"/>
          </w:tcPr>
          <w:p>
            <w:pPr>
              <w:jc w:val="right"/>
              <w:ind w:right="30"/>
              <w:spacing w:after="0"/>
              <w:rPr>
                <w:sz w:val="20"/>
                <w:szCs w:val="20"/>
                <w:color w:val="auto"/>
              </w:rPr>
            </w:pPr>
            <w:r>
              <w:rPr>
                <w:rFonts w:ascii="Arial" w:cs="Arial" w:eastAsia="Arial" w:hAnsi="Arial"/>
                <w:sz w:val="14"/>
                <w:szCs w:val="14"/>
                <w:color w:val="auto"/>
              </w:rPr>
              <w:t>7,260(4)</w:t>
            </w:r>
          </w:p>
        </w:tc>
        <w:tc>
          <w:tcPr>
            <w:tcW w:w="106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985,400</w:t>
            </w:r>
          </w:p>
        </w:tc>
        <w:tc>
          <w:tcPr>
            <w:tcW w:w="0" w:type="dxa"/>
            <w:vAlign w:val="bottom"/>
          </w:tcPr>
          <w:p>
            <w:pPr>
              <w:spacing w:after="0"/>
              <w:rPr>
                <w:sz w:val="1"/>
                <w:szCs w:val="1"/>
                <w:color w:val="auto"/>
              </w:rPr>
            </w:pPr>
          </w:p>
        </w:tc>
      </w:tr>
      <w:tr>
        <w:trPr>
          <w:trHeight w:val="162"/>
        </w:trPr>
        <w:tc>
          <w:tcPr>
            <w:tcW w:w="1300" w:type="dxa"/>
            <w:vAlign w:val="bottom"/>
            <w:shd w:val="clear" w:color="auto" w:fill="F4F3F3"/>
          </w:tcPr>
          <w:p>
            <w:pPr>
              <w:spacing w:after="0"/>
              <w:rPr>
                <w:sz w:val="14"/>
                <w:szCs w:val="14"/>
                <w:color w:val="auto"/>
              </w:rPr>
            </w:pPr>
          </w:p>
        </w:tc>
        <w:tc>
          <w:tcPr>
            <w:tcW w:w="220" w:type="dxa"/>
            <w:vAlign w:val="bottom"/>
            <w:shd w:val="clear" w:color="auto" w:fill="F4F3F3"/>
          </w:tcPr>
          <w:p>
            <w:pPr>
              <w:spacing w:after="0"/>
              <w:rPr>
                <w:sz w:val="14"/>
                <w:szCs w:val="14"/>
                <w:color w:val="auto"/>
              </w:rPr>
            </w:pPr>
          </w:p>
        </w:tc>
        <w:tc>
          <w:tcPr>
            <w:tcW w:w="670" w:type="dxa"/>
            <w:vAlign w:val="bottom"/>
            <w:shd w:val="clear" w:color="auto" w:fill="F4F3F3"/>
          </w:tcPr>
          <w:p>
            <w:pPr>
              <w:spacing w:after="0"/>
              <w:rPr>
                <w:sz w:val="14"/>
                <w:szCs w:val="14"/>
                <w:color w:val="auto"/>
              </w:rPr>
            </w:pP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PSUs</w:t>
            </w:r>
          </w:p>
        </w:tc>
        <w:tc>
          <w:tcPr>
            <w:tcW w:w="240" w:type="dxa"/>
            <w:vAlign w:val="bottom"/>
            <w:shd w:val="clear" w:color="auto" w:fill="F4F3F3"/>
          </w:tcPr>
          <w:p>
            <w:pPr>
              <w:spacing w:after="0"/>
              <w:rPr>
                <w:sz w:val="14"/>
                <w:szCs w:val="14"/>
                <w:color w:val="auto"/>
              </w:rPr>
            </w:pPr>
          </w:p>
        </w:tc>
        <w:tc>
          <w:tcPr>
            <w:tcW w:w="900" w:type="dxa"/>
            <w:vAlign w:val="bottom"/>
            <w:tcBorders>
              <w:right w:val="single" w:sz="8" w:color="F4F3F3"/>
            </w:tcBorders>
            <w:shd w:val="clear" w:color="auto" w:fill="F4F3F3"/>
          </w:tcPr>
          <w:p>
            <w:pPr>
              <w:ind w:left="3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F4F3F3"/>
          </w:tcPr>
          <w:p>
            <w:pPr>
              <w:spacing w:after="0"/>
              <w:rPr>
                <w:sz w:val="14"/>
                <w:szCs w:val="14"/>
                <w:color w:val="auto"/>
              </w:rPr>
            </w:pPr>
          </w:p>
        </w:tc>
        <w:tc>
          <w:tcPr>
            <w:tcW w:w="700" w:type="dxa"/>
            <w:vAlign w:val="bottom"/>
            <w:shd w:val="clear" w:color="auto" w:fill="F4F3F3"/>
          </w:tcPr>
          <w:p>
            <w:pPr>
              <w:jc w:val="right"/>
              <w:ind w:right="169"/>
              <w:spacing w:after="0"/>
              <w:rPr>
                <w:sz w:val="20"/>
                <w:szCs w:val="20"/>
                <w:color w:val="auto"/>
              </w:rPr>
            </w:pPr>
            <w:r>
              <w:rPr>
                <w:rFonts w:ascii="Arial" w:cs="Arial" w:eastAsia="Arial" w:hAnsi="Arial"/>
                <w:sz w:val="14"/>
                <w:szCs w:val="14"/>
                <w:color w:val="auto"/>
              </w:rPr>
              <w:t>—</w:t>
            </w:r>
          </w:p>
        </w:tc>
        <w:tc>
          <w:tcPr>
            <w:tcW w:w="240" w:type="dxa"/>
            <w:vAlign w:val="bottom"/>
            <w:shd w:val="clear" w:color="auto" w:fill="F4F3F3"/>
          </w:tcPr>
          <w:p>
            <w:pPr>
              <w:spacing w:after="0"/>
              <w:rPr>
                <w:sz w:val="14"/>
                <w:szCs w:val="14"/>
                <w:color w:val="auto"/>
              </w:rPr>
            </w:pPr>
          </w:p>
        </w:tc>
        <w:tc>
          <w:tcPr>
            <w:tcW w:w="660" w:type="dxa"/>
            <w:vAlign w:val="bottom"/>
            <w:shd w:val="clear" w:color="auto" w:fill="F4F3F3"/>
          </w:tcPr>
          <w:p>
            <w:pPr>
              <w:spacing w:after="0"/>
              <w:rPr>
                <w:sz w:val="14"/>
                <w:szCs w:val="14"/>
                <w:color w:val="auto"/>
              </w:rPr>
            </w:pPr>
          </w:p>
        </w:tc>
        <w:tc>
          <w:tcPr>
            <w:tcW w:w="220" w:type="dxa"/>
            <w:vAlign w:val="bottom"/>
            <w:shd w:val="clear" w:color="auto" w:fill="F4F3F3"/>
          </w:tcPr>
          <w:p>
            <w:pPr>
              <w:spacing w:after="0"/>
              <w:rPr>
                <w:sz w:val="14"/>
                <w:szCs w:val="14"/>
                <w:color w:val="auto"/>
              </w:rPr>
            </w:pPr>
          </w:p>
        </w:tc>
        <w:tc>
          <w:tcPr>
            <w:tcW w:w="1080" w:type="dxa"/>
            <w:vAlign w:val="bottom"/>
            <w:shd w:val="clear" w:color="auto" w:fill="F4F3F3"/>
          </w:tcPr>
          <w:p>
            <w:pPr>
              <w:jc w:val="right"/>
              <w:ind w:right="350"/>
              <w:spacing w:after="0"/>
              <w:rPr>
                <w:sz w:val="20"/>
                <w:szCs w:val="20"/>
                <w:color w:val="auto"/>
              </w:rPr>
            </w:pPr>
            <w:r>
              <w:rPr>
                <w:rFonts w:ascii="Arial" w:cs="Arial" w:eastAsia="Arial" w:hAnsi="Arial"/>
                <w:sz w:val="14"/>
                <w:szCs w:val="14"/>
                <w:color w:val="auto"/>
              </w:rPr>
              <w:t>—</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F4F3F3"/>
          </w:tcPr>
          <w:p>
            <w:pPr>
              <w:jc w:val="right"/>
              <w:ind w:right="30"/>
              <w:spacing w:after="0"/>
              <w:rPr>
                <w:sz w:val="20"/>
                <w:szCs w:val="20"/>
                <w:color w:val="auto"/>
              </w:rPr>
            </w:pPr>
            <w:r>
              <w:rPr>
                <w:rFonts w:ascii="Arial" w:cs="Arial" w:eastAsia="Arial" w:hAnsi="Arial"/>
                <w:sz w:val="14"/>
                <w:szCs w:val="14"/>
                <w:color w:val="auto"/>
              </w:rPr>
              <w:t>9,972(5)</w:t>
            </w:r>
          </w:p>
        </w:tc>
        <w:tc>
          <w:tcPr>
            <w:tcW w:w="106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1,353,500</w:t>
            </w:r>
          </w:p>
        </w:tc>
        <w:tc>
          <w:tcPr>
            <w:tcW w:w="0" w:type="dxa"/>
            <w:vAlign w:val="bottom"/>
          </w:tcPr>
          <w:p>
            <w:pPr>
              <w:spacing w:after="0"/>
              <w:rPr>
                <w:sz w:val="1"/>
                <w:szCs w:val="1"/>
                <w:color w:val="auto"/>
              </w:rPr>
            </w:pPr>
          </w:p>
        </w:tc>
      </w:tr>
      <w:tr>
        <w:trPr>
          <w:trHeight w:val="162"/>
        </w:trPr>
        <w:tc>
          <w:tcPr>
            <w:tcW w:w="1300" w:type="dxa"/>
            <w:vAlign w:val="bottom"/>
            <w:shd w:val="clear" w:color="auto" w:fill="F4F3F3"/>
          </w:tcPr>
          <w:p>
            <w:pPr>
              <w:spacing w:after="0"/>
              <w:rPr>
                <w:sz w:val="14"/>
                <w:szCs w:val="14"/>
                <w:color w:val="auto"/>
              </w:rPr>
            </w:pPr>
          </w:p>
        </w:tc>
        <w:tc>
          <w:tcPr>
            <w:tcW w:w="220" w:type="dxa"/>
            <w:vAlign w:val="bottom"/>
            <w:shd w:val="clear" w:color="auto" w:fill="F4F3F3"/>
          </w:tcPr>
          <w:p>
            <w:pPr>
              <w:spacing w:after="0"/>
              <w:rPr>
                <w:sz w:val="14"/>
                <w:szCs w:val="14"/>
                <w:color w:val="auto"/>
              </w:rPr>
            </w:pPr>
          </w:p>
        </w:tc>
        <w:tc>
          <w:tcPr>
            <w:tcW w:w="670" w:type="dxa"/>
            <w:vAlign w:val="bottom"/>
            <w:shd w:val="clear" w:color="auto" w:fill="F4F3F3"/>
          </w:tcPr>
          <w:p>
            <w:pPr>
              <w:spacing w:after="0"/>
              <w:rPr>
                <w:sz w:val="14"/>
                <w:szCs w:val="14"/>
                <w:color w:val="auto"/>
              </w:rPr>
            </w:pP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PSUs</w:t>
            </w:r>
          </w:p>
        </w:tc>
        <w:tc>
          <w:tcPr>
            <w:tcW w:w="240" w:type="dxa"/>
            <w:vAlign w:val="bottom"/>
            <w:shd w:val="clear" w:color="auto" w:fill="F4F3F3"/>
          </w:tcPr>
          <w:p>
            <w:pPr>
              <w:spacing w:after="0"/>
              <w:rPr>
                <w:sz w:val="14"/>
                <w:szCs w:val="14"/>
                <w:color w:val="auto"/>
              </w:rPr>
            </w:pPr>
          </w:p>
        </w:tc>
        <w:tc>
          <w:tcPr>
            <w:tcW w:w="900" w:type="dxa"/>
            <w:vAlign w:val="bottom"/>
            <w:tcBorders>
              <w:right w:val="single" w:sz="8" w:color="F4F3F3"/>
            </w:tcBorders>
            <w:shd w:val="clear" w:color="auto" w:fill="F4F3F3"/>
          </w:tcPr>
          <w:p>
            <w:pPr>
              <w:ind w:left="3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F4F3F3"/>
          </w:tcPr>
          <w:p>
            <w:pPr>
              <w:spacing w:after="0"/>
              <w:rPr>
                <w:sz w:val="14"/>
                <w:szCs w:val="14"/>
                <w:color w:val="auto"/>
              </w:rPr>
            </w:pPr>
          </w:p>
        </w:tc>
        <w:tc>
          <w:tcPr>
            <w:tcW w:w="700" w:type="dxa"/>
            <w:vAlign w:val="bottom"/>
            <w:shd w:val="clear" w:color="auto" w:fill="F4F3F3"/>
          </w:tcPr>
          <w:p>
            <w:pPr>
              <w:jc w:val="right"/>
              <w:ind w:right="169"/>
              <w:spacing w:after="0"/>
              <w:rPr>
                <w:sz w:val="20"/>
                <w:szCs w:val="20"/>
                <w:color w:val="auto"/>
              </w:rPr>
            </w:pPr>
            <w:r>
              <w:rPr>
                <w:rFonts w:ascii="Arial" w:cs="Arial" w:eastAsia="Arial" w:hAnsi="Arial"/>
                <w:sz w:val="14"/>
                <w:szCs w:val="14"/>
                <w:color w:val="auto"/>
              </w:rPr>
              <w:t>—</w:t>
            </w:r>
          </w:p>
        </w:tc>
        <w:tc>
          <w:tcPr>
            <w:tcW w:w="240" w:type="dxa"/>
            <w:vAlign w:val="bottom"/>
            <w:shd w:val="clear" w:color="auto" w:fill="F4F3F3"/>
          </w:tcPr>
          <w:p>
            <w:pPr>
              <w:spacing w:after="0"/>
              <w:rPr>
                <w:sz w:val="14"/>
                <w:szCs w:val="14"/>
                <w:color w:val="auto"/>
              </w:rPr>
            </w:pPr>
          </w:p>
        </w:tc>
        <w:tc>
          <w:tcPr>
            <w:tcW w:w="660" w:type="dxa"/>
            <w:vAlign w:val="bottom"/>
            <w:shd w:val="clear" w:color="auto" w:fill="F4F3F3"/>
          </w:tcPr>
          <w:p>
            <w:pPr>
              <w:spacing w:after="0"/>
              <w:rPr>
                <w:sz w:val="14"/>
                <w:szCs w:val="14"/>
                <w:color w:val="auto"/>
              </w:rPr>
            </w:pPr>
          </w:p>
        </w:tc>
        <w:tc>
          <w:tcPr>
            <w:tcW w:w="220" w:type="dxa"/>
            <w:vAlign w:val="bottom"/>
            <w:shd w:val="clear" w:color="auto" w:fill="F4F3F3"/>
          </w:tcPr>
          <w:p>
            <w:pPr>
              <w:spacing w:after="0"/>
              <w:rPr>
                <w:sz w:val="14"/>
                <w:szCs w:val="14"/>
                <w:color w:val="auto"/>
              </w:rPr>
            </w:pPr>
          </w:p>
        </w:tc>
        <w:tc>
          <w:tcPr>
            <w:tcW w:w="1080" w:type="dxa"/>
            <w:vAlign w:val="bottom"/>
            <w:shd w:val="clear" w:color="auto" w:fill="F4F3F3"/>
          </w:tcPr>
          <w:p>
            <w:pPr>
              <w:jc w:val="right"/>
              <w:ind w:right="350"/>
              <w:spacing w:after="0"/>
              <w:rPr>
                <w:sz w:val="20"/>
                <w:szCs w:val="20"/>
                <w:color w:val="auto"/>
              </w:rPr>
            </w:pPr>
            <w:r>
              <w:rPr>
                <w:rFonts w:ascii="Arial" w:cs="Arial" w:eastAsia="Arial" w:hAnsi="Arial"/>
                <w:sz w:val="14"/>
                <w:szCs w:val="14"/>
                <w:color w:val="auto"/>
              </w:rPr>
              <w:t>—</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F4F3F3"/>
          </w:tcPr>
          <w:p>
            <w:pPr>
              <w:jc w:val="right"/>
              <w:ind w:right="30"/>
              <w:spacing w:after="0"/>
              <w:rPr>
                <w:sz w:val="20"/>
                <w:szCs w:val="20"/>
                <w:color w:val="auto"/>
              </w:rPr>
            </w:pPr>
            <w:r>
              <w:rPr>
                <w:rFonts w:ascii="Arial" w:cs="Arial" w:eastAsia="Arial" w:hAnsi="Arial"/>
                <w:sz w:val="14"/>
                <w:szCs w:val="14"/>
                <w:color w:val="auto"/>
              </w:rPr>
              <w:t>28,803(6)</w:t>
            </w:r>
          </w:p>
        </w:tc>
        <w:tc>
          <w:tcPr>
            <w:tcW w:w="106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3,909,431</w:t>
            </w:r>
          </w:p>
        </w:tc>
        <w:tc>
          <w:tcPr>
            <w:tcW w:w="0" w:type="dxa"/>
            <w:vAlign w:val="bottom"/>
          </w:tcPr>
          <w:p>
            <w:pPr>
              <w:spacing w:after="0"/>
              <w:rPr>
                <w:sz w:val="1"/>
                <w:szCs w:val="1"/>
                <w:color w:val="auto"/>
              </w:rPr>
            </w:pPr>
          </w:p>
        </w:tc>
      </w:tr>
      <w:tr>
        <w:trPr>
          <w:trHeight w:val="175"/>
        </w:trPr>
        <w:tc>
          <w:tcPr>
            <w:tcW w:w="1300" w:type="dxa"/>
            <w:vAlign w:val="bottom"/>
            <w:shd w:val="clear" w:color="auto" w:fill="F4F3F3"/>
          </w:tcPr>
          <w:p>
            <w:pPr>
              <w:spacing w:after="0"/>
              <w:rPr>
                <w:sz w:val="15"/>
                <w:szCs w:val="15"/>
                <w:color w:val="auto"/>
              </w:rPr>
            </w:pPr>
          </w:p>
        </w:tc>
        <w:tc>
          <w:tcPr>
            <w:tcW w:w="220" w:type="dxa"/>
            <w:vAlign w:val="bottom"/>
            <w:shd w:val="clear" w:color="auto" w:fill="F4F3F3"/>
          </w:tcPr>
          <w:p>
            <w:pPr>
              <w:spacing w:after="0"/>
              <w:rPr>
                <w:sz w:val="15"/>
                <w:szCs w:val="15"/>
                <w:color w:val="auto"/>
              </w:rPr>
            </w:pPr>
          </w:p>
        </w:tc>
        <w:tc>
          <w:tcPr>
            <w:tcW w:w="670" w:type="dxa"/>
            <w:vAlign w:val="bottom"/>
            <w:shd w:val="clear" w:color="auto" w:fill="F4F3F3"/>
          </w:tcPr>
          <w:p>
            <w:pPr>
              <w:spacing w:after="0"/>
              <w:rPr>
                <w:sz w:val="15"/>
                <w:szCs w:val="15"/>
                <w:color w:val="auto"/>
              </w:rPr>
            </w:pP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PSUs</w:t>
            </w:r>
          </w:p>
        </w:tc>
        <w:tc>
          <w:tcPr>
            <w:tcW w:w="240" w:type="dxa"/>
            <w:vAlign w:val="bottom"/>
            <w:shd w:val="clear" w:color="auto" w:fill="F4F3F3"/>
          </w:tcPr>
          <w:p>
            <w:pPr>
              <w:spacing w:after="0"/>
              <w:rPr>
                <w:sz w:val="15"/>
                <w:szCs w:val="15"/>
                <w:color w:val="auto"/>
              </w:rPr>
            </w:pPr>
          </w:p>
        </w:tc>
        <w:tc>
          <w:tcPr>
            <w:tcW w:w="900" w:type="dxa"/>
            <w:vAlign w:val="bottom"/>
            <w:tcBorders>
              <w:right w:val="single" w:sz="8" w:color="F4F3F3"/>
            </w:tcBorders>
            <w:shd w:val="clear" w:color="auto" w:fill="F4F3F3"/>
          </w:tcPr>
          <w:p>
            <w:pPr>
              <w:ind w:left="3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F4F3F3"/>
          </w:tcPr>
          <w:p>
            <w:pPr>
              <w:spacing w:after="0"/>
              <w:rPr>
                <w:sz w:val="15"/>
                <w:szCs w:val="15"/>
                <w:color w:val="auto"/>
              </w:rPr>
            </w:pPr>
          </w:p>
        </w:tc>
        <w:tc>
          <w:tcPr>
            <w:tcW w:w="700" w:type="dxa"/>
            <w:vAlign w:val="bottom"/>
            <w:shd w:val="clear" w:color="auto" w:fill="F4F3F3"/>
          </w:tcPr>
          <w:p>
            <w:pPr>
              <w:jc w:val="right"/>
              <w:ind w:right="169"/>
              <w:spacing w:after="0"/>
              <w:rPr>
                <w:sz w:val="20"/>
                <w:szCs w:val="20"/>
                <w:color w:val="auto"/>
              </w:rPr>
            </w:pPr>
            <w:r>
              <w:rPr>
                <w:rFonts w:ascii="Arial" w:cs="Arial" w:eastAsia="Arial" w:hAnsi="Arial"/>
                <w:sz w:val="14"/>
                <w:szCs w:val="14"/>
                <w:color w:val="auto"/>
              </w:rPr>
              <w:t>—</w:t>
            </w:r>
          </w:p>
        </w:tc>
        <w:tc>
          <w:tcPr>
            <w:tcW w:w="240" w:type="dxa"/>
            <w:vAlign w:val="bottom"/>
            <w:shd w:val="clear" w:color="auto" w:fill="F4F3F3"/>
          </w:tcPr>
          <w:p>
            <w:pPr>
              <w:spacing w:after="0"/>
              <w:rPr>
                <w:sz w:val="15"/>
                <w:szCs w:val="15"/>
                <w:color w:val="auto"/>
              </w:rPr>
            </w:pPr>
          </w:p>
        </w:tc>
        <w:tc>
          <w:tcPr>
            <w:tcW w:w="660" w:type="dxa"/>
            <w:vAlign w:val="bottom"/>
            <w:shd w:val="clear" w:color="auto" w:fill="F4F3F3"/>
          </w:tcPr>
          <w:p>
            <w:pPr>
              <w:spacing w:after="0"/>
              <w:rPr>
                <w:sz w:val="15"/>
                <w:szCs w:val="15"/>
                <w:color w:val="auto"/>
              </w:rPr>
            </w:pPr>
          </w:p>
        </w:tc>
        <w:tc>
          <w:tcPr>
            <w:tcW w:w="220" w:type="dxa"/>
            <w:vAlign w:val="bottom"/>
            <w:shd w:val="clear" w:color="auto" w:fill="F4F3F3"/>
          </w:tcPr>
          <w:p>
            <w:pPr>
              <w:spacing w:after="0"/>
              <w:rPr>
                <w:sz w:val="15"/>
                <w:szCs w:val="15"/>
                <w:color w:val="auto"/>
              </w:rPr>
            </w:pPr>
          </w:p>
        </w:tc>
        <w:tc>
          <w:tcPr>
            <w:tcW w:w="1080" w:type="dxa"/>
            <w:vAlign w:val="bottom"/>
            <w:shd w:val="clear" w:color="auto" w:fill="F4F3F3"/>
          </w:tcPr>
          <w:p>
            <w:pPr>
              <w:jc w:val="right"/>
              <w:ind w:right="350"/>
              <w:spacing w:after="0"/>
              <w:rPr>
                <w:sz w:val="20"/>
                <w:szCs w:val="20"/>
                <w:color w:val="auto"/>
              </w:rPr>
            </w:pPr>
            <w:r>
              <w:rPr>
                <w:rFonts w:ascii="Arial" w:cs="Arial" w:eastAsia="Arial" w:hAnsi="Arial"/>
                <w:sz w:val="14"/>
                <w:szCs w:val="14"/>
                <w:color w:val="auto"/>
              </w:rPr>
              <w:t>—</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F4F3F3"/>
          </w:tcPr>
          <w:p>
            <w:pPr>
              <w:jc w:val="right"/>
              <w:ind w:right="30"/>
              <w:spacing w:after="0"/>
              <w:rPr>
                <w:sz w:val="20"/>
                <w:szCs w:val="20"/>
                <w:color w:val="auto"/>
              </w:rPr>
            </w:pPr>
            <w:r>
              <w:rPr>
                <w:rFonts w:ascii="Arial" w:cs="Arial" w:eastAsia="Arial" w:hAnsi="Arial"/>
                <w:sz w:val="14"/>
                <w:szCs w:val="14"/>
                <w:color w:val="auto"/>
              </w:rPr>
              <w:t>10,647(7)</w:t>
            </w:r>
          </w:p>
        </w:tc>
        <w:tc>
          <w:tcPr>
            <w:tcW w:w="106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1,445,117</w:t>
            </w:r>
          </w:p>
        </w:tc>
        <w:tc>
          <w:tcPr>
            <w:tcW w:w="0" w:type="dxa"/>
            <w:vAlign w:val="bottom"/>
          </w:tcPr>
          <w:p>
            <w:pPr>
              <w:spacing w:after="0"/>
              <w:rPr>
                <w:sz w:val="1"/>
                <w:szCs w:val="1"/>
                <w:color w:val="auto"/>
              </w:rPr>
            </w:pPr>
          </w:p>
        </w:tc>
      </w:tr>
      <w:tr>
        <w:trPr>
          <w:trHeight w:val="175"/>
        </w:trPr>
        <w:tc>
          <w:tcPr>
            <w:tcW w:w="1300" w:type="dxa"/>
            <w:vAlign w:val="bottom"/>
            <w:shd w:val="clear" w:color="auto" w:fill="F4F3F3"/>
          </w:tcPr>
          <w:p>
            <w:pPr>
              <w:ind w:left="180"/>
              <w:spacing w:after="0"/>
              <w:rPr>
                <w:sz w:val="20"/>
                <w:szCs w:val="20"/>
                <w:color w:val="auto"/>
              </w:rPr>
            </w:pPr>
            <w:r>
              <w:rPr>
                <w:rFonts w:ascii="Arial" w:cs="Arial" w:eastAsia="Arial" w:hAnsi="Arial"/>
                <w:sz w:val="14"/>
                <w:szCs w:val="14"/>
                <w:color w:val="998C87"/>
              </w:rPr>
              <w:t>Ms. Linnartz</w:t>
            </w:r>
          </w:p>
        </w:tc>
        <w:tc>
          <w:tcPr>
            <w:tcW w:w="220" w:type="dxa"/>
            <w:vAlign w:val="bottom"/>
            <w:shd w:val="clear" w:color="auto" w:fill="F4F3F3"/>
          </w:tcPr>
          <w:p>
            <w:pPr>
              <w:spacing w:after="0"/>
              <w:rPr>
                <w:sz w:val="15"/>
                <w:szCs w:val="15"/>
                <w:color w:val="auto"/>
              </w:rPr>
            </w:pPr>
          </w:p>
        </w:tc>
        <w:tc>
          <w:tcPr>
            <w:tcW w:w="670" w:type="dxa"/>
            <w:vAlign w:val="bottom"/>
            <w:shd w:val="clear" w:color="auto" w:fill="F4F3F3"/>
          </w:tcPr>
          <w:p>
            <w:pPr>
              <w:jc w:val="right"/>
              <w:ind w:right="99"/>
              <w:spacing w:after="0"/>
              <w:rPr>
                <w:sz w:val="20"/>
                <w:szCs w:val="20"/>
                <w:color w:val="auto"/>
              </w:rPr>
            </w:pPr>
            <w:r>
              <w:rPr>
                <w:rFonts w:ascii="Arial" w:cs="Arial" w:eastAsia="Arial" w:hAnsi="Arial"/>
                <w:sz w:val="14"/>
                <w:szCs w:val="14"/>
                <w:color w:val="auto"/>
              </w:rPr>
              <w:t>2/23/15</w:t>
            </w: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SARs</w:t>
            </w:r>
          </w:p>
        </w:tc>
        <w:tc>
          <w:tcPr>
            <w:tcW w:w="240" w:type="dxa"/>
            <w:vAlign w:val="bottom"/>
            <w:shd w:val="clear" w:color="auto" w:fill="F4F3F3"/>
          </w:tcPr>
          <w:p>
            <w:pPr>
              <w:spacing w:after="0"/>
              <w:rPr>
                <w:sz w:val="15"/>
                <w:szCs w:val="15"/>
                <w:color w:val="auto"/>
              </w:rPr>
            </w:pPr>
          </w:p>
        </w:tc>
        <w:tc>
          <w:tcPr>
            <w:tcW w:w="900" w:type="dxa"/>
            <w:vAlign w:val="bottom"/>
            <w:tcBorders>
              <w:right w:val="single" w:sz="8" w:color="F4F3F3"/>
            </w:tcBorders>
            <w:shd w:val="clear" w:color="auto" w:fill="F4F3F3"/>
          </w:tcPr>
          <w:p>
            <w:pPr>
              <w:jc w:val="right"/>
              <w:ind w:right="310"/>
              <w:spacing w:after="0"/>
              <w:rPr>
                <w:sz w:val="20"/>
                <w:szCs w:val="20"/>
                <w:color w:val="auto"/>
              </w:rPr>
            </w:pPr>
            <w:r>
              <w:rPr>
                <w:rFonts w:ascii="Arial" w:cs="Arial" w:eastAsia="Arial" w:hAnsi="Arial"/>
                <w:sz w:val="14"/>
                <w:szCs w:val="14"/>
                <w:color w:val="auto"/>
              </w:rPr>
              <w:t>10,702</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5,351(2)</w:t>
            </w:r>
          </w:p>
        </w:tc>
        <w:tc>
          <w:tcPr>
            <w:tcW w:w="220" w:type="dxa"/>
            <w:vAlign w:val="bottom"/>
            <w:shd w:val="clear" w:color="auto" w:fill="F4F3F3"/>
          </w:tcPr>
          <w:p>
            <w:pPr>
              <w:spacing w:after="0"/>
              <w:rPr>
                <w:sz w:val="15"/>
                <w:szCs w:val="15"/>
                <w:color w:val="auto"/>
              </w:rPr>
            </w:pPr>
          </w:p>
        </w:tc>
        <w:tc>
          <w:tcPr>
            <w:tcW w:w="700" w:type="dxa"/>
            <w:vAlign w:val="bottom"/>
            <w:shd w:val="clear" w:color="auto" w:fill="F4F3F3"/>
          </w:tcPr>
          <w:p>
            <w:pPr>
              <w:jc w:val="right"/>
              <w:ind w:right="89"/>
              <w:spacing w:after="0"/>
              <w:rPr>
                <w:sz w:val="20"/>
                <w:szCs w:val="20"/>
                <w:color w:val="auto"/>
              </w:rPr>
            </w:pPr>
            <w:r>
              <w:rPr>
                <w:rFonts w:ascii="Arial" w:cs="Arial" w:eastAsia="Arial" w:hAnsi="Arial"/>
                <w:sz w:val="14"/>
                <w:szCs w:val="14"/>
                <w:color w:val="auto"/>
              </w:rPr>
              <w:t>82.67</w:t>
            </w:r>
          </w:p>
        </w:tc>
        <w:tc>
          <w:tcPr>
            <w:tcW w:w="240" w:type="dxa"/>
            <w:vAlign w:val="bottom"/>
            <w:shd w:val="clear" w:color="auto" w:fill="F4F3F3"/>
          </w:tcPr>
          <w:p>
            <w:pPr>
              <w:spacing w:after="0"/>
              <w:rPr>
                <w:sz w:val="15"/>
                <w:szCs w:val="15"/>
                <w:color w:val="auto"/>
              </w:rPr>
            </w:pPr>
          </w:p>
        </w:tc>
        <w:tc>
          <w:tcPr>
            <w:tcW w:w="660" w:type="dxa"/>
            <w:vAlign w:val="bottom"/>
            <w:shd w:val="clear" w:color="auto" w:fill="F4F3F3"/>
          </w:tcPr>
          <w:p>
            <w:pPr>
              <w:jc w:val="right"/>
              <w:ind w:right="111"/>
              <w:spacing w:after="0"/>
              <w:rPr>
                <w:sz w:val="20"/>
                <w:szCs w:val="20"/>
                <w:color w:val="auto"/>
              </w:rPr>
            </w:pPr>
            <w:r>
              <w:rPr>
                <w:rFonts w:ascii="Arial" w:cs="Arial" w:eastAsia="Arial" w:hAnsi="Arial"/>
                <w:sz w:val="14"/>
                <w:szCs w:val="14"/>
                <w:color w:val="auto"/>
                <w:w w:val="98"/>
              </w:rPr>
              <w:t>2/23/25</w:t>
            </w:r>
          </w:p>
        </w:tc>
        <w:tc>
          <w:tcPr>
            <w:tcW w:w="220" w:type="dxa"/>
            <w:vAlign w:val="bottom"/>
            <w:shd w:val="clear" w:color="auto" w:fill="F4F3F3"/>
          </w:tcPr>
          <w:p>
            <w:pPr>
              <w:spacing w:after="0"/>
              <w:rPr>
                <w:sz w:val="15"/>
                <w:szCs w:val="15"/>
                <w:color w:val="auto"/>
              </w:rPr>
            </w:pPr>
          </w:p>
        </w:tc>
        <w:tc>
          <w:tcPr>
            <w:tcW w:w="1080" w:type="dxa"/>
            <w:vAlign w:val="bottom"/>
            <w:shd w:val="clear" w:color="auto" w:fill="F4F3F3"/>
          </w:tcPr>
          <w:p>
            <w:pPr>
              <w:jc w:val="right"/>
              <w:ind w:right="270"/>
              <w:spacing w:after="0"/>
              <w:rPr>
                <w:sz w:val="20"/>
                <w:szCs w:val="20"/>
                <w:color w:val="auto"/>
              </w:rPr>
            </w:pPr>
            <w:r>
              <w:rPr>
                <w:rFonts w:ascii="Arial" w:cs="Arial" w:eastAsia="Arial" w:hAnsi="Arial"/>
                <w:sz w:val="14"/>
                <w:szCs w:val="14"/>
                <w:color w:val="auto"/>
              </w:rPr>
              <w:t>567,848</w:t>
            </w:r>
          </w:p>
        </w:tc>
        <w:tc>
          <w:tcPr>
            <w:tcW w:w="700" w:type="dxa"/>
            <w:vAlign w:val="bottom"/>
            <w:shd w:val="clear" w:color="auto" w:fill="F4F3F3"/>
          </w:tcPr>
          <w:p>
            <w:pPr>
              <w:jc w:val="right"/>
              <w:spacing w:after="0"/>
              <w:rPr>
                <w:sz w:val="20"/>
                <w:szCs w:val="20"/>
                <w:color w:val="auto"/>
              </w:rPr>
            </w:pPr>
            <w:r>
              <w:rPr>
                <w:rFonts w:ascii="Arial" w:cs="Arial" w:eastAsia="Arial" w:hAnsi="Arial"/>
                <w:sz w:val="14"/>
                <w:szCs w:val="14"/>
                <w:color w:val="auto"/>
              </w:rPr>
              <w:t>283,924</w:t>
            </w:r>
          </w:p>
        </w:tc>
        <w:tc>
          <w:tcPr>
            <w:tcW w:w="180" w:type="dxa"/>
            <w:vAlign w:val="bottom"/>
            <w:shd w:val="clear" w:color="auto" w:fill="F4F3F3"/>
          </w:tcPr>
          <w:p>
            <w:pPr>
              <w:spacing w:after="0"/>
              <w:rPr>
                <w:sz w:val="15"/>
                <w:szCs w:val="15"/>
                <w:color w:val="auto"/>
              </w:rPr>
            </w:pPr>
          </w:p>
        </w:tc>
        <w:tc>
          <w:tcPr>
            <w:tcW w:w="940" w:type="dxa"/>
            <w:vAlign w:val="bottom"/>
            <w:shd w:val="clear" w:color="auto" w:fill="F4F3F3"/>
          </w:tcPr>
          <w:p>
            <w:pPr>
              <w:jc w:val="right"/>
              <w:ind w:right="290"/>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300" w:type="dxa"/>
            <w:vAlign w:val="bottom"/>
            <w:shd w:val="clear" w:color="auto" w:fill="F4F3F3"/>
          </w:tcPr>
          <w:p>
            <w:pPr>
              <w:spacing w:after="0"/>
              <w:rPr>
                <w:sz w:val="14"/>
                <w:szCs w:val="14"/>
                <w:color w:val="auto"/>
              </w:rPr>
            </w:pPr>
          </w:p>
        </w:tc>
        <w:tc>
          <w:tcPr>
            <w:tcW w:w="220" w:type="dxa"/>
            <w:vAlign w:val="bottom"/>
            <w:shd w:val="clear" w:color="auto" w:fill="F4F3F3"/>
          </w:tcPr>
          <w:p>
            <w:pPr>
              <w:spacing w:after="0"/>
              <w:rPr>
                <w:sz w:val="14"/>
                <w:szCs w:val="14"/>
                <w:color w:val="auto"/>
              </w:rPr>
            </w:pPr>
          </w:p>
        </w:tc>
        <w:tc>
          <w:tcPr>
            <w:tcW w:w="670" w:type="dxa"/>
            <w:vAlign w:val="bottom"/>
            <w:shd w:val="clear" w:color="auto" w:fill="F4F3F3"/>
          </w:tcPr>
          <w:p>
            <w:pPr>
              <w:jc w:val="right"/>
              <w:ind w:right="99"/>
              <w:spacing w:after="0"/>
              <w:rPr>
                <w:sz w:val="20"/>
                <w:szCs w:val="20"/>
                <w:color w:val="auto"/>
              </w:rPr>
            </w:pPr>
            <w:r>
              <w:rPr>
                <w:rFonts w:ascii="Arial" w:cs="Arial" w:eastAsia="Arial" w:hAnsi="Arial"/>
                <w:sz w:val="14"/>
                <w:szCs w:val="14"/>
                <w:color w:val="auto"/>
              </w:rPr>
              <w:t>2/22/16</w:t>
            </w: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SARs</w:t>
            </w:r>
          </w:p>
        </w:tc>
        <w:tc>
          <w:tcPr>
            <w:tcW w:w="240" w:type="dxa"/>
            <w:vAlign w:val="bottom"/>
            <w:shd w:val="clear" w:color="auto" w:fill="F4F3F3"/>
          </w:tcPr>
          <w:p>
            <w:pPr>
              <w:spacing w:after="0"/>
              <w:rPr>
                <w:sz w:val="14"/>
                <w:szCs w:val="14"/>
                <w:color w:val="auto"/>
              </w:rPr>
            </w:pPr>
          </w:p>
        </w:tc>
        <w:tc>
          <w:tcPr>
            <w:tcW w:w="900" w:type="dxa"/>
            <w:vAlign w:val="bottom"/>
            <w:tcBorders>
              <w:right w:val="single" w:sz="8" w:color="F4F3F3"/>
            </w:tcBorders>
            <w:shd w:val="clear" w:color="auto" w:fill="F4F3F3"/>
          </w:tcPr>
          <w:p>
            <w:pPr>
              <w:jc w:val="right"/>
              <w:ind w:right="310"/>
              <w:spacing w:after="0"/>
              <w:rPr>
                <w:sz w:val="20"/>
                <w:szCs w:val="20"/>
                <w:color w:val="auto"/>
              </w:rPr>
            </w:pPr>
            <w:r>
              <w:rPr>
                <w:rFonts w:ascii="Arial" w:cs="Arial" w:eastAsia="Arial" w:hAnsi="Arial"/>
                <w:sz w:val="14"/>
                <w:szCs w:val="14"/>
                <w:color w:val="auto"/>
              </w:rPr>
              <w:t>10,171</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20,342(2)</w:t>
            </w:r>
          </w:p>
        </w:tc>
        <w:tc>
          <w:tcPr>
            <w:tcW w:w="220" w:type="dxa"/>
            <w:vAlign w:val="bottom"/>
            <w:shd w:val="clear" w:color="auto" w:fill="F4F3F3"/>
          </w:tcPr>
          <w:p>
            <w:pPr>
              <w:spacing w:after="0"/>
              <w:rPr>
                <w:sz w:val="14"/>
                <w:szCs w:val="14"/>
                <w:color w:val="auto"/>
              </w:rPr>
            </w:pPr>
          </w:p>
        </w:tc>
        <w:tc>
          <w:tcPr>
            <w:tcW w:w="700" w:type="dxa"/>
            <w:vAlign w:val="bottom"/>
            <w:shd w:val="clear" w:color="auto" w:fill="F4F3F3"/>
          </w:tcPr>
          <w:p>
            <w:pPr>
              <w:jc w:val="right"/>
              <w:ind w:right="89"/>
              <w:spacing w:after="0"/>
              <w:rPr>
                <w:sz w:val="20"/>
                <w:szCs w:val="20"/>
                <w:color w:val="auto"/>
              </w:rPr>
            </w:pPr>
            <w:r>
              <w:rPr>
                <w:rFonts w:ascii="Arial" w:cs="Arial" w:eastAsia="Arial" w:hAnsi="Arial"/>
                <w:sz w:val="14"/>
                <w:szCs w:val="14"/>
                <w:color w:val="auto"/>
              </w:rPr>
              <w:t>66.86</w:t>
            </w:r>
          </w:p>
        </w:tc>
        <w:tc>
          <w:tcPr>
            <w:tcW w:w="240" w:type="dxa"/>
            <w:vAlign w:val="bottom"/>
            <w:shd w:val="clear" w:color="auto" w:fill="F4F3F3"/>
          </w:tcPr>
          <w:p>
            <w:pPr>
              <w:spacing w:after="0"/>
              <w:rPr>
                <w:sz w:val="14"/>
                <w:szCs w:val="14"/>
                <w:color w:val="auto"/>
              </w:rPr>
            </w:pPr>
          </w:p>
        </w:tc>
        <w:tc>
          <w:tcPr>
            <w:tcW w:w="660" w:type="dxa"/>
            <w:vAlign w:val="bottom"/>
            <w:shd w:val="clear" w:color="auto" w:fill="F4F3F3"/>
          </w:tcPr>
          <w:p>
            <w:pPr>
              <w:jc w:val="right"/>
              <w:ind w:right="111"/>
              <w:spacing w:after="0"/>
              <w:rPr>
                <w:sz w:val="20"/>
                <w:szCs w:val="20"/>
                <w:color w:val="auto"/>
              </w:rPr>
            </w:pPr>
            <w:r>
              <w:rPr>
                <w:rFonts w:ascii="Arial" w:cs="Arial" w:eastAsia="Arial" w:hAnsi="Arial"/>
                <w:sz w:val="14"/>
                <w:szCs w:val="14"/>
                <w:color w:val="auto"/>
                <w:w w:val="98"/>
              </w:rPr>
              <w:t>2/22/26</w:t>
            </w:r>
          </w:p>
        </w:tc>
        <w:tc>
          <w:tcPr>
            <w:tcW w:w="220" w:type="dxa"/>
            <w:vAlign w:val="bottom"/>
            <w:shd w:val="clear" w:color="auto" w:fill="F4F3F3"/>
          </w:tcPr>
          <w:p>
            <w:pPr>
              <w:spacing w:after="0"/>
              <w:rPr>
                <w:sz w:val="14"/>
                <w:szCs w:val="14"/>
                <w:color w:val="auto"/>
              </w:rPr>
            </w:pPr>
          </w:p>
        </w:tc>
        <w:tc>
          <w:tcPr>
            <w:tcW w:w="1080" w:type="dxa"/>
            <w:vAlign w:val="bottom"/>
            <w:shd w:val="clear" w:color="auto" w:fill="F4F3F3"/>
          </w:tcPr>
          <w:p>
            <w:pPr>
              <w:jc w:val="right"/>
              <w:ind w:right="270"/>
              <w:spacing w:after="0"/>
              <w:rPr>
                <w:sz w:val="20"/>
                <w:szCs w:val="20"/>
                <w:color w:val="auto"/>
              </w:rPr>
            </w:pPr>
            <w:r>
              <w:rPr>
                <w:rFonts w:ascii="Arial" w:cs="Arial" w:eastAsia="Arial" w:hAnsi="Arial"/>
                <w:sz w:val="14"/>
                <w:szCs w:val="14"/>
                <w:color w:val="auto"/>
              </w:rPr>
              <w:t>700,477</w:t>
            </w:r>
          </w:p>
        </w:tc>
        <w:tc>
          <w:tcPr>
            <w:tcW w:w="700" w:type="dxa"/>
            <w:vAlign w:val="bottom"/>
            <w:shd w:val="clear" w:color="auto" w:fill="F4F3F3"/>
          </w:tcPr>
          <w:p>
            <w:pPr>
              <w:jc w:val="right"/>
              <w:spacing w:after="0"/>
              <w:rPr>
                <w:sz w:val="20"/>
                <w:szCs w:val="20"/>
                <w:color w:val="auto"/>
              </w:rPr>
            </w:pPr>
            <w:r>
              <w:rPr>
                <w:rFonts w:ascii="Arial" w:cs="Arial" w:eastAsia="Arial" w:hAnsi="Arial"/>
                <w:sz w:val="14"/>
                <w:szCs w:val="14"/>
                <w:color w:val="auto"/>
              </w:rPr>
              <w:t>1,400,954</w:t>
            </w:r>
          </w:p>
        </w:tc>
        <w:tc>
          <w:tcPr>
            <w:tcW w:w="180" w:type="dxa"/>
            <w:vAlign w:val="bottom"/>
            <w:shd w:val="clear" w:color="auto" w:fill="F4F3F3"/>
          </w:tcPr>
          <w:p>
            <w:pPr>
              <w:spacing w:after="0"/>
              <w:rPr>
                <w:sz w:val="14"/>
                <w:szCs w:val="14"/>
                <w:color w:val="auto"/>
              </w:rPr>
            </w:pPr>
          </w:p>
        </w:tc>
        <w:tc>
          <w:tcPr>
            <w:tcW w:w="940" w:type="dxa"/>
            <w:vAlign w:val="bottom"/>
            <w:shd w:val="clear" w:color="auto" w:fill="F4F3F3"/>
          </w:tcPr>
          <w:p>
            <w:pPr>
              <w:jc w:val="right"/>
              <w:ind w:right="290"/>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300" w:type="dxa"/>
            <w:vAlign w:val="bottom"/>
            <w:shd w:val="clear" w:color="auto" w:fill="F4F3F3"/>
          </w:tcPr>
          <w:p>
            <w:pPr>
              <w:spacing w:after="0"/>
              <w:rPr>
                <w:sz w:val="14"/>
                <w:szCs w:val="14"/>
                <w:color w:val="auto"/>
              </w:rPr>
            </w:pPr>
          </w:p>
        </w:tc>
        <w:tc>
          <w:tcPr>
            <w:tcW w:w="220" w:type="dxa"/>
            <w:vAlign w:val="bottom"/>
            <w:shd w:val="clear" w:color="auto" w:fill="F4F3F3"/>
          </w:tcPr>
          <w:p>
            <w:pPr>
              <w:spacing w:after="0"/>
              <w:rPr>
                <w:sz w:val="14"/>
                <w:szCs w:val="14"/>
                <w:color w:val="auto"/>
              </w:rPr>
            </w:pPr>
          </w:p>
        </w:tc>
        <w:tc>
          <w:tcPr>
            <w:tcW w:w="670" w:type="dxa"/>
            <w:vAlign w:val="bottom"/>
            <w:shd w:val="clear" w:color="auto" w:fill="F4F3F3"/>
          </w:tcPr>
          <w:p>
            <w:pPr>
              <w:jc w:val="right"/>
              <w:ind w:right="99"/>
              <w:spacing w:after="0"/>
              <w:rPr>
                <w:sz w:val="20"/>
                <w:szCs w:val="20"/>
                <w:color w:val="auto"/>
              </w:rPr>
            </w:pPr>
            <w:r>
              <w:rPr>
                <w:rFonts w:ascii="Arial" w:cs="Arial" w:eastAsia="Arial" w:hAnsi="Arial"/>
                <w:sz w:val="14"/>
                <w:szCs w:val="14"/>
                <w:color w:val="auto"/>
              </w:rPr>
              <w:t>2/21/17</w:t>
            </w: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SARs</w:t>
            </w:r>
          </w:p>
        </w:tc>
        <w:tc>
          <w:tcPr>
            <w:tcW w:w="240" w:type="dxa"/>
            <w:vAlign w:val="bottom"/>
            <w:shd w:val="clear" w:color="auto" w:fill="F4F3F3"/>
          </w:tcPr>
          <w:p>
            <w:pPr>
              <w:spacing w:after="0"/>
              <w:rPr>
                <w:sz w:val="14"/>
                <w:szCs w:val="14"/>
                <w:color w:val="auto"/>
              </w:rPr>
            </w:pPr>
          </w:p>
        </w:tc>
        <w:tc>
          <w:tcPr>
            <w:tcW w:w="900" w:type="dxa"/>
            <w:vAlign w:val="bottom"/>
            <w:tcBorders>
              <w:right w:val="single" w:sz="8" w:color="F4F3F3"/>
            </w:tcBorders>
            <w:shd w:val="clear" w:color="auto" w:fill="F4F3F3"/>
          </w:tcPr>
          <w:p>
            <w:pPr>
              <w:ind w:left="3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28,341(2)</w:t>
            </w:r>
          </w:p>
        </w:tc>
        <w:tc>
          <w:tcPr>
            <w:tcW w:w="220" w:type="dxa"/>
            <w:vAlign w:val="bottom"/>
            <w:shd w:val="clear" w:color="auto" w:fill="F4F3F3"/>
          </w:tcPr>
          <w:p>
            <w:pPr>
              <w:spacing w:after="0"/>
              <w:rPr>
                <w:sz w:val="14"/>
                <w:szCs w:val="14"/>
                <w:color w:val="auto"/>
              </w:rPr>
            </w:pPr>
          </w:p>
        </w:tc>
        <w:tc>
          <w:tcPr>
            <w:tcW w:w="700" w:type="dxa"/>
            <w:vAlign w:val="bottom"/>
            <w:shd w:val="clear" w:color="auto" w:fill="F4F3F3"/>
          </w:tcPr>
          <w:p>
            <w:pPr>
              <w:jc w:val="right"/>
              <w:ind w:right="89"/>
              <w:spacing w:after="0"/>
              <w:rPr>
                <w:sz w:val="20"/>
                <w:szCs w:val="20"/>
                <w:color w:val="auto"/>
              </w:rPr>
            </w:pPr>
            <w:r>
              <w:rPr>
                <w:rFonts w:ascii="Arial" w:cs="Arial" w:eastAsia="Arial" w:hAnsi="Arial"/>
                <w:sz w:val="14"/>
                <w:szCs w:val="14"/>
                <w:color w:val="auto"/>
              </w:rPr>
              <w:t>88.31</w:t>
            </w:r>
          </w:p>
        </w:tc>
        <w:tc>
          <w:tcPr>
            <w:tcW w:w="240" w:type="dxa"/>
            <w:vAlign w:val="bottom"/>
            <w:shd w:val="clear" w:color="auto" w:fill="F4F3F3"/>
          </w:tcPr>
          <w:p>
            <w:pPr>
              <w:spacing w:after="0"/>
              <w:rPr>
                <w:sz w:val="14"/>
                <w:szCs w:val="14"/>
                <w:color w:val="auto"/>
              </w:rPr>
            </w:pPr>
          </w:p>
        </w:tc>
        <w:tc>
          <w:tcPr>
            <w:tcW w:w="660" w:type="dxa"/>
            <w:vAlign w:val="bottom"/>
            <w:shd w:val="clear" w:color="auto" w:fill="F4F3F3"/>
          </w:tcPr>
          <w:p>
            <w:pPr>
              <w:jc w:val="right"/>
              <w:ind w:right="111"/>
              <w:spacing w:after="0"/>
              <w:rPr>
                <w:sz w:val="20"/>
                <w:szCs w:val="20"/>
                <w:color w:val="auto"/>
              </w:rPr>
            </w:pPr>
            <w:r>
              <w:rPr>
                <w:rFonts w:ascii="Arial" w:cs="Arial" w:eastAsia="Arial" w:hAnsi="Arial"/>
                <w:sz w:val="14"/>
                <w:szCs w:val="14"/>
                <w:color w:val="auto"/>
                <w:w w:val="98"/>
              </w:rPr>
              <w:t>2/21/27</w:t>
            </w:r>
          </w:p>
        </w:tc>
        <w:tc>
          <w:tcPr>
            <w:tcW w:w="220" w:type="dxa"/>
            <w:vAlign w:val="bottom"/>
            <w:shd w:val="clear" w:color="auto" w:fill="F4F3F3"/>
          </w:tcPr>
          <w:p>
            <w:pPr>
              <w:spacing w:after="0"/>
              <w:rPr>
                <w:sz w:val="14"/>
                <w:szCs w:val="14"/>
                <w:color w:val="auto"/>
              </w:rPr>
            </w:pPr>
          </w:p>
        </w:tc>
        <w:tc>
          <w:tcPr>
            <w:tcW w:w="1080" w:type="dxa"/>
            <w:vAlign w:val="bottom"/>
            <w:shd w:val="clear" w:color="auto" w:fill="F4F3F3"/>
          </w:tcPr>
          <w:p>
            <w:pPr>
              <w:jc w:val="right"/>
              <w:ind w:right="350"/>
              <w:spacing w:after="0"/>
              <w:rPr>
                <w:sz w:val="20"/>
                <w:szCs w:val="20"/>
                <w:color w:val="auto"/>
              </w:rPr>
            </w:pPr>
            <w:r>
              <w:rPr>
                <w:rFonts w:ascii="Arial" w:cs="Arial" w:eastAsia="Arial" w:hAnsi="Arial"/>
                <w:sz w:val="14"/>
                <w:szCs w:val="14"/>
                <w:color w:val="auto"/>
              </w:rPr>
              <w:t>—</w:t>
            </w:r>
          </w:p>
        </w:tc>
        <w:tc>
          <w:tcPr>
            <w:tcW w:w="700" w:type="dxa"/>
            <w:vAlign w:val="bottom"/>
            <w:shd w:val="clear" w:color="auto" w:fill="F4F3F3"/>
          </w:tcPr>
          <w:p>
            <w:pPr>
              <w:jc w:val="right"/>
              <w:spacing w:after="0"/>
              <w:rPr>
                <w:sz w:val="20"/>
                <w:szCs w:val="20"/>
                <w:color w:val="auto"/>
              </w:rPr>
            </w:pPr>
            <w:r>
              <w:rPr>
                <w:rFonts w:ascii="Arial" w:cs="Arial" w:eastAsia="Arial" w:hAnsi="Arial"/>
                <w:sz w:val="14"/>
                <w:szCs w:val="14"/>
                <w:color w:val="auto"/>
              </w:rPr>
              <w:t>1,343,930</w:t>
            </w:r>
          </w:p>
        </w:tc>
        <w:tc>
          <w:tcPr>
            <w:tcW w:w="180" w:type="dxa"/>
            <w:vAlign w:val="bottom"/>
            <w:shd w:val="clear" w:color="auto" w:fill="F4F3F3"/>
          </w:tcPr>
          <w:p>
            <w:pPr>
              <w:spacing w:after="0"/>
              <w:rPr>
                <w:sz w:val="14"/>
                <w:szCs w:val="14"/>
                <w:color w:val="auto"/>
              </w:rPr>
            </w:pPr>
          </w:p>
        </w:tc>
        <w:tc>
          <w:tcPr>
            <w:tcW w:w="940" w:type="dxa"/>
            <w:vAlign w:val="bottom"/>
            <w:shd w:val="clear" w:color="auto" w:fill="F4F3F3"/>
          </w:tcPr>
          <w:p>
            <w:pPr>
              <w:jc w:val="right"/>
              <w:ind w:right="290"/>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1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300" w:type="dxa"/>
            <w:vAlign w:val="bottom"/>
            <w:shd w:val="clear" w:color="auto" w:fill="F4F3F3"/>
          </w:tcPr>
          <w:p>
            <w:pPr>
              <w:spacing w:after="0"/>
              <w:rPr>
                <w:sz w:val="14"/>
                <w:szCs w:val="14"/>
                <w:color w:val="auto"/>
              </w:rPr>
            </w:pPr>
          </w:p>
        </w:tc>
        <w:tc>
          <w:tcPr>
            <w:tcW w:w="220" w:type="dxa"/>
            <w:vAlign w:val="bottom"/>
            <w:shd w:val="clear" w:color="auto" w:fill="F4F3F3"/>
          </w:tcPr>
          <w:p>
            <w:pPr>
              <w:spacing w:after="0"/>
              <w:rPr>
                <w:sz w:val="14"/>
                <w:szCs w:val="14"/>
                <w:color w:val="auto"/>
              </w:rPr>
            </w:pPr>
          </w:p>
        </w:tc>
        <w:tc>
          <w:tcPr>
            <w:tcW w:w="670" w:type="dxa"/>
            <w:vAlign w:val="bottom"/>
            <w:shd w:val="clear" w:color="auto" w:fill="F4F3F3"/>
          </w:tcPr>
          <w:p>
            <w:pPr>
              <w:spacing w:after="0"/>
              <w:rPr>
                <w:sz w:val="14"/>
                <w:szCs w:val="14"/>
                <w:color w:val="auto"/>
              </w:rPr>
            </w:pP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RSUs</w:t>
            </w:r>
          </w:p>
        </w:tc>
        <w:tc>
          <w:tcPr>
            <w:tcW w:w="240" w:type="dxa"/>
            <w:vAlign w:val="bottom"/>
            <w:shd w:val="clear" w:color="auto" w:fill="F4F3F3"/>
          </w:tcPr>
          <w:p>
            <w:pPr>
              <w:spacing w:after="0"/>
              <w:rPr>
                <w:sz w:val="14"/>
                <w:szCs w:val="14"/>
                <w:color w:val="auto"/>
              </w:rPr>
            </w:pPr>
          </w:p>
        </w:tc>
        <w:tc>
          <w:tcPr>
            <w:tcW w:w="900" w:type="dxa"/>
            <w:vAlign w:val="bottom"/>
            <w:tcBorders>
              <w:right w:val="single" w:sz="8" w:color="F4F3F3"/>
            </w:tcBorders>
            <w:shd w:val="clear" w:color="auto" w:fill="F4F3F3"/>
          </w:tcPr>
          <w:p>
            <w:pPr>
              <w:ind w:left="3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F4F3F3"/>
          </w:tcPr>
          <w:p>
            <w:pPr>
              <w:spacing w:after="0"/>
              <w:rPr>
                <w:sz w:val="14"/>
                <w:szCs w:val="14"/>
                <w:color w:val="auto"/>
              </w:rPr>
            </w:pPr>
          </w:p>
        </w:tc>
        <w:tc>
          <w:tcPr>
            <w:tcW w:w="700" w:type="dxa"/>
            <w:vAlign w:val="bottom"/>
            <w:shd w:val="clear" w:color="auto" w:fill="F4F3F3"/>
          </w:tcPr>
          <w:p>
            <w:pPr>
              <w:jc w:val="right"/>
              <w:ind w:right="169"/>
              <w:spacing w:after="0"/>
              <w:rPr>
                <w:sz w:val="20"/>
                <w:szCs w:val="20"/>
                <w:color w:val="auto"/>
              </w:rPr>
            </w:pPr>
            <w:r>
              <w:rPr>
                <w:rFonts w:ascii="Arial" w:cs="Arial" w:eastAsia="Arial" w:hAnsi="Arial"/>
                <w:sz w:val="14"/>
                <w:szCs w:val="14"/>
                <w:color w:val="auto"/>
              </w:rPr>
              <w:t>—</w:t>
            </w:r>
          </w:p>
        </w:tc>
        <w:tc>
          <w:tcPr>
            <w:tcW w:w="240" w:type="dxa"/>
            <w:vAlign w:val="bottom"/>
            <w:shd w:val="clear" w:color="auto" w:fill="F4F3F3"/>
          </w:tcPr>
          <w:p>
            <w:pPr>
              <w:spacing w:after="0"/>
              <w:rPr>
                <w:sz w:val="14"/>
                <w:szCs w:val="14"/>
                <w:color w:val="auto"/>
              </w:rPr>
            </w:pPr>
          </w:p>
        </w:tc>
        <w:tc>
          <w:tcPr>
            <w:tcW w:w="660" w:type="dxa"/>
            <w:vAlign w:val="bottom"/>
            <w:shd w:val="clear" w:color="auto" w:fill="F4F3F3"/>
          </w:tcPr>
          <w:p>
            <w:pPr>
              <w:spacing w:after="0"/>
              <w:rPr>
                <w:sz w:val="14"/>
                <w:szCs w:val="14"/>
                <w:color w:val="auto"/>
              </w:rPr>
            </w:pPr>
          </w:p>
        </w:tc>
        <w:tc>
          <w:tcPr>
            <w:tcW w:w="220" w:type="dxa"/>
            <w:vAlign w:val="bottom"/>
            <w:shd w:val="clear" w:color="auto" w:fill="F4F3F3"/>
          </w:tcPr>
          <w:p>
            <w:pPr>
              <w:spacing w:after="0"/>
              <w:rPr>
                <w:sz w:val="14"/>
                <w:szCs w:val="14"/>
                <w:color w:val="auto"/>
              </w:rPr>
            </w:pPr>
          </w:p>
        </w:tc>
        <w:tc>
          <w:tcPr>
            <w:tcW w:w="1080" w:type="dxa"/>
            <w:vAlign w:val="bottom"/>
            <w:shd w:val="clear" w:color="auto" w:fill="F4F3F3"/>
          </w:tcPr>
          <w:p>
            <w:pPr>
              <w:jc w:val="right"/>
              <w:ind w:right="350"/>
              <w:spacing w:after="0"/>
              <w:rPr>
                <w:sz w:val="20"/>
                <w:szCs w:val="20"/>
                <w:color w:val="auto"/>
              </w:rPr>
            </w:pPr>
            <w:r>
              <w:rPr>
                <w:rFonts w:ascii="Arial" w:cs="Arial" w:eastAsia="Arial" w:hAnsi="Arial"/>
                <w:sz w:val="14"/>
                <w:szCs w:val="14"/>
                <w:color w:val="auto"/>
              </w:rPr>
              <w:t>—</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F4F3F3"/>
          </w:tcPr>
          <w:p>
            <w:pPr>
              <w:jc w:val="right"/>
              <w:ind w:right="30"/>
              <w:spacing w:after="0"/>
              <w:rPr>
                <w:sz w:val="20"/>
                <w:szCs w:val="20"/>
                <w:color w:val="auto"/>
              </w:rPr>
            </w:pPr>
            <w:r>
              <w:rPr>
                <w:rFonts w:ascii="Arial" w:cs="Arial" w:eastAsia="Arial" w:hAnsi="Arial"/>
                <w:sz w:val="14"/>
                <w:szCs w:val="14"/>
                <w:color w:val="auto"/>
              </w:rPr>
              <w:t>18,013(9)</w:t>
            </w:r>
          </w:p>
        </w:tc>
        <w:tc>
          <w:tcPr>
            <w:tcW w:w="106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2,444,904</w:t>
            </w:r>
          </w:p>
        </w:tc>
        <w:tc>
          <w:tcPr>
            <w:tcW w:w="0" w:type="dxa"/>
            <w:vAlign w:val="bottom"/>
          </w:tcPr>
          <w:p>
            <w:pPr>
              <w:spacing w:after="0"/>
              <w:rPr>
                <w:sz w:val="1"/>
                <w:szCs w:val="1"/>
                <w:color w:val="auto"/>
              </w:rPr>
            </w:pPr>
          </w:p>
        </w:tc>
      </w:tr>
      <w:tr>
        <w:trPr>
          <w:trHeight w:val="162"/>
        </w:trPr>
        <w:tc>
          <w:tcPr>
            <w:tcW w:w="1300" w:type="dxa"/>
            <w:vAlign w:val="bottom"/>
            <w:shd w:val="clear" w:color="auto" w:fill="F4F3F3"/>
          </w:tcPr>
          <w:p>
            <w:pPr>
              <w:spacing w:after="0"/>
              <w:rPr>
                <w:sz w:val="14"/>
                <w:szCs w:val="14"/>
                <w:color w:val="auto"/>
              </w:rPr>
            </w:pPr>
          </w:p>
        </w:tc>
        <w:tc>
          <w:tcPr>
            <w:tcW w:w="220" w:type="dxa"/>
            <w:vAlign w:val="bottom"/>
            <w:shd w:val="clear" w:color="auto" w:fill="F4F3F3"/>
          </w:tcPr>
          <w:p>
            <w:pPr>
              <w:spacing w:after="0"/>
              <w:rPr>
                <w:sz w:val="14"/>
                <w:szCs w:val="14"/>
                <w:color w:val="auto"/>
              </w:rPr>
            </w:pPr>
          </w:p>
        </w:tc>
        <w:tc>
          <w:tcPr>
            <w:tcW w:w="670" w:type="dxa"/>
            <w:vAlign w:val="bottom"/>
            <w:shd w:val="clear" w:color="auto" w:fill="F4F3F3"/>
          </w:tcPr>
          <w:p>
            <w:pPr>
              <w:spacing w:after="0"/>
              <w:rPr>
                <w:sz w:val="14"/>
                <w:szCs w:val="14"/>
                <w:color w:val="auto"/>
              </w:rPr>
            </w:pP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PSUs</w:t>
            </w:r>
          </w:p>
        </w:tc>
        <w:tc>
          <w:tcPr>
            <w:tcW w:w="240" w:type="dxa"/>
            <w:vAlign w:val="bottom"/>
            <w:shd w:val="clear" w:color="auto" w:fill="F4F3F3"/>
          </w:tcPr>
          <w:p>
            <w:pPr>
              <w:spacing w:after="0"/>
              <w:rPr>
                <w:sz w:val="14"/>
                <w:szCs w:val="14"/>
                <w:color w:val="auto"/>
              </w:rPr>
            </w:pPr>
          </w:p>
        </w:tc>
        <w:tc>
          <w:tcPr>
            <w:tcW w:w="900" w:type="dxa"/>
            <w:vAlign w:val="bottom"/>
            <w:tcBorders>
              <w:right w:val="single" w:sz="8" w:color="F4F3F3"/>
            </w:tcBorders>
            <w:shd w:val="clear" w:color="auto" w:fill="F4F3F3"/>
          </w:tcPr>
          <w:p>
            <w:pPr>
              <w:ind w:left="3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F4F3F3"/>
          </w:tcPr>
          <w:p>
            <w:pPr>
              <w:spacing w:after="0"/>
              <w:rPr>
                <w:sz w:val="14"/>
                <w:szCs w:val="14"/>
                <w:color w:val="auto"/>
              </w:rPr>
            </w:pPr>
          </w:p>
        </w:tc>
        <w:tc>
          <w:tcPr>
            <w:tcW w:w="700" w:type="dxa"/>
            <w:vAlign w:val="bottom"/>
            <w:shd w:val="clear" w:color="auto" w:fill="F4F3F3"/>
          </w:tcPr>
          <w:p>
            <w:pPr>
              <w:jc w:val="right"/>
              <w:ind w:right="169"/>
              <w:spacing w:after="0"/>
              <w:rPr>
                <w:sz w:val="20"/>
                <w:szCs w:val="20"/>
                <w:color w:val="auto"/>
              </w:rPr>
            </w:pPr>
            <w:r>
              <w:rPr>
                <w:rFonts w:ascii="Arial" w:cs="Arial" w:eastAsia="Arial" w:hAnsi="Arial"/>
                <w:sz w:val="14"/>
                <w:szCs w:val="14"/>
                <w:color w:val="auto"/>
              </w:rPr>
              <w:t>—</w:t>
            </w:r>
          </w:p>
        </w:tc>
        <w:tc>
          <w:tcPr>
            <w:tcW w:w="240" w:type="dxa"/>
            <w:vAlign w:val="bottom"/>
            <w:shd w:val="clear" w:color="auto" w:fill="F4F3F3"/>
          </w:tcPr>
          <w:p>
            <w:pPr>
              <w:spacing w:after="0"/>
              <w:rPr>
                <w:sz w:val="14"/>
                <w:szCs w:val="14"/>
                <w:color w:val="auto"/>
              </w:rPr>
            </w:pPr>
          </w:p>
        </w:tc>
        <w:tc>
          <w:tcPr>
            <w:tcW w:w="660" w:type="dxa"/>
            <w:vAlign w:val="bottom"/>
            <w:shd w:val="clear" w:color="auto" w:fill="F4F3F3"/>
          </w:tcPr>
          <w:p>
            <w:pPr>
              <w:spacing w:after="0"/>
              <w:rPr>
                <w:sz w:val="14"/>
                <w:szCs w:val="14"/>
                <w:color w:val="auto"/>
              </w:rPr>
            </w:pPr>
          </w:p>
        </w:tc>
        <w:tc>
          <w:tcPr>
            <w:tcW w:w="220" w:type="dxa"/>
            <w:vAlign w:val="bottom"/>
            <w:shd w:val="clear" w:color="auto" w:fill="F4F3F3"/>
          </w:tcPr>
          <w:p>
            <w:pPr>
              <w:spacing w:after="0"/>
              <w:rPr>
                <w:sz w:val="14"/>
                <w:szCs w:val="14"/>
                <w:color w:val="auto"/>
              </w:rPr>
            </w:pPr>
          </w:p>
        </w:tc>
        <w:tc>
          <w:tcPr>
            <w:tcW w:w="1080" w:type="dxa"/>
            <w:vAlign w:val="bottom"/>
            <w:shd w:val="clear" w:color="auto" w:fill="F4F3F3"/>
          </w:tcPr>
          <w:p>
            <w:pPr>
              <w:jc w:val="right"/>
              <w:ind w:right="350"/>
              <w:spacing w:after="0"/>
              <w:rPr>
                <w:sz w:val="20"/>
                <w:szCs w:val="20"/>
                <w:color w:val="auto"/>
              </w:rPr>
            </w:pPr>
            <w:r>
              <w:rPr>
                <w:rFonts w:ascii="Arial" w:cs="Arial" w:eastAsia="Arial" w:hAnsi="Arial"/>
                <w:sz w:val="14"/>
                <w:szCs w:val="14"/>
                <w:color w:val="auto"/>
              </w:rPr>
              <w:t>—</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F4F3F3"/>
          </w:tcPr>
          <w:p>
            <w:pPr>
              <w:jc w:val="right"/>
              <w:ind w:right="30"/>
              <w:spacing w:after="0"/>
              <w:rPr>
                <w:sz w:val="20"/>
                <w:szCs w:val="20"/>
                <w:color w:val="auto"/>
              </w:rPr>
            </w:pPr>
            <w:r>
              <w:rPr>
                <w:rFonts w:ascii="Arial" w:cs="Arial" w:eastAsia="Arial" w:hAnsi="Arial"/>
                <w:sz w:val="14"/>
                <w:szCs w:val="14"/>
                <w:color w:val="auto"/>
              </w:rPr>
              <w:t>5,043(4)</w:t>
            </w:r>
          </w:p>
        </w:tc>
        <w:tc>
          <w:tcPr>
            <w:tcW w:w="106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684,486</w:t>
            </w:r>
          </w:p>
        </w:tc>
        <w:tc>
          <w:tcPr>
            <w:tcW w:w="0" w:type="dxa"/>
            <w:vAlign w:val="bottom"/>
          </w:tcPr>
          <w:p>
            <w:pPr>
              <w:spacing w:after="0"/>
              <w:rPr>
                <w:sz w:val="1"/>
                <w:szCs w:val="1"/>
                <w:color w:val="auto"/>
              </w:rPr>
            </w:pPr>
          </w:p>
        </w:tc>
      </w:tr>
      <w:tr>
        <w:trPr>
          <w:trHeight w:val="162"/>
        </w:trPr>
        <w:tc>
          <w:tcPr>
            <w:tcW w:w="1300" w:type="dxa"/>
            <w:vAlign w:val="bottom"/>
            <w:shd w:val="clear" w:color="auto" w:fill="F4F3F3"/>
          </w:tcPr>
          <w:p>
            <w:pPr>
              <w:spacing w:after="0"/>
              <w:rPr>
                <w:sz w:val="14"/>
                <w:szCs w:val="14"/>
                <w:color w:val="auto"/>
              </w:rPr>
            </w:pPr>
          </w:p>
        </w:tc>
        <w:tc>
          <w:tcPr>
            <w:tcW w:w="220" w:type="dxa"/>
            <w:vAlign w:val="bottom"/>
            <w:shd w:val="clear" w:color="auto" w:fill="F4F3F3"/>
          </w:tcPr>
          <w:p>
            <w:pPr>
              <w:spacing w:after="0"/>
              <w:rPr>
                <w:sz w:val="14"/>
                <w:szCs w:val="14"/>
                <w:color w:val="auto"/>
              </w:rPr>
            </w:pPr>
          </w:p>
        </w:tc>
        <w:tc>
          <w:tcPr>
            <w:tcW w:w="670" w:type="dxa"/>
            <w:vAlign w:val="bottom"/>
            <w:shd w:val="clear" w:color="auto" w:fill="F4F3F3"/>
          </w:tcPr>
          <w:p>
            <w:pPr>
              <w:spacing w:after="0"/>
              <w:rPr>
                <w:sz w:val="14"/>
                <w:szCs w:val="14"/>
                <w:color w:val="auto"/>
              </w:rPr>
            </w:pP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PSUs</w:t>
            </w:r>
          </w:p>
        </w:tc>
        <w:tc>
          <w:tcPr>
            <w:tcW w:w="240" w:type="dxa"/>
            <w:vAlign w:val="bottom"/>
            <w:shd w:val="clear" w:color="auto" w:fill="F4F3F3"/>
          </w:tcPr>
          <w:p>
            <w:pPr>
              <w:spacing w:after="0"/>
              <w:rPr>
                <w:sz w:val="14"/>
                <w:szCs w:val="14"/>
                <w:color w:val="auto"/>
              </w:rPr>
            </w:pPr>
          </w:p>
        </w:tc>
        <w:tc>
          <w:tcPr>
            <w:tcW w:w="900" w:type="dxa"/>
            <w:vAlign w:val="bottom"/>
            <w:tcBorders>
              <w:right w:val="single" w:sz="8" w:color="F4F3F3"/>
            </w:tcBorders>
            <w:shd w:val="clear" w:color="auto" w:fill="F4F3F3"/>
          </w:tcPr>
          <w:p>
            <w:pPr>
              <w:ind w:left="3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F4F3F3"/>
          </w:tcPr>
          <w:p>
            <w:pPr>
              <w:spacing w:after="0"/>
              <w:rPr>
                <w:sz w:val="14"/>
                <w:szCs w:val="14"/>
                <w:color w:val="auto"/>
              </w:rPr>
            </w:pPr>
          </w:p>
        </w:tc>
        <w:tc>
          <w:tcPr>
            <w:tcW w:w="700" w:type="dxa"/>
            <w:vAlign w:val="bottom"/>
            <w:shd w:val="clear" w:color="auto" w:fill="F4F3F3"/>
          </w:tcPr>
          <w:p>
            <w:pPr>
              <w:jc w:val="right"/>
              <w:ind w:right="169"/>
              <w:spacing w:after="0"/>
              <w:rPr>
                <w:sz w:val="20"/>
                <w:szCs w:val="20"/>
                <w:color w:val="auto"/>
              </w:rPr>
            </w:pPr>
            <w:r>
              <w:rPr>
                <w:rFonts w:ascii="Arial" w:cs="Arial" w:eastAsia="Arial" w:hAnsi="Arial"/>
                <w:sz w:val="14"/>
                <w:szCs w:val="14"/>
                <w:color w:val="auto"/>
              </w:rPr>
              <w:t>—</w:t>
            </w:r>
          </w:p>
        </w:tc>
        <w:tc>
          <w:tcPr>
            <w:tcW w:w="240" w:type="dxa"/>
            <w:vAlign w:val="bottom"/>
            <w:shd w:val="clear" w:color="auto" w:fill="F4F3F3"/>
          </w:tcPr>
          <w:p>
            <w:pPr>
              <w:spacing w:after="0"/>
              <w:rPr>
                <w:sz w:val="14"/>
                <w:szCs w:val="14"/>
                <w:color w:val="auto"/>
              </w:rPr>
            </w:pPr>
          </w:p>
        </w:tc>
        <w:tc>
          <w:tcPr>
            <w:tcW w:w="660" w:type="dxa"/>
            <w:vAlign w:val="bottom"/>
            <w:shd w:val="clear" w:color="auto" w:fill="F4F3F3"/>
          </w:tcPr>
          <w:p>
            <w:pPr>
              <w:spacing w:after="0"/>
              <w:rPr>
                <w:sz w:val="14"/>
                <w:szCs w:val="14"/>
                <w:color w:val="auto"/>
              </w:rPr>
            </w:pPr>
          </w:p>
        </w:tc>
        <w:tc>
          <w:tcPr>
            <w:tcW w:w="220" w:type="dxa"/>
            <w:vAlign w:val="bottom"/>
            <w:shd w:val="clear" w:color="auto" w:fill="F4F3F3"/>
          </w:tcPr>
          <w:p>
            <w:pPr>
              <w:spacing w:after="0"/>
              <w:rPr>
                <w:sz w:val="14"/>
                <w:szCs w:val="14"/>
                <w:color w:val="auto"/>
              </w:rPr>
            </w:pPr>
          </w:p>
        </w:tc>
        <w:tc>
          <w:tcPr>
            <w:tcW w:w="1080" w:type="dxa"/>
            <w:vAlign w:val="bottom"/>
            <w:shd w:val="clear" w:color="auto" w:fill="F4F3F3"/>
          </w:tcPr>
          <w:p>
            <w:pPr>
              <w:jc w:val="right"/>
              <w:ind w:right="350"/>
              <w:spacing w:after="0"/>
              <w:rPr>
                <w:sz w:val="20"/>
                <w:szCs w:val="20"/>
                <w:color w:val="auto"/>
              </w:rPr>
            </w:pPr>
            <w:r>
              <w:rPr>
                <w:rFonts w:ascii="Arial" w:cs="Arial" w:eastAsia="Arial" w:hAnsi="Arial"/>
                <w:sz w:val="14"/>
                <w:szCs w:val="14"/>
                <w:color w:val="auto"/>
              </w:rPr>
              <w:t>—</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F4F3F3"/>
          </w:tcPr>
          <w:p>
            <w:pPr>
              <w:jc w:val="right"/>
              <w:ind w:right="30"/>
              <w:spacing w:after="0"/>
              <w:rPr>
                <w:sz w:val="20"/>
                <w:szCs w:val="20"/>
                <w:color w:val="auto"/>
              </w:rPr>
            </w:pPr>
            <w:r>
              <w:rPr>
                <w:rFonts w:ascii="Arial" w:cs="Arial" w:eastAsia="Arial" w:hAnsi="Arial"/>
                <w:sz w:val="14"/>
                <w:szCs w:val="14"/>
                <w:color w:val="auto"/>
              </w:rPr>
              <w:t>9,972(5)</w:t>
            </w:r>
          </w:p>
        </w:tc>
        <w:tc>
          <w:tcPr>
            <w:tcW w:w="106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1,353,500</w:t>
            </w:r>
          </w:p>
        </w:tc>
        <w:tc>
          <w:tcPr>
            <w:tcW w:w="0" w:type="dxa"/>
            <w:vAlign w:val="bottom"/>
          </w:tcPr>
          <w:p>
            <w:pPr>
              <w:spacing w:after="0"/>
              <w:rPr>
                <w:sz w:val="1"/>
                <w:szCs w:val="1"/>
                <w:color w:val="auto"/>
              </w:rPr>
            </w:pPr>
          </w:p>
        </w:tc>
      </w:tr>
      <w:tr>
        <w:trPr>
          <w:trHeight w:val="162"/>
        </w:trPr>
        <w:tc>
          <w:tcPr>
            <w:tcW w:w="1300" w:type="dxa"/>
            <w:vAlign w:val="bottom"/>
            <w:shd w:val="clear" w:color="auto" w:fill="F4F3F3"/>
          </w:tcPr>
          <w:p>
            <w:pPr>
              <w:spacing w:after="0"/>
              <w:rPr>
                <w:sz w:val="14"/>
                <w:szCs w:val="14"/>
                <w:color w:val="auto"/>
              </w:rPr>
            </w:pPr>
          </w:p>
        </w:tc>
        <w:tc>
          <w:tcPr>
            <w:tcW w:w="220" w:type="dxa"/>
            <w:vAlign w:val="bottom"/>
            <w:shd w:val="clear" w:color="auto" w:fill="F4F3F3"/>
          </w:tcPr>
          <w:p>
            <w:pPr>
              <w:spacing w:after="0"/>
              <w:rPr>
                <w:sz w:val="14"/>
                <w:szCs w:val="14"/>
                <w:color w:val="auto"/>
              </w:rPr>
            </w:pPr>
          </w:p>
        </w:tc>
        <w:tc>
          <w:tcPr>
            <w:tcW w:w="670" w:type="dxa"/>
            <w:vAlign w:val="bottom"/>
            <w:shd w:val="clear" w:color="auto" w:fill="F4F3F3"/>
          </w:tcPr>
          <w:p>
            <w:pPr>
              <w:spacing w:after="0"/>
              <w:rPr>
                <w:sz w:val="14"/>
                <w:szCs w:val="14"/>
                <w:color w:val="auto"/>
              </w:rPr>
            </w:pP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PSUs</w:t>
            </w:r>
          </w:p>
        </w:tc>
        <w:tc>
          <w:tcPr>
            <w:tcW w:w="240" w:type="dxa"/>
            <w:vAlign w:val="bottom"/>
            <w:shd w:val="clear" w:color="auto" w:fill="F4F3F3"/>
          </w:tcPr>
          <w:p>
            <w:pPr>
              <w:spacing w:after="0"/>
              <w:rPr>
                <w:sz w:val="14"/>
                <w:szCs w:val="14"/>
                <w:color w:val="auto"/>
              </w:rPr>
            </w:pPr>
          </w:p>
        </w:tc>
        <w:tc>
          <w:tcPr>
            <w:tcW w:w="900" w:type="dxa"/>
            <w:vAlign w:val="bottom"/>
            <w:tcBorders>
              <w:right w:val="single" w:sz="8" w:color="F4F3F3"/>
            </w:tcBorders>
            <w:shd w:val="clear" w:color="auto" w:fill="F4F3F3"/>
          </w:tcPr>
          <w:p>
            <w:pPr>
              <w:ind w:left="3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F4F3F3"/>
          </w:tcPr>
          <w:p>
            <w:pPr>
              <w:spacing w:after="0"/>
              <w:rPr>
                <w:sz w:val="14"/>
                <w:szCs w:val="14"/>
                <w:color w:val="auto"/>
              </w:rPr>
            </w:pPr>
          </w:p>
        </w:tc>
        <w:tc>
          <w:tcPr>
            <w:tcW w:w="700" w:type="dxa"/>
            <w:vAlign w:val="bottom"/>
            <w:shd w:val="clear" w:color="auto" w:fill="F4F3F3"/>
          </w:tcPr>
          <w:p>
            <w:pPr>
              <w:jc w:val="right"/>
              <w:ind w:right="169"/>
              <w:spacing w:after="0"/>
              <w:rPr>
                <w:sz w:val="20"/>
                <w:szCs w:val="20"/>
                <w:color w:val="auto"/>
              </w:rPr>
            </w:pPr>
            <w:r>
              <w:rPr>
                <w:rFonts w:ascii="Arial" w:cs="Arial" w:eastAsia="Arial" w:hAnsi="Arial"/>
                <w:sz w:val="14"/>
                <w:szCs w:val="14"/>
                <w:color w:val="auto"/>
              </w:rPr>
              <w:t>—</w:t>
            </w:r>
          </w:p>
        </w:tc>
        <w:tc>
          <w:tcPr>
            <w:tcW w:w="240" w:type="dxa"/>
            <w:vAlign w:val="bottom"/>
            <w:shd w:val="clear" w:color="auto" w:fill="F4F3F3"/>
          </w:tcPr>
          <w:p>
            <w:pPr>
              <w:spacing w:after="0"/>
              <w:rPr>
                <w:sz w:val="14"/>
                <w:szCs w:val="14"/>
                <w:color w:val="auto"/>
              </w:rPr>
            </w:pPr>
          </w:p>
        </w:tc>
        <w:tc>
          <w:tcPr>
            <w:tcW w:w="660" w:type="dxa"/>
            <w:vAlign w:val="bottom"/>
            <w:shd w:val="clear" w:color="auto" w:fill="F4F3F3"/>
          </w:tcPr>
          <w:p>
            <w:pPr>
              <w:spacing w:after="0"/>
              <w:rPr>
                <w:sz w:val="14"/>
                <w:szCs w:val="14"/>
                <w:color w:val="auto"/>
              </w:rPr>
            </w:pPr>
          </w:p>
        </w:tc>
        <w:tc>
          <w:tcPr>
            <w:tcW w:w="220" w:type="dxa"/>
            <w:vAlign w:val="bottom"/>
            <w:shd w:val="clear" w:color="auto" w:fill="F4F3F3"/>
          </w:tcPr>
          <w:p>
            <w:pPr>
              <w:spacing w:after="0"/>
              <w:rPr>
                <w:sz w:val="14"/>
                <w:szCs w:val="14"/>
                <w:color w:val="auto"/>
              </w:rPr>
            </w:pPr>
          </w:p>
        </w:tc>
        <w:tc>
          <w:tcPr>
            <w:tcW w:w="1080" w:type="dxa"/>
            <w:vAlign w:val="bottom"/>
            <w:shd w:val="clear" w:color="auto" w:fill="F4F3F3"/>
          </w:tcPr>
          <w:p>
            <w:pPr>
              <w:jc w:val="right"/>
              <w:ind w:right="350"/>
              <w:spacing w:after="0"/>
              <w:rPr>
                <w:sz w:val="20"/>
                <w:szCs w:val="20"/>
                <w:color w:val="auto"/>
              </w:rPr>
            </w:pPr>
            <w:r>
              <w:rPr>
                <w:rFonts w:ascii="Arial" w:cs="Arial" w:eastAsia="Arial" w:hAnsi="Arial"/>
                <w:sz w:val="14"/>
                <w:szCs w:val="14"/>
                <w:color w:val="auto"/>
              </w:rPr>
              <w:t>—</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F4F3F3"/>
          </w:tcPr>
          <w:p>
            <w:pPr>
              <w:spacing w:after="0"/>
              <w:rPr>
                <w:sz w:val="14"/>
                <w:szCs w:val="14"/>
                <w:color w:val="auto"/>
              </w:rPr>
            </w:pPr>
          </w:p>
        </w:tc>
        <w:tc>
          <w:tcPr>
            <w:tcW w:w="94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28,803(6)</w:t>
            </w:r>
          </w:p>
        </w:tc>
        <w:tc>
          <w:tcPr>
            <w:tcW w:w="106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3,909,431</w:t>
            </w:r>
          </w:p>
        </w:tc>
        <w:tc>
          <w:tcPr>
            <w:tcW w:w="0" w:type="dxa"/>
            <w:vAlign w:val="bottom"/>
          </w:tcPr>
          <w:p>
            <w:pPr>
              <w:spacing w:after="0"/>
              <w:rPr>
                <w:sz w:val="1"/>
                <w:szCs w:val="1"/>
                <w:color w:val="auto"/>
              </w:rPr>
            </w:pPr>
          </w:p>
        </w:tc>
      </w:tr>
      <w:tr>
        <w:trPr>
          <w:trHeight w:val="175"/>
        </w:trPr>
        <w:tc>
          <w:tcPr>
            <w:tcW w:w="1300" w:type="dxa"/>
            <w:vAlign w:val="bottom"/>
            <w:shd w:val="clear" w:color="auto" w:fill="F4F3F3"/>
          </w:tcPr>
          <w:p>
            <w:pPr>
              <w:spacing w:after="0"/>
              <w:rPr>
                <w:sz w:val="15"/>
                <w:szCs w:val="15"/>
                <w:color w:val="auto"/>
              </w:rPr>
            </w:pPr>
          </w:p>
        </w:tc>
        <w:tc>
          <w:tcPr>
            <w:tcW w:w="220" w:type="dxa"/>
            <w:vAlign w:val="bottom"/>
            <w:shd w:val="clear" w:color="auto" w:fill="F4F3F3"/>
          </w:tcPr>
          <w:p>
            <w:pPr>
              <w:spacing w:after="0"/>
              <w:rPr>
                <w:sz w:val="15"/>
                <w:szCs w:val="15"/>
                <w:color w:val="auto"/>
              </w:rPr>
            </w:pPr>
          </w:p>
        </w:tc>
        <w:tc>
          <w:tcPr>
            <w:tcW w:w="670" w:type="dxa"/>
            <w:vAlign w:val="bottom"/>
            <w:shd w:val="clear" w:color="auto" w:fill="F4F3F3"/>
          </w:tcPr>
          <w:p>
            <w:pPr>
              <w:spacing w:after="0"/>
              <w:rPr>
                <w:sz w:val="15"/>
                <w:szCs w:val="15"/>
                <w:color w:val="auto"/>
              </w:rPr>
            </w:pPr>
          </w:p>
        </w:tc>
        <w:tc>
          <w:tcPr>
            <w:tcW w:w="101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PSUs</w:t>
            </w:r>
          </w:p>
        </w:tc>
        <w:tc>
          <w:tcPr>
            <w:tcW w:w="240" w:type="dxa"/>
            <w:vAlign w:val="bottom"/>
            <w:shd w:val="clear" w:color="auto" w:fill="F4F3F3"/>
          </w:tcPr>
          <w:p>
            <w:pPr>
              <w:spacing w:after="0"/>
              <w:rPr>
                <w:sz w:val="15"/>
                <w:szCs w:val="15"/>
                <w:color w:val="auto"/>
              </w:rPr>
            </w:pPr>
          </w:p>
        </w:tc>
        <w:tc>
          <w:tcPr>
            <w:tcW w:w="900" w:type="dxa"/>
            <w:vAlign w:val="bottom"/>
            <w:tcBorders>
              <w:right w:val="single" w:sz="8" w:color="F4F3F3"/>
            </w:tcBorders>
            <w:shd w:val="clear" w:color="auto" w:fill="F4F3F3"/>
          </w:tcPr>
          <w:p>
            <w:pPr>
              <w:ind w:left="3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F4F3F3"/>
          </w:tcPr>
          <w:p>
            <w:pPr>
              <w:spacing w:after="0"/>
              <w:rPr>
                <w:sz w:val="15"/>
                <w:szCs w:val="15"/>
                <w:color w:val="auto"/>
              </w:rPr>
            </w:pPr>
          </w:p>
        </w:tc>
        <w:tc>
          <w:tcPr>
            <w:tcW w:w="700" w:type="dxa"/>
            <w:vAlign w:val="bottom"/>
            <w:shd w:val="clear" w:color="auto" w:fill="F4F3F3"/>
          </w:tcPr>
          <w:p>
            <w:pPr>
              <w:jc w:val="right"/>
              <w:ind w:right="169"/>
              <w:spacing w:after="0"/>
              <w:rPr>
                <w:sz w:val="20"/>
                <w:szCs w:val="20"/>
                <w:color w:val="auto"/>
              </w:rPr>
            </w:pPr>
            <w:r>
              <w:rPr>
                <w:rFonts w:ascii="Arial" w:cs="Arial" w:eastAsia="Arial" w:hAnsi="Arial"/>
                <w:sz w:val="14"/>
                <w:szCs w:val="14"/>
                <w:color w:val="auto"/>
              </w:rPr>
              <w:t>—</w:t>
            </w:r>
          </w:p>
        </w:tc>
        <w:tc>
          <w:tcPr>
            <w:tcW w:w="240" w:type="dxa"/>
            <w:vAlign w:val="bottom"/>
            <w:shd w:val="clear" w:color="auto" w:fill="F4F3F3"/>
          </w:tcPr>
          <w:p>
            <w:pPr>
              <w:spacing w:after="0"/>
              <w:rPr>
                <w:sz w:val="15"/>
                <w:szCs w:val="15"/>
                <w:color w:val="auto"/>
              </w:rPr>
            </w:pPr>
          </w:p>
        </w:tc>
        <w:tc>
          <w:tcPr>
            <w:tcW w:w="660" w:type="dxa"/>
            <w:vAlign w:val="bottom"/>
            <w:shd w:val="clear" w:color="auto" w:fill="F4F3F3"/>
          </w:tcPr>
          <w:p>
            <w:pPr>
              <w:spacing w:after="0"/>
              <w:rPr>
                <w:sz w:val="15"/>
                <w:szCs w:val="15"/>
                <w:color w:val="auto"/>
              </w:rPr>
            </w:pPr>
          </w:p>
        </w:tc>
        <w:tc>
          <w:tcPr>
            <w:tcW w:w="220" w:type="dxa"/>
            <w:vAlign w:val="bottom"/>
            <w:shd w:val="clear" w:color="auto" w:fill="F4F3F3"/>
          </w:tcPr>
          <w:p>
            <w:pPr>
              <w:spacing w:after="0"/>
              <w:rPr>
                <w:sz w:val="15"/>
                <w:szCs w:val="15"/>
                <w:color w:val="auto"/>
              </w:rPr>
            </w:pPr>
          </w:p>
        </w:tc>
        <w:tc>
          <w:tcPr>
            <w:tcW w:w="1080" w:type="dxa"/>
            <w:vAlign w:val="bottom"/>
            <w:shd w:val="clear" w:color="auto" w:fill="F4F3F3"/>
          </w:tcPr>
          <w:p>
            <w:pPr>
              <w:jc w:val="right"/>
              <w:ind w:right="350"/>
              <w:spacing w:after="0"/>
              <w:rPr>
                <w:sz w:val="20"/>
                <w:szCs w:val="20"/>
                <w:color w:val="auto"/>
              </w:rPr>
            </w:pPr>
            <w:r>
              <w:rPr>
                <w:rFonts w:ascii="Arial" w:cs="Arial" w:eastAsia="Arial" w:hAnsi="Arial"/>
                <w:sz w:val="14"/>
                <w:szCs w:val="14"/>
                <w:color w:val="auto"/>
              </w:rPr>
              <w:t>—</w:t>
            </w:r>
          </w:p>
        </w:tc>
        <w:tc>
          <w:tcPr>
            <w:tcW w:w="700" w:type="dxa"/>
            <w:vAlign w:val="bottom"/>
            <w:shd w:val="clear" w:color="auto" w:fill="F4F3F3"/>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F4F3F3"/>
          </w:tcPr>
          <w:p>
            <w:pPr>
              <w:spacing w:after="0"/>
              <w:rPr>
                <w:sz w:val="15"/>
                <w:szCs w:val="15"/>
                <w:color w:val="auto"/>
              </w:rPr>
            </w:pPr>
          </w:p>
        </w:tc>
        <w:tc>
          <w:tcPr>
            <w:tcW w:w="940" w:type="dxa"/>
            <w:vAlign w:val="bottom"/>
            <w:shd w:val="clear" w:color="auto" w:fill="F4F3F3"/>
          </w:tcPr>
          <w:p>
            <w:pPr>
              <w:jc w:val="right"/>
              <w:ind w:right="30"/>
              <w:spacing w:after="0"/>
              <w:rPr>
                <w:sz w:val="20"/>
                <w:szCs w:val="20"/>
                <w:color w:val="auto"/>
              </w:rPr>
            </w:pPr>
            <w:r>
              <w:rPr>
                <w:rFonts w:ascii="Arial" w:cs="Arial" w:eastAsia="Arial" w:hAnsi="Arial"/>
                <w:sz w:val="14"/>
                <w:szCs w:val="14"/>
                <w:color w:val="auto"/>
              </w:rPr>
              <w:t>12,912(7)</w:t>
            </w:r>
          </w:p>
        </w:tc>
        <w:tc>
          <w:tcPr>
            <w:tcW w:w="1060" w:type="dxa"/>
            <w:vAlign w:val="bottom"/>
            <w:shd w:val="clear" w:color="auto" w:fill="F4F3F3"/>
          </w:tcPr>
          <w:p>
            <w:pPr>
              <w:jc w:val="right"/>
              <w:ind w:right="109"/>
              <w:spacing w:after="0"/>
              <w:rPr>
                <w:sz w:val="20"/>
                <w:szCs w:val="20"/>
                <w:color w:val="auto"/>
              </w:rPr>
            </w:pPr>
            <w:r>
              <w:rPr>
                <w:rFonts w:ascii="Arial" w:cs="Arial" w:eastAsia="Arial" w:hAnsi="Arial"/>
                <w:sz w:val="14"/>
                <w:szCs w:val="14"/>
                <w:color w:val="auto"/>
              </w:rPr>
              <w:t>1,752,546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-4667885</wp:posOffset>
            </wp:positionV>
            <wp:extent cx="6989445" cy="46767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89445" cy="4676775"/>
                    </a:xfrm>
                    <a:prstGeom prst="rect">
                      <a:avLst/>
                    </a:prstGeom>
                    <a:noFill/>
                  </pic:spPr>
                </pic:pic>
              </a:graphicData>
            </a:graphic>
          </wp:anchor>
        </w:drawing>
      </w:r>
    </w:p>
    <w:p>
      <w:pPr>
        <w:spacing w:after="0" w:line="118" w:lineRule="exact"/>
        <w:rPr>
          <w:sz w:val="20"/>
          <w:szCs w:val="20"/>
          <w:color w:val="auto"/>
        </w:rPr>
      </w:pPr>
    </w:p>
    <w:p>
      <w:pPr>
        <w:ind w:left="540" w:hanging="330"/>
        <w:spacing w:after="0"/>
        <w:tabs>
          <w:tab w:leader="none" w:pos="540" w:val="left"/>
        </w:tabs>
        <w:numPr>
          <w:ilvl w:val="0"/>
          <w:numId w:val="112"/>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20"/>
          </w:cols>
          <w:pgMar w:left="240" w:top="455" w:right="4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43" w:lineRule="exact"/>
        <w:rPr>
          <w:sz w:val="20"/>
          <w:szCs w:val="20"/>
          <w:color w:val="auto"/>
        </w:rPr>
      </w:pPr>
    </w:p>
    <w:tbl>
      <w:tblPr>
        <w:tblLayout w:type="fixed"/>
        <w:tblInd w:w="220" w:type="dxa"/>
        <w:tblCellMar>
          <w:top w:w="0" w:type="dxa"/>
          <w:left w:w="0" w:type="dxa"/>
          <w:bottom w:w="0" w:type="dxa"/>
          <w:right w:w="0" w:type="dxa"/>
        </w:tblCellMar>
      </w:tblPr>
      <w:tr>
        <w:trPr>
          <w:trHeight w:val="154"/>
        </w:trPr>
        <w:tc>
          <w:tcPr>
            <w:tcW w:w="1440" w:type="dxa"/>
            <w:vAlign w:val="bottom"/>
            <w:shd w:val="clear" w:color="auto" w:fill="998C87"/>
          </w:tcPr>
          <w:p>
            <w:pPr>
              <w:spacing w:after="0"/>
              <w:rPr>
                <w:sz w:val="13"/>
                <w:szCs w:val="13"/>
                <w:color w:val="auto"/>
              </w:rPr>
            </w:pPr>
          </w:p>
        </w:tc>
        <w:tc>
          <w:tcPr>
            <w:tcW w:w="240" w:type="dxa"/>
            <w:vAlign w:val="bottom"/>
            <w:shd w:val="clear" w:color="auto" w:fill="998C87"/>
          </w:tcPr>
          <w:p>
            <w:pPr>
              <w:spacing w:after="0"/>
              <w:rPr>
                <w:sz w:val="13"/>
                <w:szCs w:val="13"/>
                <w:color w:val="auto"/>
              </w:rPr>
            </w:pPr>
          </w:p>
        </w:tc>
        <w:tc>
          <w:tcPr>
            <w:tcW w:w="670" w:type="dxa"/>
            <w:vAlign w:val="bottom"/>
            <w:shd w:val="clear" w:color="auto" w:fill="998C87"/>
          </w:tcPr>
          <w:p>
            <w:pPr>
              <w:spacing w:after="0"/>
              <w:rPr>
                <w:sz w:val="13"/>
                <w:szCs w:val="13"/>
                <w:color w:val="auto"/>
              </w:rPr>
            </w:pPr>
          </w:p>
        </w:tc>
        <w:tc>
          <w:tcPr>
            <w:tcW w:w="950" w:type="dxa"/>
            <w:vAlign w:val="bottom"/>
            <w:shd w:val="clear" w:color="auto" w:fill="998C87"/>
          </w:tcPr>
          <w:p>
            <w:pPr>
              <w:spacing w:after="0"/>
              <w:rPr>
                <w:sz w:val="13"/>
                <w:szCs w:val="13"/>
                <w:color w:val="auto"/>
              </w:rPr>
            </w:pPr>
          </w:p>
        </w:tc>
        <w:tc>
          <w:tcPr>
            <w:tcW w:w="220" w:type="dxa"/>
            <w:vAlign w:val="bottom"/>
            <w:shd w:val="clear" w:color="auto" w:fill="998C87"/>
          </w:tcPr>
          <w:p>
            <w:pPr>
              <w:spacing w:after="0"/>
              <w:rPr>
                <w:sz w:val="13"/>
                <w:szCs w:val="13"/>
                <w:color w:val="auto"/>
              </w:rPr>
            </w:pPr>
          </w:p>
        </w:tc>
        <w:tc>
          <w:tcPr>
            <w:tcW w:w="1480" w:type="dxa"/>
            <w:vAlign w:val="bottom"/>
            <w:gridSpan w:val="2"/>
            <w:vMerge w:val="restart"/>
            <w:shd w:val="clear" w:color="auto" w:fill="998C87"/>
          </w:tcPr>
          <w:p>
            <w:pPr>
              <w:jc w:val="center"/>
              <w:ind w:right="148"/>
              <w:spacing w:after="0"/>
              <w:rPr>
                <w:sz w:val="20"/>
                <w:szCs w:val="20"/>
                <w:color w:val="auto"/>
              </w:rPr>
            </w:pPr>
            <w:r>
              <w:rPr>
                <w:rFonts w:ascii="Arial" w:cs="Arial" w:eastAsia="Arial" w:hAnsi="Arial"/>
                <w:sz w:val="13"/>
                <w:szCs w:val="13"/>
                <w:b w:val="1"/>
                <w:bCs w:val="1"/>
                <w:color w:val="FFFFFF"/>
                <w:w w:val="95"/>
              </w:rPr>
              <w:t>Number of</w:t>
            </w:r>
          </w:p>
        </w:tc>
        <w:tc>
          <w:tcPr>
            <w:tcW w:w="760" w:type="dxa"/>
            <w:vAlign w:val="bottom"/>
            <w:shd w:val="clear" w:color="auto" w:fill="998C87"/>
          </w:tcPr>
          <w:p>
            <w:pPr>
              <w:spacing w:after="0"/>
              <w:rPr>
                <w:sz w:val="13"/>
                <w:szCs w:val="13"/>
                <w:color w:val="auto"/>
              </w:rPr>
            </w:pPr>
          </w:p>
        </w:tc>
        <w:tc>
          <w:tcPr>
            <w:tcW w:w="1120" w:type="dxa"/>
            <w:vAlign w:val="bottom"/>
            <w:shd w:val="clear" w:color="auto" w:fill="998C87"/>
          </w:tcPr>
          <w:p>
            <w:pPr>
              <w:jc w:val="right"/>
              <w:ind w:right="291"/>
              <w:spacing w:after="0"/>
              <w:rPr>
                <w:sz w:val="20"/>
                <w:szCs w:val="20"/>
                <w:color w:val="auto"/>
              </w:rPr>
            </w:pPr>
            <w:r>
              <w:rPr>
                <w:rFonts w:ascii="Arial" w:cs="Arial" w:eastAsia="Arial" w:hAnsi="Arial"/>
                <w:sz w:val="13"/>
                <w:szCs w:val="13"/>
                <w:b w:val="1"/>
                <w:bCs w:val="1"/>
                <w:color w:val="FFFFFF"/>
                <w:w w:val="94"/>
              </w:rPr>
              <w:t>SAR Awards</w:t>
            </w:r>
          </w:p>
        </w:tc>
        <w:tc>
          <w:tcPr>
            <w:tcW w:w="1240" w:type="dxa"/>
            <w:vAlign w:val="bottom"/>
            <w:shd w:val="clear" w:color="auto" w:fill="998C87"/>
          </w:tcPr>
          <w:p>
            <w:pPr>
              <w:spacing w:after="0"/>
              <w:rPr>
                <w:sz w:val="13"/>
                <w:szCs w:val="13"/>
                <w:color w:val="auto"/>
              </w:rPr>
            </w:pPr>
          </w:p>
        </w:tc>
        <w:tc>
          <w:tcPr>
            <w:tcW w:w="820" w:type="dxa"/>
            <w:vAlign w:val="bottom"/>
            <w:shd w:val="clear" w:color="auto" w:fill="998C87"/>
          </w:tcPr>
          <w:p>
            <w:pPr>
              <w:spacing w:after="0"/>
              <w:rPr>
                <w:sz w:val="13"/>
                <w:szCs w:val="13"/>
                <w:color w:val="auto"/>
              </w:rPr>
            </w:pPr>
          </w:p>
        </w:tc>
        <w:tc>
          <w:tcPr>
            <w:tcW w:w="2060" w:type="dxa"/>
            <w:vAlign w:val="bottom"/>
            <w:gridSpan w:val="2"/>
            <w:shd w:val="clear" w:color="auto" w:fill="998C87"/>
          </w:tcPr>
          <w:p>
            <w:pPr>
              <w:ind w:left="660"/>
              <w:spacing w:after="0"/>
              <w:rPr>
                <w:sz w:val="20"/>
                <w:szCs w:val="20"/>
                <w:color w:val="auto"/>
              </w:rPr>
            </w:pPr>
            <w:r>
              <w:rPr>
                <w:rFonts w:ascii="Arial" w:cs="Arial" w:eastAsia="Arial" w:hAnsi="Arial"/>
                <w:sz w:val="13"/>
                <w:szCs w:val="13"/>
                <w:b w:val="1"/>
                <w:bCs w:val="1"/>
                <w:color w:val="FFFFFF"/>
              </w:rPr>
              <w:t>Stock Awards</w:t>
            </w:r>
          </w:p>
        </w:tc>
        <w:tc>
          <w:tcPr>
            <w:tcW w:w="0" w:type="dxa"/>
            <w:vAlign w:val="bottom"/>
          </w:tcPr>
          <w:p>
            <w:pPr>
              <w:spacing w:after="0"/>
              <w:rPr>
                <w:sz w:val="1"/>
                <w:szCs w:val="1"/>
                <w:color w:val="auto"/>
              </w:rPr>
            </w:pPr>
          </w:p>
        </w:tc>
      </w:tr>
      <w:tr>
        <w:trPr>
          <w:trHeight w:val="126"/>
        </w:trPr>
        <w:tc>
          <w:tcPr>
            <w:tcW w:w="1440" w:type="dxa"/>
            <w:vAlign w:val="bottom"/>
            <w:shd w:val="clear" w:color="auto" w:fill="998C87"/>
          </w:tcPr>
          <w:p>
            <w:pPr>
              <w:spacing w:after="0"/>
              <w:rPr>
                <w:sz w:val="10"/>
                <w:szCs w:val="10"/>
                <w:color w:val="auto"/>
              </w:rPr>
            </w:pPr>
          </w:p>
        </w:tc>
        <w:tc>
          <w:tcPr>
            <w:tcW w:w="240" w:type="dxa"/>
            <w:vAlign w:val="bottom"/>
            <w:shd w:val="clear" w:color="auto" w:fill="998C87"/>
          </w:tcPr>
          <w:p>
            <w:pPr>
              <w:spacing w:after="0"/>
              <w:rPr>
                <w:sz w:val="10"/>
                <w:szCs w:val="10"/>
                <w:color w:val="auto"/>
              </w:rPr>
            </w:pPr>
          </w:p>
        </w:tc>
        <w:tc>
          <w:tcPr>
            <w:tcW w:w="670" w:type="dxa"/>
            <w:vAlign w:val="bottom"/>
            <w:shd w:val="clear" w:color="auto" w:fill="998C87"/>
          </w:tcPr>
          <w:p>
            <w:pPr>
              <w:spacing w:after="0"/>
              <w:rPr>
                <w:sz w:val="10"/>
                <w:szCs w:val="10"/>
                <w:color w:val="auto"/>
              </w:rPr>
            </w:pPr>
          </w:p>
        </w:tc>
        <w:tc>
          <w:tcPr>
            <w:tcW w:w="950" w:type="dxa"/>
            <w:vAlign w:val="bottom"/>
            <w:shd w:val="clear" w:color="auto" w:fill="998C87"/>
          </w:tcPr>
          <w:p>
            <w:pPr>
              <w:spacing w:after="0"/>
              <w:rPr>
                <w:sz w:val="10"/>
                <w:szCs w:val="10"/>
                <w:color w:val="auto"/>
              </w:rPr>
            </w:pPr>
          </w:p>
        </w:tc>
        <w:tc>
          <w:tcPr>
            <w:tcW w:w="220" w:type="dxa"/>
            <w:vAlign w:val="bottom"/>
            <w:shd w:val="clear" w:color="auto" w:fill="998C87"/>
          </w:tcPr>
          <w:p>
            <w:pPr>
              <w:spacing w:after="0"/>
              <w:rPr>
                <w:sz w:val="10"/>
                <w:szCs w:val="10"/>
                <w:color w:val="auto"/>
              </w:rPr>
            </w:pPr>
          </w:p>
        </w:tc>
        <w:tc>
          <w:tcPr>
            <w:tcW w:w="1480" w:type="dxa"/>
            <w:vAlign w:val="bottom"/>
            <w:gridSpan w:val="2"/>
            <w:vMerge w:val="continue"/>
            <w:shd w:val="clear" w:color="auto" w:fill="998C87"/>
          </w:tcPr>
          <w:p>
            <w:pPr>
              <w:spacing w:after="0"/>
              <w:rPr>
                <w:sz w:val="10"/>
                <w:szCs w:val="10"/>
                <w:color w:val="auto"/>
              </w:rPr>
            </w:pPr>
          </w:p>
        </w:tc>
        <w:tc>
          <w:tcPr>
            <w:tcW w:w="760" w:type="dxa"/>
            <w:vAlign w:val="bottom"/>
            <w:shd w:val="clear" w:color="auto" w:fill="998C87"/>
          </w:tcPr>
          <w:p>
            <w:pPr>
              <w:spacing w:after="0"/>
              <w:rPr>
                <w:sz w:val="10"/>
                <w:szCs w:val="10"/>
                <w:color w:val="auto"/>
              </w:rPr>
            </w:pPr>
          </w:p>
        </w:tc>
        <w:tc>
          <w:tcPr>
            <w:tcW w:w="1120" w:type="dxa"/>
            <w:vAlign w:val="bottom"/>
            <w:shd w:val="clear" w:color="auto" w:fill="998C87"/>
          </w:tcPr>
          <w:p>
            <w:pPr>
              <w:spacing w:after="0"/>
              <w:rPr>
                <w:sz w:val="10"/>
                <w:szCs w:val="10"/>
                <w:color w:val="auto"/>
              </w:rPr>
            </w:pPr>
          </w:p>
        </w:tc>
        <w:tc>
          <w:tcPr>
            <w:tcW w:w="1240" w:type="dxa"/>
            <w:vAlign w:val="bottom"/>
            <w:shd w:val="clear" w:color="auto" w:fill="998C87"/>
          </w:tcPr>
          <w:p>
            <w:pPr>
              <w:spacing w:after="0"/>
              <w:rPr>
                <w:sz w:val="10"/>
                <w:szCs w:val="10"/>
                <w:color w:val="auto"/>
              </w:rPr>
            </w:pPr>
          </w:p>
        </w:tc>
        <w:tc>
          <w:tcPr>
            <w:tcW w:w="820" w:type="dxa"/>
            <w:vAlign w:val="bottom"/>
            <w:shd w:val="clear" w:color="auto" w:fill="998C87"/>
          </w:tcPr>
          <w:p>
            <w:pPr>
              <w:spacing w:after="0"/>
              <w:rPr>
                <w:sz w:val="10"/>
                <w:szCs w:val="10"/>
                <w:color w:val="auto"/>
              </w:rPr>
            </w:pPr>
          </w:p>
        </w:tc>
        <w:tc>
          <w:tcPr>
            <w:tcW w:w="1060" w:type="dxa"/>
            <w:vAlign w:val="bottom"/>
            <w:vMerge w:val="restart"/>
            <w:shd w:val="clear" w:color="auto" w:fill="998C87"/>
          </w:tcPr>
          <w:p>
            <w:pPr>
              <w:jc w:val="center"/>
              <w:spacing w:after="0"/>
              <w:rPr>
                <w:sz w:val="20"/>
                <w:szCs w:val="20"/>
                <w:color w:val="auto"/>
              </w:rPr>
            </w:pPr>
            <w:r>
              <w:rPr>
                <w:rFonts w:ascii="Arial" w:cs="Arial" w:eastAsia="Arial" w:hAnsi="Arial"/>
                <w:sz w:val="13"/>
                <w:szCs w:val="13"/>
                <w:b w:val="1"/>
                <w:bCs w:val="1"/>
                <w:color w:val="FFFFFF"/>
                <w:w w:val="95"/>
              </w:rPr>
              <w:t>Number of</w:t>
            </w:r>
          </w:p>
        </w:tc>
        <w:tc>
          <w:tcPr>
            <w:tcW w:w="1000" w:type="dxa"/>
            <w:vAlign w:val="bottom"/>
            <w:vMerge w:val="restart"/>
            <w:shd w:val="clear" w:color="auto" w:fill="998C87"/>
          </w:tcPr>
          <w:p>
            <w:pPr>
              <w:jc w:val="center"/>
              <w:spacing w:after="0"/>
              <w:rPr>
                <w:sz w:val="20"/>
                <w:szCs w:val="20"/>
                <w:color w:val="auto"/>
              </w:rPr>
            </w:pPr>
            <w:r>
              <w:rPr>
                <w:rFonts w:ascii="Arial" w:cs="Arial" w:eastAsia="Arial" w:hAnsi="Arial"/>
                <w:sz w:val="13"/>
                <w:szCs w:val="13"/>
                <w:b w:val="1"/>
                <w:bCs w:val="1"/>
                <w:color w:val="FFFFFF"/>
                <w:w w:val="94"/>
              </w:rPr>
              <w:t>Market Value</w:t>
            </w:r>
          </w:p>
        </w:tc>
        <w:tc>
          <w:tcPr>
            <w:tcW w:w="0" w:type="dxa"/>
            <w:vAlign w:val="bottom"/>
          </w:tcPr>
          <w:p>
            <w:pPr>
              <w:spacing w:after="0"/>
              <w:rPr>
                <w:sz w:val="1"/>
                <w:szCs w:val="1"/>
                <w:color w:val="auto"/>
              </w:rPr>
            </w:pPr>
          </w:p>
        </w:tc>
      </w:tr>
      <w:tr>
        <w:trPr>
          <w:trHeight w:val="135"/>
        </w:trPr>
        <w:tc>
          <w:tcPr>
            <w:tcW w:w="1440" w:type="dxa"/>
            <w:vAlign w:val="bottom"/>
            <w:shd w:val="clear" w:color="auto" w:fill="998C87"/>
          </w:tcPr>
          <w:p>
            <w:pPr>
              <w:spacing w:after="0"/>
              <w:rPr>
                <w:sz w:val="11"/>
                <w:szCs w:val="11"/>
                <w:color w:val="auto"/>
              </w:rPr>
            </w:pPr>
          </w:p>
        </w:tc>
        <w:tc>
          <w:tcPr>
            <w:tcW w:w="240" w:type="dxa"/>
            <w:vAlign w:val="bottom"/>
            <w:shd w:val="clear" w:color="auto" w:fill="998C87"/>
          </w:tcPr>
          <w:p>
            <w:pPr>
              <w:spacing w:after="0"/>
              <w:rPr>
                <w:sz w:val="11"/>
                <w:szCs w:val="11"/>
                <w:color w:val="auto"/>
              </w:rPr>
            </w:pPr>
          </w:p>
        </w:tc>
        <w:tc>
          <w:tcPr>
            <w:tcW w:w="670" w:type="dxa"/>
            <w:vAlign w:val="bottom"/>
            <w:shd w:val="clear" w:color="auto" w:fill="998C87"/>
          </w:tcPr>
          <w:p>
            <w:pPr>
              <w:spacing w:after="0"/>
              <w:rPr>
                <w:sz w:val="11"/>
                <w:szCs w:val="11"/>
                <w:color w:val="auto"/>
              </w:rPr>
            </w:pPr>
          </w:p>
        </w:tc>
        <w:tc>
          <w:tcPr>
            <w:tcW w:w="950" w:type="dxa"/>
            <w:vAlign w:val="bottom"/>
            <w:shd w:val="clear" w:color="auto" w:fill="998C87"/>
          </w:tcPr>
          <w:p>
            <w:pPr>
              <w:spacing w:after="0"/>
              <w:rPr>
                <w:sz w:val="11"/>
                <w:szCs w:val="11"/>
                <w:color w:val="auto"/>
              </w:rPr>
            </w:pPr>
          </w:p>
        </w:tc>
        <w:tc>
          <w:tcPr>
            <w:tcW w:w="220" w:type="dxa"/>
            <w:vAlign w:val="bottom"/>
            <w:shd w:val="clear" w:color="auto" w:fill="998C87"/>
          </w:tcPr>
          <w:p>
            <w:pPr>
              <w:spacing w:after="0"/>
              <w:rPr>
                <w:sz w:val="11"/>
                <w:szCs w:val="11"/>
                <w:color w:val="auto"/>
              </w:rPr>
            </w:pPr>
          </w:p>
        </w:tc>
        <w:tc>
          <w:tcPr>
            <w:tcW w:w="1480" w:type="dxa"/>
            <w:vAlign w:val="bottom"/>
            <w:gridSpan w:val="2"/>
            <w:shd w:val="clear" w:color="auto" w:fill="998C87"/>
          </w:tcPr>
          <w:p>
            <w:pPr>
              <w:jc w:val="center"/>
              <w:ind w:right="128"/>
              <w:spacing w:after="0" w:line="135" w:lineRule="exact"/>
              <w:rPr>
                <w:sz w:val="20"/>
                <w:szCs w:val="20"/>
                <w:color w:val="auto"/>
              </w:rPr>
            </w:pPr>
            <w:r>
              <w:rPr>
                <w:rFonts w:ascii="Arial" w:cs="Arial" w:eastAsia="Arial" w:hAnsi="Arial"/>
                <w:sz w:val="13"/>
                <w:szCs w:val="13"/>
                <w:b w:val="1"/>
                <w:bCs w:val="1"/>
                <w:color w:val="FFFFFF"/>
                <w:w w:val="96"/>
              </w:rPr>
              <w:t>Securities</w:t>
            </w:r>
          </w:p>
        </w:tc>
        <w:tc>
          <w:tcPr>
            <w:tcW w:w="760" w:type="dxa"/>
            <w:vAlign w:val="bottom"/>
            <w:shd w:val="clear" w:color="auto" w:fill="998C87"/>
          </w:tcPr>
          <w:p>
            <w:pPr>
              <w:spacing w:after="0"/>
              <w:rPr>
                <w:sz w:val="11"/>
                <w:szCs w:val="11"/>
                <w:color w:val="auto"/>
              </w:rPr>
            </w:pPr>
          </w:p>
        </w:tc>
        <w:tc>
          <w:tcPr>
            <w:tcW w:w="1120" w:type="dxa"/>
            <w:vAlign w:val="bottom"/>
            <w:shd w:val="clear" w:color="auto" w:fill="998C87"/>
          </w:tcPr>
          <w:p>
            <w:pPr>
              <w:spacing w:after="0"/>
              <w:rPr>
                <w:sz w:val="11"/>
                <w:szCs w:val="11"/>
                <w:color w:val="auto"/>
              </w:rPr>
            </w:pPr>
          </w:p>
        </w:tc>
        <w:tc>
          <w:tcPr>
            <w:tcW w:w="1240" w:type="dxa"/>
            <w:vAlign w:val="bottom"/>
            <w:shd w:val="clear" w:color="auto" w:fill="998C87"/>
          </w:tcPr>
          <w:p>
            <w:pPr>
              <w:spacing w:after="0"/>
              <w:rPr>
                <w:sz w:val="11"/>
                <w:szCs w:val="11"/>
                <w:color w:val="auto"/>
              </w:rPr>
            </w:pPr>
          </w:p>
        </w:tc>
        <w:tc>
          <w:tcPr>
            <w:tcW w:w="820" w:type="dxa"/>
            <w:vAlign w:val="bottom"/>
            <w:shd w:val="clear" w:color="auto" w:fill="998C87"/>
          </w:tcPr>
          <w:p>
            <w:pPr>
              <w:spacing w:after="0"/>
              <w:rPr>
                <w:sz w:val="11"/>
                <w:szCs w:val="11"/>
                <w:color w:val="auto"/>
              </w:rPr>
            </w:pPr>
          </w:p>
        </w:tc>
        <w:tc>
          <w:tcPr>
            <w:tcW w:w="1060" w:type="dxa"/>
            <w:vAlign w:val="bottom"/>
            <w:vMerge w:val="continue"/>
            <w:shd w:val="clear" w:color="auto" w:fill="998C87"/>
          </w:tcPr>
          <w:p>
            <w:pPr>
              <w:spacing w:after="0"/>
              <w:rPr>
                <w:sz w:val="11"/>
                <w:szCs w:val="11"/>
                <w:color w:val="auto"/>
              </w:rPr>
            </w:pPr>
          </w:p>
        </w:tc>
        <w:tc>
          <w:tcPr>
            <w:tcW w:w="1000" w:type="dxa"/>
            <w:vAlign w:val="bottom"/>
            <w:vMerge w:val="continue"/>
            <w:shd w:val="clear" w:color="auto" w:fill="998C87"/>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40" w:type="dxa"/>
            <w:vAlign w:val="bottom"/>
            <w:shd w:val="clear" w:color="auto" w:fill="998C87"/>
          </w:tcPr>
          <w:p>
            <w:pPr>
              <w:spacing w:after="0"/>
              <w:rPr>
                <w:sz w:val="11"/>
                <w:szCs w:val="11"/>
                <w:color w:val="auto"/>
              </w:rPr>
            </w:pPr>
          </w:p>
        </w:tc>
        <w:tc>
          <w:tcPr>
            <w:tcW w:w="240" w:type="dxa"/>
            <w:vAlign w:val="bottom"/>
            <w:shd w:val="clear" w:color="auto" w:fill="998C87"/>
          </w:tcPr>
          <w:p>
            <w:pPr>
              <w:spacing w:after="0"/>
              <w:rPr>
                <w:sz w:val="11"/>
                <w:szCs w:val="11"/>
                <w:color w:val="auto"/>
              </w:rPr>
            </w:pPr>
          </w:p>
        </w:tc>
        <w:tc>
          <w:tcPr>
            <w:tcW w:w="670" w:type="dxa"/>
            <w:vAlign w:val="bottom"/>
            <w:shd w:val="clear" w:color="auto" w:fill="998C87"/>
          </w:tcPr>
          <w:p>
            <w:pPr>
              <w:spacing w:after="0"/>
              <w:rPr>
                <w:sz w:val="11"/>
                <w:szCs w:val="11"/>
                <w:color w:val="auto"/>
              </w:rPr>
            </w:pPr>
          </w:p>
        </w:tc>
        <w:tc>
          <w:tcPr>
            <w:tcW w:w="950" w:type="dxa"/>
            <w:vAlign w:val="bottom"/>
            <w:shd w:val="clear" w:color="auto" w:fill="998C87"/>
          </w:tcPr>
          <w:p>
            <w:pPr>
              <w:spacing w:after="0"/>
              <w:rPr>
                <w:sz w:val="11"/>
                <w:szCs w:val="11"/>
                <w:color w:val="auto"/>
              </w:rPr>
            </w:pPr>
          </w:p>
        </w:tc>
        <w:tc>
          <w:tcPr>
            <w:tcW w:w="220" w:type="dxa"/>
            <w:vAlign w:val="bottom"/>
            <w:shd w:val="clear" w:color="auto" w:fill="998C87"/>
          </w:tcPr>
          <w:p>
            <w:pPr>
              <w:spacing w:after="0"/>
              <w:rPr>
                <w:sz w:val="11"/>
                <w:szCs w:val="11"/>
                <w:color w:val="auto"/>
              </w:rPr>
            </w:pPr>
          </w:p>
        </w:tc>
        <w:tc>
          <w:tcPr>
            <w:tcW w:w="1480" w:type="dxa"/>
            <w:vAlign w:val="bottom"/>
            <w:gridSpan w:val="2"/>
            <w:shd w:val="clear" w:color="auto" w:fill="998C87"/>
          </w:tcPr>
          <w:p>
            <w:pPr>
              <w:jc w:val="center"/>
              <w:ind w:right="148"/>
              <w:spacing w:after="0" w:line="135" w:lineRule="exact"/>
              <w:rPr>
                <w:sz w:val="20"/>
                <w:szCs w:val="20"/>
                <w:color w:val="auto"/>
              </w:rPr>
            </w:pPr>
            <w:r>
              <w:rPr>
                <w:rFonts w:ascii="Arial" w:cs="Arial" w:eastAsia="Arial" w:hAnsi="Arial"/>
                <w:sz w:val="13"/>
                <w:szCs w:val="13"/>
                <w:b w:val="1"/>
                <w:bCs w:val="1"/>
                <w:color w:val="FFFFFF"/>
                <w:w w:val="97"/>
              </w:rPr>
              <w:t>Underlying</w:t>
            </w:r>
          </w:p>
        </w:tc>
        <w:tc>
          <w:tcPr>
            <w:tcW w:w="760" w:type="dxa"/>
            <w:vAlign w:val="bottom"/>
            <w:vMerge w:val="restart"/>
            <w:shd w:val="clear" w:color="auto" w:fill="998C87"/>
          </w:tcPr>
          <w:p>
            <w:pPr>
              <w:jc w:val="center"/>
              <w:ind w:left="110"/>
              <w:spacing w:after="0"/>
              <w:rPr>
                <w:sz w:val="20"/>
                <w:szCs w:val="20"/>
                <w:color w:val="auto"/>
              </w:rPr>
            </w:pPr>
            <w:r>
              <w:rPr>
                <w:rFonts w:ascii="Arial" w:cs="Arial" w:eastAsia="Arial" w:hAnsi="Arial"/>
                <w:sz w:val="13"/>
                <w:szCs w:val="13"/>
                <w:b w:val="1"/>
                <w:bCs w:val="1"/>
                <w:color w:val="FFFFFF"/>
                <w:w w:val="94"/>
              </w:rPr>
              <w:t>SAR</w:t>
            </w:r>
          </w:p>
        </w:tc>
        <w:tc>
          <w:tcPr>
            <w:tcW w:w="1120" w:type="dxa"/>
            <w:vAlign w:val="bottom"/>
            <w:shd w:val="clear" w:color="auto" w:fill="998C87"/>
          </w:tcPr>
          <w:p>
            <w:pPr>
              <w:spacing w:after="0"/>
              <w:rPr>
                <w:sz w:val="11"/>
                <w:szCs w:val="11"/>
                <w:color w:val="auto"/>
              </w:rPr>
            </w:pPr>
          </w:p>
        </w:tc>
        <w:tc>
          <w:tcPr>
            <w:tcW w:w="1240" w:type="dxa"/>
            <w:vAlign w:val="bottom"/>
            <w:vMerge w:val="restart"/>
            <w:shd w:val="clear" w:color="auto" w:fill="998C87"/>
          </w:tcPr>
          <w:p>
            <w:pPr>
              <w:jc w:val="center"/>
              <w:ind w:left="750"/>
              <w:spacing w:after="0"/>
              <w:rPr>
                <w:sz w:val="20"/>
                <w:szCs w:val="20"/>
                <w:color w:val="auto"/>
              </w:rPr>
            </w:pPr>
            <w:r>
              <w:rPr>
                <w:rFonts w:ascii="Arial" w:cs="Arial" w:eastAsia="Arial" w:hAnsi="Arial"/>
                <w:sz w:val="13"/>
                <w:szCs w:val="13"/>
                <w:b w:val="1"/>
                <w:bCs w:val="1"/>
                <w:color w:val="FFFFFF"/>
                <w:w w:val="94"/>
              </w:rPr>
              <w:t>SAR</w:t>
            </w:r>
          </w:p>
        </w:tc>
        <w:tc>
          <w:tcPr>
            <w:tcW w:w="820" w:type="dxa"/>
            <w:vAlign w:val="bottom"/>
            <w:shd w:val="clear" w:color="auto" w:fill="998C87"/>
          </w:tcPr>
          <w:p>
            <w:pPr>
              <w:spacing w:after="0"/>
              <w:rPr>
                <w:sz w:val="11"/>
                <w:szCs w:val="11"/>
                <w:color w:val="auto"/>
              </w:rPr>
            </w:pPr>
          </w:p>
        </w:tc>
        <w:tc>
          <w:tcPr>
            <w:tcW w:w="106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6"/>
              </w:rPr>
              <w:t>Shares or</w:t>
            </w:r>
          </w:p>
        </w:tc>
        <w:tc>
          <w:tcPr>
            <w:tcW w:w="100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4"/>
              </w:rPr>
              <w:t>of Shares</w:t>
            </w:r>
          </w:p>
        </w:tc>
        <w:tc>
          <w:tcPr>
            <w:tcW w:w="0" w:type="dxa"/>
            <w:vAlign w:val="bottom"/>
          </w:tcPr>
          <w:p>
            <w:pPr>
              <w:spacing w:after="0"/>
              <w:rPr>
                <w:sz w:val="1"/>
                <w:szCs w:val="1"/>
                <w:color w:val="auto"/>
              </w:rPr>
            </w:pPr>
          </w:p>
        </w:tc>
      </w:tr>
      <w:tr>
        <w:trPr>
          <w:trHeight w:val="135"/>
        </w:trPr>
        <w:tc>
          <w:tcPr>
            <w:tcW w:w="1440" w:type="dxa"/>
            <w:vAlign w:val="bottom"/>
            <w:shd w:val="clear" w:color="auto" w:fill="998C87"/>
          </w:tcPr>
          <w:p>
            <w:pPr>
              <w:spacing w:after="0"/>
              <w:rPr>
                <w:sz w:val="11"/>
                <w:szCs w:val="11"/>
                <w:color w:val="auto"/>
              </w:rPr>
            </w:pPr>
          </w:p>
        </w:tc>
        <w:tc>
          <w:tcPr>
            <w:tcW w:w="240" w:type="dxa"/>
            <w:vAlign w:val="bottom"/>
            <w:shd w:val="clear" w:color="auto" w:fill="998C87"/>
          </w:tcPr>
          <w:p>
            <w:pPr>
              <w:spacing w:after="0"/>
              <w:rPr>
                <w:sz w:val="11"/>
                <w:szCs w:val="11"/>
                <w:color w:val="auto"/>
              </w:rPr>
            </w:pPr>
          </w:p>
        </w:tc>
        <w:tc>
          <w:tcPr>
            <w:tcW w:w="670" w:type="dxa"/>
            <w:vAlign w:val="bottom"/>
            <w:shd w:val="clear" w:color="auto" w:fill="998C87"/>
          </w:tcPr>
          <w:p>
            <w:pPr>
              <w:spacing w:after="0"/>
              <w:rPr>
                <w:sz w:val="11"/>
                <w:szCs w:val="11"/>
                <w:color w:val="auto"/>
              </w:rPr>
            </w:pPr>
          </w:p>
        </w:tc>
        <w:tc>
          <w:tcPr>
            <w:tcW w:w="950" w:type="dxa"/>
            <w:vAlign w:val="bottom"/>
            <w:shd w:val="clear" w:color="auto" w:fill="998C87"/>
          </w:tcPr>
          <w:p>
            <w:pPr>
              <w:spacing w:after="0"/>
              <w:rPr>
                <w:sz w:val="11"/>
                <w:szCs w:val="11"/>
                <w:color w:val="auto"/>
              </w:rPr>
            </w:pPr>
          </w:p>
        </w:tc>
        <w:tc>
          <w:tcPr>
            <w:tcW w:w="220" w:type="dxa"/>
            <w:vAlign w:val="bottom"/>
            <w:shd w:val="clear" w:color="auto" w:fill="998C87"/>
          </w:tcPr>
          <w:p>
            <w:pPr>
              <w:spacing w:after="0"/>
              <w:rPr>
                <w:sz w:val="11"/>
                <w:szCs w:val="11"/>
                <w:color w:val="auto"/>
              </w:rPr>
            </w:pPr>
          </w:p>
        </w:tc>
        <w:tc>
          <w:tcPr>
            <w:tcW w:w="1480" w:type="dxa"/>
            <w:vAlign w:val="bottom"/>
            <w:gridSpan w:val="2"/>
            <w:shd w:val="clear" w:color="auto" w:fill="998C87"/>
          </w:tcPr>
          <w:p>
            <w:pPr>
              <w:jc w:val="center"/>
              <w:ind w:right="148"/>
              <w:spacing w:after="0" w:line="135" w:lineRule="exact"/>
              <w:rPr>
                <w:sz w:val="20"/>
                <w:szCs w:val="20"/>
                <w:color w:val="auto"/>
              </w:rPr>
            </w:pPr>
            <w:r>
              <w:rPr>
                <w:rFonts w:ascii="Arial" w:cs="Arial" w:eastAsia="Arial" w:hAnsi="Arial"/>
                <w:sz w:val="13"/>
                <w:szCs w:val="13"/>
                <w:b w:val="1"/>
                <w:bCs w:val="1"/>
                <w:color w:val="FFFFFF"/>
                <w:w w:val="95"/>
              </w:rPr>
              <w:t>Unexercised</w:t>
            </w:r>
          </w:p>
        </w:tc>
        <w:tc>
          <w:tcPr>
            <w:tcW w:w="760" w:type="dxa"/>
            <w:vAlign w:val="bottom"/>
            <w:vMerge w:val="continue"/>
            <w:shd w:val="clear" w:color="auto" w:fill="998C87"/>
          </w:tcPr>
          <w:p>
            <w:pPr>
              <w:spacing w:after="0"/>
              <w:rPr>
                <w:sz w:val="11"/>
                <w:szCs w:val="11"/>
                <w:color w:val="auto"/>
              </w:rPr>
            </w:pPr>
          </w:p>
        </w:tc>
        <w:tc>
          <w:tcPr>
            <w:tcW w:w="1120" w:type="dxa"/>
            <w:vAlign w:val="bottom"/>
            <w:vMerge w:val="restart"/>
            <w:shd w:val="clear" w:color="auto" w:fill="998C87"/>
          </w:tcPr>
          <w:p>
            <w:pPr>
              <w:jc w:val="center"/>
              <w:ind w:left="71"/>
              <w:spacing w:after="0"/>
              <w:rPr>
                <w:sz w:val="20"/>
                <w:szCs w:val="20"/>
                <w:color w:val="auto"/>
              </w:rPr>
            </w:pPr>
            <w:r>
              <w:rPr>
                <w:rFonts w:ascii="Arial" w:cs="Arial" w:eastAsia="Arial" w:hAnsi="Arial"/>
                <w:sz w:val="13"/>
                <w:szCs w:val="13"/>
                <w:b w:val="1"/>
                <w:bCs w:val="1"/>
                <w:color w:val="FFFFFF"/>
                <w:w w:val="94"/>
              </w:rPr>
              <w:t>SAR</w:t>
            </w:r>
          </w:p>
        </w:tc>
        <w:tc>
          <w:tcPr>
            <w:tcW w:w="1240" w:type="dxa"/>
            <w:vAlign w:val="bottom"/>
            <w:vMerge w:val="continue"/>
            <w:shd w:val="clear" w:color="auto" w:fill="998C87"/>
          </w:tcPr>
          <w:p>
            <w:pPr>
              <w:spacing w:after="0"/>
              <w:rPr>
                <w:sz w:val="11"/>
                <w:szCs w:val="11"/>
                <w:color w:val="auto"/>
              </w:rPr>
            </w:pPr>
          </w:p>
        </w:tc>
        <w:tc>
          <w:tcPr>
            <w:tcW w:w="820" w:type="dxa"/>
            <w:vAlign w:val="bottom"/>
            <w:shd w:val="clear" w:color="auto" w:fill="998C87"/>
          </w:tcPr>
          <w:p>
            <w:pPr>
              <w:spacing w:after="0"/>
              <w:rPr>
                <w:sz w:val="11"/>
                <w:szCs w:val="11"/>
                <w:color w:val="auto"/>
              </w:rPr>
            </w:pPr>
          </w:p>
        </w:tc>
        <w:tc>
          <w:tcPr>
            <w:tcW w:w="106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6"/>
              </w:rPr>
              <w:t>Units of Stock</w:t>
            </w:r>
          </w:p>
        </w:tc>
        <w:tc>
          <w:tcPr>
            <w:tcW w:w="100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7"/>
              </w:rPr>
              <w:t>or Units</w:t>
            </w:r>
          </w:p>
        </w:tc>
        <w:tc>
          <w:tcPr>
            <w:tcW w:w="0" w:type="dxa"/>
            <w:vAlign w:val="bottom"/>
          </w:tcPr>
          <w:p>
            <w:pPr>
              <w:spacing w:after="0"/>
              <w:rPr>
                <w:sz w:val="1"/>
                <w:szCs w:val="1"/>
                <w:color w:val="auto"/>
              </w:rPr>
            </w:pPr>
          </w:p>
        </w:tc>
      </w:tr>
      <w:tr>
        <w:trPr>
          <w:trHeight w:val="135"/>
        </w:trPr>
        <w:tc>
          <w:tcPr>
            <w:tcW w:w="1440" w:type="dxa"/>
            <w:vAlign w:val="bottom"/>
            <w:shd w:val="clear" w:color="auto" w:fill="998C87"/>
          </w:tcPr>
          <w:p>
            <w:pPr>
              <w:spacing w:after="0"/>
              <w:rPr>
                <w:sz w:val="11"/>
                <w:szCs w:val="11"/>
                <w:color w:val="auto"/>
              </w:rPr>
            </w:pPr>
          </w:p>
        </w:tc>
        <w:tc>
          <w:tcPr>
            <w:tcW w:w="240" w:type="dxa"/>
            <w:vAlign w:val="bottom"/>
            <w:shd w:val="clear" w:color="auto" w:fill="998C87"/>
          </w:tcPr>
          <w:p>
            <w:pPr>
              <w:spacing w:after="0"/>
              <w:rPr>
                <w:sz w:val="11"/>
                <w:szCs w:val="11"/>
                <w:color w:val="auto"/>
              </w:rPr>
            </w:pPr>
          </w:p>
        </w:tc>
        <w:tc>
          <w:tcPr>
            <w:tcW w:w="670" w:type="dxa"/>
            <w:vAlign w:val="bottom"/>
            <w:vMerge w:val="restart"/>
            <w:shd w:val="clear" w:color="auto" w:fill="998C87"/>
          </w:tcPr>
          <w:p>
            <w:pPr>
              <w:jc w:val="right"/>
              <w:ind w:right="220"/>
              <w:spacing w:after="0"/>
              <w:rPr>
                <w:sz w:val="20"/>
                <w:szCs w:val="20"/>
                <w:color w:val="auto"/>
              </w:rPr>
            </w:pPr>
            <w:r>
              <w:rPr>
                <w:rFonts w:ascii="Arial" w:cs="Arial" w:eastAsia="Arial" w:hAnsi="Arial"/>
                <w:sz w:val="13"/>
                <w:szCs w:val="13"/>
                <w:b w:val="1"/>
                <w:bCs w:val="1"/>
                <w:color w:val="FFFFFF"/>
              </w:rPr>
              <w:t>Grant</w:t>
            </w:r>
          </w:p>
        </w:tc>
        <w:tc>
          <w:tcPr>
            <w:tcW w:w="950" w:type="dxa"/>
            <w:vAlign w:val="bottom"/>
            <w:vMerge w:val="restart"/>
            <w:shd w:val="clear" w:color="auto" w:fill="998C87"/>
          </w:tcPr>
          <w:p>
            <w:pPr>
              <w:ind w:left="270"/>
              <w:spacing w:after="0"/>
              <w:rPr>
                <w:sz w:val="20"/>
                <w:szCs w:val="20"/>
                <w:color w:val="auto"/>
              </w:rPr>
            </w:pPr>
            <w:r>
              <w:rPr>
                <w:rFonts w:ascii="Arial" w:cs="Arial" w:eastAsia="Arial" w:hAnsi="Arial"/>
                <w:sz w:val="13"/>
                <w:szCs w:val="13"/>
                <w:b w:val="1"/>
                <w:bCs w:val="1"/>
                <w:color w:val="FFFFFF"/>
              </w:rPr>
              <w:t>Award</w:t>
            </w:r>
          </w:p>
        </w:tc>
        <w:tc>
          <w:tcPr>
            <w:tcW w:w="220" w:type="dxa"/>
            <w:vAlign w:val="bottom"/>
            <w:shd w:val="clear" w:color="auto" w:fill="998C87"/>
          </w:tcPr>
          <w:p>
            <w:pPr>
              <w:spacing w:after="0"/>
              <w:rPr>
                <w:sz w:val="11"/>
                <w:szCs w:val="11"/>
                <w:color w:val="auto"/>
              </w:rPr>
            </w:pPr>
          </w:p>
        </w:tc>
        <w:tc>
          <w:tcPr>
            <w:tcW w:w="840" w:type="dxa"/>
            <w:vAlign w:val="bottom"/>
            <w:shd w:val="clear" w:color="auto" w:fill="998C87"/>
          </w:tcPr>
          <w:p>
            <w:pPr>
              <w:jc w:val="center"/>
              <w:ind w:left="351"/>
              <w:spacing w:after="0" w:line="135" w:lineRule="exact"/>
              <w:rPr>
                <w:sz w:val="20"/>
                <w:szCs w:val="20"/>
                <w:color w:val="auto"/>
              </w:rPr>
            </w:pPr>
            <w:r>
              <w:rPr>
                <w:rFonts w:ascii="Arial" w:cs="Arial" w:eastAsia="Arial" w:hAnsi="Arial"/>
                <w:sz w:val="13"/>
                <w:szCs w:val="13"/>
                <w:b w:val="1"/>
                <w:bCs w:val="1"/>
                <w:color w:val="FFFFFF"/>
                <w:w w:val="97"/>
              </w:rPr>
              <w:t>SARs:</w:t>
            </w:r>
          </w:p>
        </w:tc>
        <w:tc>
          <w:tcPr>
            <w:tcW w:w="640" w:type="dxa"/>
            <w:vAlign w:val="bottom"/>
            <w:shd w:val="clear" w:color="auto" w:fill="998C87"/>
          </w:tcPr>
          <w:p>
            <w:pPr>
              <w:spacing w:after="0"/>
              <w:rPr>
                <w:sz w:val="11"/>
                <w:szCs w:val="11"/>
                <w:color w:val="auto"/>
              </w:rPr>
            </w:pPr>
          </w:p>
        </w:tc>
        <w:tc>
          <w:tcPr>
            <w:tcW w:w="760" w:type="dxa"/>
            <w:vAlign w:val="bottom"/>
            <w:shd w:val="clear" w:color="auto" w:fill="998C87"/>
          </w:tcPr>
          <w:p>
            <w:pPr>
              <w:jc w:val="center"/>
              <w:ind w:left="130"/>
              <w:spacing w:after="0" w:line="135" w:lineRule="exact"/>
              <w:rPr>
                <w:sz w:val="20"/>
                <w:szCs w:val="20"/>
                <w:color w:val="auto"/>
              </w:rPr>
            </w:pPr>
            <w:r>
              <w:rPr>
                <w:rFonts w:ascii="Arial" w:cs="Arial" w:eastAsia="Arial" w:hAnsi="Arial"/>
                <w:sz w:val="13"/>
                <w:szCs w:val="13"/>
                <w:b w:val="1"/>
                <w:bCs w:val="1"/>
                <w:color w:val="FFFFFF"/>
                <w:w w:val="97"/>
              </w:rPr>
              <w:t>Exercise</w:t>
            </w:r>
          </w:p>
        </w:tc>
        <w:tc>
          <w:tcPr>
            <w:tcW w:w="1120" w:type="dxa"/>
            <w:vAlign w:val="bottom"/>
            <w:vMerge w:val="continue"/>
            <w:shd w:val="clear" w:color="auto" w:fill="998C87"/>
          </w:tcPr>
          <w:p>
            <w:pPr>
              <w:spacing w:after="0"/>
              <w:rPr>
                <w:sz w:val="11"/>
                <w:szCs w:val="11"/>
                <w:color w:val="auto"/>
              </w:rPr>
            </w:pPr>
          </w:p>
        </w:tc>
        <w:tc>
          <w:tcPr>
            <w:tcW w:w="2060" w:type="dxa"/>
            <w:vAlign w:val="bottom"/>
            <w:gridSpan w:val="2"/>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6"/>
              </w:rPr>
              <w:t>Intrinsic Value:</w:t>
            </w:r>
          </w:p>
        </w:tc>
        <w:tc>
          <w:tcPr>
            <w:tcW w:w="106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6"/>
              </w:rPr>
              <w:t>That Have</w:t>
            </w:r>
          </w:p>
        </w:tc>
        <w:tc>
          <w:tcPr>
            <w:tcW w:w="100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3"/>
              </w:rPr>
              <w:t>of Stock</w:t>
            </w:r>
          </w:p>
        </w:tc>
        <w:tc>
          <w:tcPr>
            <w:tcW w:w="0" w:type="dxa"/>
            <w:vAlign w:val="bottom"/>
          </w:tcPr>
          <w:p>
            <w:pPr>
              <w:spacing w:after="0"/>
              <w:rPr>
                <w:sz w:val="1"/>
                <w:szCs w:val="1"/>
                <w:color w:val="auto"/>
              </w:rPr>
            </w:pPr>
          </w:p>
        </w:tc>
      </w:tr>
      <w:tr>
        <w:trPr>
          <w:trHeight w:val="135"/>
        </w:trPr>
        <w:tc>
          <w:tcPr>
            <w:tcW w:w="1440" w:type="dxa"/>
            <w:vAlign w:val="bottom"/>
            <w:vMerge w:val="restart"/>
            <w:shd w:val="clear" w:color="auto" w:fill="998C87"/>
          </w:tcPr>
          <w:p>
            <w:pPr>
              <w:ind w:left="40"/>
              <w:spacing w:after="0"/>
              <w:rPr>
                <w:sz w:val="20"/>
                <w:szCs w:val="20"/>
                <w:color w:val="auto"/>
              </w:rPr>
            </w:pPr>
            <w:r>
              <w:rPr>
                <w:rFonts w:ascii="Arial" w:cs="Arial" w:eastAsia="Arial" w:hAnsi="Arial"/>
                <w:sz w:val="13"/>
                <w:szCs w:val="13"/>
                <w:b w:val="1"/>
                <w:bCs w:val="1"/>
                <w:color w:val="FFFFFF"/>
              </w:rPr>
              <w:t>Name</w:t>
            </w:r>
          </w:p>
        </w:tc>
        <w:tc>
          <w:tcPr>
            <w:tcW w:w="240" w:type="dxa"/>
            <w:vAlign w:val="bottom"/>
            <w:shd w:val="clear" w:color="auto" w:fill="998C87"/>
          </w:tcPr>
          <w:p>
            <w:pPr>
              <w:spacing w:after="0"/>
              <w:rPr>
                <w:sz w:val="11"/>
                <w:szCs w:val="11"/>
                <w:color w:val="auto"/>
              </w:rPr>
            </w:pPr>
          </w:p>
        </w:tc>
        <w:tc>
          <w:tcPr>
            <w:tcW w:w="670" w:type="dxa"/>
            <w:vAlign w:val="bottom"/>
            <w:vMerge w:val="continue"/>
            <w:shd w:val="clear" w:color="auto" w:fill="998C87"/>
          </w:tcPr>
          <w:p>
            <w:pPr>
              <w:spacing w:after="0"/>
              <w:rPr>
                <w:sz w:val="11"/>
                <w:szCs w:val="11"/>
                <w:color w:val="auto"/>
              </w:rPr>
            </w:pPr>
          </w:p>
        </w:tc>
        <w:tc>
          <w:tcPr>
            <w:tcW w:w="950" w:type="dxa"/>
            <w:vAlign w:val="bottom"/>
            <w:vMerge w:val="continue"/>
            <w:shd w:val="clear" w:color="auto" w:fill="998C87"/>
          </w:tcPr>
          <w:p>
            <w:pPr>
              <w:spacing w:after="0"/>
              <w:rPr>
                <w:sz w:val="11"/>
                <w:szCs w:val="11"/>
                <w:color w:val="auto"/>
              </w:rPr>
            </w:pPr>
          </w:p>
        </w:tc>
        <w:tc>
          <w:tcPr>
            <w:tcW w:w="220" w:type="dxa"/>
            <w:vAlign w:val="bottom"/>
            <w:shd w:val="clear" w:color="auto" w:fill="998C87"/>
          </w:tcPr>
          <w:p>
            <w:pPr>
              <w:spacing w:after="0"/>
              <w:rPr>
                <w:sz w:val="11"/>
                <w:szCs w:val="11"/>
                <w:color w:val="auto"/>
              </w:rPr>
            </w:pPr>
          </w:p>
        </w:tc>
        <w:tc>
          <w:tcPr>
            <w:tcW w:w="1480" w:type="dxa"/>
            <w:vAlign w:val="bottom"/>
            <w:gridSpan w:val="2"/>
            <w:shd w:val="clear" w:color="auto" w:fill="998C87"/>
          </w:tcPr>
          <w:p>
            <w:pPr>
              <w:jc w:val="center"/>
              <w:ind w:right="148"/>
              <w:spacing w:after="0" w:line="135" w:lineRule="exact"/>
              <w:rPr>
                <w:sz w:val="20"/>
                <w:szCs w:val="20"/>
                <w:color w:val="auto"/>
              </w:rPr>
            </w:pPr>
            <w:r>
              <w:rPr>
                <w:rFonts w:ascii="Arial" w:cs="Arial" w:eastAsia="Arial" w:hAnsi="Arial"/>
                <w:sz w:val="13"/>
                <w:szCs w:val="13"/>
                <w:b w:val="1"/>
                <w:bCs w:val="1"/>
                <w:color w:val="FFFFFF"/>
                <w:w w:val="97"/>
              </w:rPr>
              <w:t>Exercisable/</w:t>
            </w:r>
          </w:p>
        </w:tc>
        <w:tc>
          <w:tcPr>
            <w:tcW w:w="760" w:type="dxa"/>
            <w:vAlign w:val="bottom"/>
            <w:shd w:val="clear" w:color="auto" w:fill="998C87"/>
          </w:tcPr>
          <w:p>
            <w:pPr>
              <w:jc w:val="center"/>
              <w:ind w:left="110"/>
              <w:spacing w:after="0" w:line="135" w:lineRule="exact"/>
              <w:rPr>
                <w:sz w:val="20"/>
                <w:szCs w:val="20"/>
                <w:color w:val="auto"/>
              </w:rPr>
            </w:pPr>
            <w:r>
              <w:rPr>
                <w:rFonts w:ascii="Arial" w:cs="Arial" w:eastAsia="Arial" w:hAnsi="Arial"/>
                <w:sz w:val="13"/>
                <w:szCs w:val="13"/>
                <w:b w:val="1"/>
                <w:bCs w:val="1"/>
                <w:color w:val="FFFFFF"/>
                <w:w w:val="94"/>
              </w:rPr>
              <w:t>Price</w:t>
            </w:r>
          </w:p>
        </w:tc>
        <w:tc>
          <w:tcPr>
            <w:tcW w:w="1120" w:type="dxa"/>
            <w:vAlign w:val="bottom"/>
            <w:shd w:val="clear" w:color="auto" w:fill="998C87"/>
          </w:tcPr>
          <w:p>
            <w:pPr>
              <w:jc w:val="center"/>
              <w:ind w:left="71"/>
              <w:spacing w:after="0" w:line="135" w:lineRule="exact"/>
              <w:rPr>
                <w:sz w:val="20"/>
                <w:szCs w:val="20"/>
                <w:color w:val="auto"/>
              </w:rPr>
            </w:pPr>
            <w:r>
              <w:rPr>
                <w:rFonts w:ascii="Arial" w:cs="Arial" w:eastAsia="Arial" w:hAnsi="Arial"/>
                <w:sz w:val="13"/>
                <w:szCs w:val="13"/>
                <w:b w:val="1"/>
                <w:bCs w:val="1"/>
                <w:color w:val="FFFFFF"/>
                <w:w w:val="97"/>
              </w:rPr>
              <w:t>Expiration</w:t>
            </w:r>
          </w:p>
        </w:tc>
        <w:tc>
          <w:tcPr>
            <w:tcW w:w="2060" w:type="dxa"/>
            <w:vAlign w:val="bottom"/>
            <w:gridSpan w:val="2"/>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6"/>
              </w:rPr>
              <w:t>($) Exercisable/</w:t>
            </w:r>
          </w:p>
        </w:tc>
        <w:tc>
          <w:tcPr>
            <w:tcW w:w="106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7"/>
              </w:rPr>
              <w:t>Not Vested</w:t>
            </w:r>
          </w:p>
        </w:tc>
        <w:tc>
          <w:tcPr>
            <w:tcW w:w="1000" w:type="dxa"/>
            <w:vAlign w:val="bottom"/>
            <w:shd w:val="clear" w:color="auto" w:fill="998C87"/>
          </w:tcPr>
          <w:p>
            <w:pPr>
              <w:jc w:val="center"/>
              <w:spacing w:after="0" w:line="135" w:lineRule="exact"/>
              <w:rPr>
                <w:sz w:val="20"/>
                <w:szCs w:val="20"/>
                <w:color w:val="auto"/>
              </w:rPr>
            </w:pPr>
            <w:r>
              <w:rPr>
                <w:rFonts w:ascii="Arial" w:cs="Arial" w:eastAsia="Arial" w:hAnsi="Arial"/>
                <w:sz w:val="13"/>
                <w:szCs w:val="13"/>
                <w:b w:val="1"/>
                <w:bCs w:val="1"/>
                <w:color w:val="FFFFFF"/>
                <w:w w:val="96"/>
              </w:rPr>
              <w:t>That Have</w:t>
            </w:r>
          </w:p>
        </w:tc>
        <w:tc>
          <w:tcPr>
            <w:tcW w:w="0" w:type="dxa"/>
            <w:vAlign w:val="bottom"/>
          </w:tcPr>
          <w:p>
            <w:pPr>
              <w:spacing w:after="0"/>
              <w:rPr>
                <w:sz w:val="1"/>
                <w:szCs w:val="1"/>
                <w:color w:val="auto"/>
              </w:rPr>
            </w:pPr>
          </w:p>
        </w:tc>
      </w:tr>
      <w:tr>
        <w:trPr>
          <w:trHeight w:val="157"/>
        </w:trPr>
        <w:tc>
          <w:tcPr>
            <w:tcW w:w="1440" w:type="dxa"/>
            <w:vAlign w:val="bottom"/>
            <w:vMerge w:val="continue"/>
            <w:shd w:val="clear" w:color="auto" w:fill="998C87"/>
          </w:tcPr>
          <w:p>
            <w:pPr>
              <w:spacing w:after="0"/>
              <w:rPr>
                <w:sz w:val="13"/>
                <w:szCs w:val="13"/>
                <w:color w:val="auto"/>
              </w:rPr>
            </w:pPr>
          </w:p>
        </w:tc>
        <w:tc>
          <w:tcPr>
            <w:tcW w:w="240" w:type="dxa"/>
            <w:vAlign w:val="bottom"/>
            <w:shd w:val="clear" w:color="auto" w:fill="998C87"/>
          </w:tcPr>
          <w:p>
            <w:pPr>
              <w:spacing w:after="0"/>
              <w:rPr>
                <w:sz w:val="13"/>
                <w:szCs w:val="13"/>
                <w:color w:val="auto"/>
              </w:rPr>
            </w:pPr>
          </w:p>
        </w:tc>
        <w:tc>
          <w:tcPr>
            <w:tcW w:w="670" w:type="dxa"/>
            <w:vAlign w:val="bottom"/>
            <w:shd w:val="clear" w:color="auto" w:fill="998C87"/>
          </w:tcPr>
          <w:p>
            <w:pPr>
              <w:jc w:val="right"/>
              <w:ind w:right="260"/>
              <w:spacing w:after="0"/>
              <w:rPr>
                <w:sz w:val="20"/>
                <w:szCs w:val="20"/>
                <w:color w:val="auto"/>
              </w:rPr>
            </w:pPr>
            <w:r>
              <w:rPr>
                <w:rFonts w:ascii="Arial" w:cs="Arial" w:eastAsia="Arial" w:hAnsi="Arial"/>
                <w:sz w:val="13"/>
                <w:szCs w:val="13"/>
                <w:b w:val="1"/>
                <w:bCs w:val="1"/>
                <w:color w:val="FFFFFF"/>
              </w:rPr>
              <w:t>Date</w:t>
            </w:r>
          </w:p>
        </w:tc>
        <w:tc>
          <w:tcPr>
            <w:tcW w:w="950" w:type="dxa"/>
            <w:vAlign w:val="bottom"/>
            <w:shd w:val="clear" w:color="auto" w:fill="998C87"/>
          </w:tcPr>
          <w:p>
            <w:pPr>
              <w:ind w:left="330"/>
              <w:spacing w:after="0"/>
              <w:rPr>
                <w:sz w:val="20"/>
                <w:szCs w:val="20"/>
                <w:color w:val="auto"/>
              </w:rPr>
            </w:pPr>
            <w:r>
              <w:rPr>
                <w:rFonts w:ascii="Arial" w:cs="Arial" w:eastAsia="Arial" w:hAnsi="Arial"/>
                <w:sz w:val="13"/>
                <w:szCs w:val="13"/>
                <w:b w:val="1"/>
                <w:bCs w:val="1"/>
                <w:color w:val="FFFFFF"/>
              </w:rPr>
              <w:t>Type</w:t>
            </w:r>
          </w:p>
        </w:tc>
        <w:tc>
          <w:tcPr>
            <w:tcW w:w="220" w:type="dxa"/>
            <w:vAlign w:val="bottom"/>
            <w:shd w:val="clear" w:color="auto" w:fill="998C87"/>
          </w:tcPr>
          <w:p>
            <w:pPr>
              <w:spacing w:after="0"/>
              <w:rPr>
                <w:sz w:val="13"/>
                <w:szCs w:val="13"/>
                <w:color w:val="auto"/>
              </w:rPr>
            </w:pPr>
          </w:p>
        </w:tc>
        <w:tc>
          <w:tcPr>
            <w:tcW w:w="1480" w:type="dxa"/>
            <w:vAlign w:val="bottom"/>
            <w:gridSpan w:val="2"/>
            <w:shd w:val="clear" w:color="auto" w:fill="998C87"/>
          </w:tcPr>
          <w:p>
            <w:pPr>
              <w:jc w:val="center"/>
              <w:ind w:right="128"/>
              <w:spacing w:after="0"/>
              <w:rPr>
                <w:sz w:val="20"/>
                <w:szCs w:val="20"/>
                <w:color w:val="auto"/>
              </w:rPr>
            </w:pPr>
            <w:r>
              <w:rPr>
                <w:rFonts w:ascii="Arial" w:cs="Arial" w:eastAsia="Arial" w:hAnsi="Arial"/>
                <w:sz w:val="13"/>
                <w:szCs w:val="13"/>
                <w:b w:val="1"/>
                <w:bCs w:val="1"/>
                <w:color w:val="FFFFFF"/>
                <w:w w:val="96"/>
              </w:rPr>
              <w:t>Unexercisable (#)</w:t>
            </w:r>
          </w:p>
        </w:tc>
        <w:tc>
          <w:tcPr>
            <w:tcW w:w="760" w:type="dxa"/>
            <w:vAlign w:val="bottom"/>
            <w:shd w:val="clear" w:color="auto" w:fill="998C87"/>
          </w:tcPr>
          <w:p>
            <w:pPr>
              <w:jc w:val="center"/>
              <w:ind w:left="130"/>
              <w:spacing w:after="0"/>
              <w:rPr>
                <w:sz w:val="20"/>
                <w:szCs w:val="20"/>
                <w:color w:val="auto"/>
              </w:rPr>
            </w:pPr>
            <w:r>
              <w:rPr>
                <w:rFonts w:ascii="Arial" w:cs="Arial" w:eastAsia="Arial" w:hAnsi="Arial"/>
                <w:sz w:val="13"/>
                <w:szCs w:val="13"/>
                <w:b w:val="1"/>
                <w:bCs w:val="1"/>
                <w:color w:val="FFFFFF"/>
              </w:rPr>
              <w:t>($)</w:t>
            </w:r>
          </w:p>
        </w:tc>
        <w:tc>
          <w:tcPr>
            <w:tcW w:w="1120" w:type="dxa"/>
            <w:vAlign w:val="bottom"/>
            <w:shd w:val="clear" w:color="auto" w:fill="998C87"/>
          </w:tcPr>
          <w:p>
            <w:pPr>
              <w:jc w:val="center"/>
              <w:ind w:left="51"/>
              <w:spacing w:after="0"/>
              <w:rPr>
                <w:sz w:val="20"/>
                <w:szCs w:val="20"/>
                <w:color w:val="auto"/>
              </w:rPr>
            </w:pPr>
            <w:r>
              <w:rPr>
                <w:rFonts w:ascii="Arial" w:cs="Arial" w:eastAsia="Arial" w:hAnsi="Arial"/>
                <w:sz w:val="13"/>
                <w:szCs w:val="13"/>
                <w:b w:val="1"/>
                <w:bCs w:val="1"/>
                <w:color w:val="FFFFFF"/>
                <w:w w:val="99"/>
              </w:rPr>
              <w:t>Date</w:t>
            </w:r>
          </w:p>
        </w:tc>
        <w:tc>
          <w:tcPr>
            <w:tcW w:w="2060" w:type="dxa"/>
            <w:vAlign w:val="bottom"/>
            <w:gridSpan w:val="2"/>
            <w:shd w:val="clear" w:color="auto" w:fill="998C87"/>
          </w:tcPr>
          <w:p>
            <w:pPr>
              <w:jc w:val="center"/>
              <w:spacing w:after="0"/>
              <w:rPr>
                <w:sz w:val="20"/>
                <w:szCs w:val="20"/>
                <w:color w:val="auto"/>
              </w:rPr>
            </w:pPr>
            <w:r>
              <w:rPr>
                <w:rFonts w:ascii="Arial" w:cs="Arial" w:eastAsia="Arial" w:hAnsi="Arial"/>
                <w:sz w:val="13"/>
                <w:szCs w:val="13"/>
                <w:b w:val="1"/>
                <w:bCs w:val="1"/>
                <w:color w:val="FFFFFF"/>
                <w:w w:val="97"/>
              </w:rPr>
              <w:t>Unexercisable</w:t>
            </w:r>
          </w:p>
        </w:tc>
        <w:tc>
          <w:tcPr>
            <w:tcW w:w="1060" w:type="dxa"/>
            <w:vAlign w:val="bottom"/>
            <w:shd w:val="clear" w:color="auto" w:fill="998C87"/>
          </w:tcPr>
          <w:p>
            <w:pPr>
              <w:jc w:val="center"/>
              <w:spacing w:after="0"/>
              <w:rPr>
                <w:sz w:val="20"/>
                <w:szCs w:val="20"/>
                <w:color w:val="auto"/>
              </w:rPr>
            </w:pPr>
            <w:r>
              <w:rPr>
                <w:rFonts w:ascii="Arial" w:cs="Arial" w:eastAsia="Arial" w:hAnsi="Arial"/>
                <w:sz w:val="13"/>
                <w:szCs w:val="13"/>
                <w:b w:val="1"/>
                <w:bCs w:val="1"/>
                <w:color w:val="FFFFFF"/>
              </w:rPr>
              <w:t>(#)</w:t>
            </w:r>
          </w:p>
        </w:tc>
        <w:tc>
          <w:tcPr>
            <w:tcW w:w="1000" w:type="dxa"/>
            <w:vAlign w:val="bottom"/>
            <w:shd w:val="clear" w:color="auto" w:fill="998C87"/>
          </w:tcPr>
          <w:p>
            <w:pPr>
              <w:jc w:val="center"/>
              <w:spacing w:after="0"/>
              <w:rPr>
                <w:sz w:val="20"/>
                <w:szCs w:val="20"/>
                <w:color w:val="auto"/>
              </w:rPr>
            </w:pPr>
            <w:r>
              <w:rPr>
                <w:rFonts w:ascii="Arial" w:cs="Arial" w:eastAsia="Arial" w:hAnsi="Arial"/>
                <w:sz w:val="13"/>
                <w:szCs w:val="13"/>
                <w:b w:val="1"/>
                <w:bCs w:val="1"/>
                <w:color w:val="FFFFFF"/>
                <w:w w:val="96"/>
              </w:rPr>
              <w:t>Not Vested ($)</w:t>
            </w:r>
          </w:p>
        </w:tc>
        <w:tc>
          <w:tcPr>
            <w:tcW w:w="0" w:type="dxa"/>
            <w:vAlign w:val="bottom"/>
          </w:tcPr>
          <w:p>
            <w:pPr>
              <w:spacing w:after="0"/>
              <w:rPr>
                <w:sz w:val="1"/>
                <w:szCs w:val="1"/>
                <w:color w:val="auto"/>
              </w:rPr>
            </w:pPr>
          </w:p>
        </w:tc>
      </w:tr>
      <w:tr>
        <w:trPr>
          <w:trHeight w:val="162"/>
        </w:trPr>
        <w:tc>
          <w:tcPr>
            <w:tcW w:w="1440" w:type="dxa"/>
            <w:vAlign w:val="bottom"/>
            <w:shd w:val="clear" w:color="auto" w:fill="F4F3F3"/>
          </w:tcPr>
          <w:p>
            <w:pPr>
              <w:ind w:left="180"/>
              <w:spacing w:after="0"/>
              <w:rPr>
                <w:sz w:val="20"/>
                <w:szCs w:val="20"/>
                <w:color w:val="auto"/>
              </w:rPr>
            </w:pPr>
            <w:r>
              <w:rPr>
                <w:rFonts w:ascii="Arial" w:cs="Arial" w:eastAsia="Arial" w:hAnsi="Arial"/>
                <w:sz w:val="14"/>
                <w:szCs w:val="14"/>
                <w:color w:val="998C87"/>
              </w:rPr>
              <w:t>Mr. Grissen</w:t>
            </w:r>
          </w:p>
        </w:tc>
        <w:tc>
          <w:tcPr>
            <w:tcW w:w="910" w:type="dxa"/>
            <w:vAlign w:val="bottom"/>
            <w:gridSpan w:val="2"/>
            <w:shd w:val="clear" w:color="auto" w:fill="F4F3F3"/>
          </w:tcPr>
          <w:p>
            <w:pPr>
              <w:jc w:val="right"/>
              <w:ind w:right="120"/>
              <w:spacing w:after="0"/>
              <w:rPr>
                <w:sz w:val="20"/>
                <w:szCs w:val="20"/>
                <w:color w:val="auto"/>
              </w:rPr>
            </w:pPr>
            <w:r>
              <w:rPr>
                <w:rFonts w:ascii="Arial" w:cs="Arial" w:eastAsia="Arial" w:hAnsi="Arial"/>
                <w:sz w:val="14"/>
                <w:szCs w:val="14"/>
                <w:color w:val="auto"/>
              </w:rPr>
              <w:t>2/16/10</w:t>
            </w:r>
          </w:p>
        </w:tc>
        <w:tc>
          <w:tcPr>
            <w:tcW w:w="95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SARs</w:t>
            </w:r>
          </w:p>
        </w:tc>
        <w:tc>
          <w:tcPr>
            <w:tcW w:w="1060" w:type="dxa"/>
            <w:vAlign w:val="bottom"/>
            <w:gridSpan w:val="2"/>
            <w:shd w:val="clear" w:color="auto" w:fill="F4F3F3"/>
          </w:tcPr>
          <w:p>
            <w:pPr>
              <w:jc w:val="right"/>
              <w:ind w:right="331"/>
              <w:spacing w:after="0"/>
              <w:rPr>
                <w:sz w:val="20"/>
                <w:szCs w:val="20"/>
                <w:color w:val="auto"/>
              </w:rPr>
            </w:pPr>
            <w:r>
              <w:rPr>
                <w:rFonts w:ascii="Arial" w:cs="Arial" w:eastAsia="Arial" w:hAnsi="Arial"/>
                <w:sz w:val="14"/>
                <w:szCs w:val="14"/>
                <w:color w:val="auto"/>
              </w:rPr>
              <w:t>91,900</w:t>
            </w:r>
          </w:p>
        </w:tc>
        <w:tc>
          <w:tcPr>
            <w:tcW w:w="640" w:type="dxa"/>
            <w:vAlign w:val="bottom"/>
            <w:shd w:val="clear" w:color="auto" w:fill="F4F3F3"/>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F4F3F3"/>
          </w:tcPr>
          <w:p>
            <w:pPr>
              <w:jc w:val="right"/>
              <w:spacing w:after="0"/>
              <w:rPr>
                <w:sz w:val="20"/>
                <w:szCs w:val="20"/>
                <w:color w:val="auto"/>
              </w:rPr>
            </w:pPr>
            <w:r>
              <w:rPr>
                <w:rFonts w:ascii="Arial" w:cs="Arial" w:eastAsia="Arial" w:hAnsi="Arial"/>
                <w:sz w:val="14"/>
                <w:szCs w:val="14"/>
                <w:color w:val="auto"/>
              </w:rPr>
              <w:t>25.4397</w:t>
            </w:r>
          </w:p>
        </w:tc>
        <w:tc>
          <w:tcPr>
            <w:tcW w:w="1120" w:type="dxa"/>
            <w:vAlign w:val="bottom"/>
            <w:shd w:val="clear" w:color="auto" w:fill="F4F3F3"/>
          </w:tcPr>
          <w:p>
            <w:pPr>
              <w:jc w:val="right"/>
              <w:ind w:right="151"/>
              <w:spacing w:after="0"/>
              <w:rPr>
                <w:sz w:val="20"/>
                <w:szCs w:val="20"/>
                <w:color w:val="auto"/>
              </w:rPr>
            </w:pPr>
            <w:r>
              <w:rPr>
                <w:rFonts w:ascii="Arial" w:cs="Arial" w:eastAsia="Arial" w:hAnsi="Arial"/>
                <w:sz w:val="14"/>
                <w:szCs w:val="14"/>
                <w:color w:val="auto"/>
              </w:rPr>
              <w:t>2/16/20</w:t>
            </w:r>
          </w:p>
        </w:tc>
        <w:tc>
          <w:tcPr>
            <w:tcW w:w="1240" w:type="dxa"/>
            <w:vAlign w:val="bottom"/>
            <w:shd w:val="clear" w:color="auto" w:fill="F4F3F3"/>
          </w:tcPr>
          <w:p>
            <w:pPr>
              <w:jc w:val="right"/>
              <w:ind w:right="270"/>
              <w:spacing w:after="0"/>
              <w:rPr>
                <w:sz w:val="20"/>
                <w:szCs w:val="20"/>
                <w:color w:val="auto"/>
              </w:rPr>
            </w:pPr>
            <w:r>
              <w:rPr>
                <w:rFonts w:ascii="Arial" w:cs="Arial" w:eastAsia="Arial" w:hAnsi="Arial"/>
                <w:sz w:val="14"/>
                <w:szCs w:val="14"/>
                <w:color w:val="auto"/>
              </w:rPr>
              <w:t>10,135,679</w:t>
            </w:r>
          </w:p>
        </w:tc>
        <w:tc>
          <w:tcPr>
            <w:tcW w:w="820" w:type="dxa"/>
            <w:vAlign w:val="bottom"/>
            <w:shd w:val="clear" w:color="auto" w:fill="F4F3F3"/>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331"/>
              <w:spacing w:after="0"/>
              <w:rPr>
                <w:sz w:val="20"/>
                <w:szCs w:val="20"/>
                <w:color w:val="auto"/>
              </w:rPr>
            </w:pPr>
            <w:r>
              <w:rPr>
                <w:rFonts w:ascii="Arial" w:cs="Arial" w:eastAsia="Arial" w:hAnsi="Arial"/>
                <w:sz w:val="14"/>
                <w:szCs w:val="14"/>
                <w:color w:val="auto"/>
              </w:rPr>
              <w:t>—</w:t>
            </w:r>
          </w:p>
        </w:tc>
        <w:tc>
          <w:tcPr>
            <w:tcW w:w="1000" w:type="dxa"/>
            <w:vAlign w:val="bottom"/>
            <w:shd w:val="clear" w:color="auto" w:fill="F4F3F3"/>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440" w:type="dxa"/>
            <w:vAlign w:val="bottom"/>
            <w:shd w:val="clear" w:color="auto" w:fill="F4F3F3"/>
          </w:tcPr>
          <w:p>
            <w:pPr>
              <w:spacing w:after="0"/>
              <w:rPr>
                <w:sz w:val="14"/>
                <w:szCs w:val="14"/>
                <w:color w:val="auto"/>
              </w:rPr>
            </w:pPr>
          </w:p>
        </w:tc>
        <w:tc>
          <w:tcPr>
            <w:tcW w:w="910" w:type="dxa"/>
            <w:vAlign w:val="bottom"/>
            <w:gridSpan w:val="2"/>
            <w:shd w:val="clear" w:color="auto" w:fill="F4F3F3"/>
          </w:tcPr>
          <w:p>
            <w:pPr>
              <w:jc w:val="right"/>
              <w:ind w:right="120"/>
              <w:spacing w:after="0"/>
              <w:rPr>
                <w:sz w:val="20"/>
                <w:szCs w:val="20"/>
                <w:color w:val="auto"/>
              </w:rPr>
            </w:pPr>
            <w:r>
              <w:rPr>
                <w:rFonts w:ascii="Arial" w:cs="Arial" w:eastAsia="Arial" w:hAnsi="Arial"/>
                <w:sz w:val="14"/>
                <w:szCs w:val="14"/>
                <w:color w:val="auto"/>
              </w:rPr>
              <w:t>2/17/11</w:t>
            </w:r>
          </w:p>
        </w:tc>
        <w:tc>
          <w:tcPr>
            <w:tcW w:w="95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SARs</w:t>
            </w:r>
          </w:p>
        </w:tc>
        <w:tc>
          <w:tcPr>
            <w:tcW w:w="1060" w:type="dxa"/>
            <w:vAlign w:val="bottom"/>
            <w:gridSpan w:val="2"/>
            <w:shd w:val="clear" w:color="auto" w:fill="F4F3F3"/>
          </w:tcPr>
          <w:p>
            <w:pPr>
              <w:jc w:val="right"/>
              <w:ind w:right="331"/>
              <w:spacing w:after="0"/>
              <w:rPr>
                <w:sz w:val="20"/>
                <w:szCs w:val="20"/>
                <w:color w:val="auto"/>
              </w:rPr>
            </w:pPr>
            <w:r>
              <w:rPr>
                <w:rFonts w:ascii="Arial" w:cs="Arial" w:eastAsia="Arial" w:hAnsi="Arial"/>
                <w:sz w:val="14"/>
                <w:szCs w:val="14"/>
                <w:color w:val="auto"/>
              </w:rPr>
              <w:t>39,636</w:t>
            </w:r>
          </w:p>
        </w:tc>
        <w:tc>
          <w:tcPr>
            <w:tcW w:w="640" w:type="dxa"/>
            <w:vAlign w:val="bottom"/>
            <w:shd w:val="clear" w:color="auto" w:fill="F4F3F3"/>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F4F3F3"/>
          </w:tcPr>
          <w:p>
            <w:pPr>
              <w:jc w:val="right"/>
              <w:spacing w:after="0"/>
              <w:rPr>
                <w:sz w:val="20"/>
                <w:szCs w:val="20"/>
                <w:color w:val="auto"/>
              </w:rPr>
            </w:pPr>
            <w:r>
              <w:rPr>
                <w:rFonts w:ascii="Arial" w:cs="Arial" w:eastAsia="Arial" w:hAnsi="Arial"/>
                <w:sz w:val="14"/>
                <w:szCs w:val="14"/>
                <w:color w:val="auto"/>
              </w:rPr>
              <w:t>38.4942</w:t>
            </w:r>
          </w:p>
        </w:tc>
        <w:tc>
          <w:tcPr>
            <w:tcW w:w="1120" w:type="dxa"/>
            <w:vAlign w:val="bottom"/>
            <w:shd w:val="clear" w:color="auto" w:fill="F4F3F3"/>
          </w:tcPr>
          <w:p>
            <w:pPr>
              <w:jc w:val="right"/>
              <w:ind w:right="151"/>
              <w:spacing w:after="0"/>
              <w:rPr>
                <w:sz w:val="20"/>
                <w:szCs w:val="20"/>
                <w:color w:val="auto"/>
              </w:rPr>
            </w:pPr>
            <w:r>
              <w:rPr>
                <w:rFonts w:ascii="Arial" w:cs="Arial" w:eastAsia="Arial" w:hAnsi="Arial"/>
                <w:sz w:val="14"/>
                <w:szCs w:val="14"/>
                <w:color w:val="auto"/>
              </w:rPr>
              <w:t>2/17/21</w:t>
            </w:r>
          </w:p>
        </w:tc>
        <w:tc>
          <w:tcPr>
            <w:tcW w:w="1240" w:type="dxa"/>
            <w:vAlign w:val="bottom"/>
            <w:shd w:val="clear" w:color="auto" w:fill="F4F3F3"/>
          </w:tcPr>
          <w:p>
            <w:pPr>
              <w:jc w:val="right"/>
              <w:ind w:right="270"/>
              <w:spacing w:after="0"/>
              <w:rPr>
                <w:sz w:val="20"/>
                <w:szCs w:val="20"/>
                <w:color w:val="auto"/>
              </w:rPr>
            </w:pPr>
            <w:r>
              <w:rPr>
                <w:rFonts w:ascii="Arial" w:cs="Arial" w:eastAsia="Arial" w:hAnsi="Arial"/>
                <w:sz w:val="14"/>
                <w:szCs w:val="14"/>
                <w:color w:val="auto"/>
              </w:rPr>
              <w:t>3,854,038</w:t>
            </w:r>
          </w:p>
        </w:tc>
        <w:tc>
          <w:tcPr>
            <w:tcW w:w="820" w:type="dxa"/>
            <w:vAlign w:val="bottom"/>
            <w:shd w:val="clear" w:color="auto" w:fill="F4F3F3"/>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331"/>
              <w:spacing w:after="0"/>
              <w:rPr>
                <w:sz w:val="20"/>
                <w:szCs w:val="20"/>
                <w:color w:val="auto"/>
              </w:rPr>
            </w:pPr>
            <w:r>
              <w:rPr>
                <w:rFonts w:ascii="Arial" w:cs="Arial" w:eastAsia="Arial" w:hAnsi="Arial"/>
                <w:sz w:val="14"/>
                <w:szCs w:val="14"/>
                <w:color w:val="auto"/>
              </w:rPr>
              <w:t>—</w:t>
            </w:r>
          </w:p>
        </w:tc>
        <w:tc>
          <w:tcPr>
            <w:tcW w:w="1000" w:type="dxa"/>
            <w:vAlign w:val="bottom"/>
            <w:shd w:val="clear" w:color="auto" w:fill="F4F3F3"/>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440" w:type="dxa"/>
            <w:vAlign w:val="bottom"/>
            <w:shd w:val="clear" w:color="auto" w:fill="F4F3F3"/>
          </w:tcPr>
          <w:p>
            <w:pPr>
              <w:spacing w:after="0"/>
              <w:rPr>
                <w:sz w:val="14"/>
                <w:szCs w:val="14"/>
                <w:color w:val="auto"/>
              </w:rPr>
            </w:pPr>
          </w:p>
        </w:tc>
        <w:tc>
          <w:tcPr>
            <w:tcW w:w="910" w:type="dxa"/>
            <w:vAlign w:val="bottom"/>
            <w:gridSpan w:val="2"/>
            <w:shd w:val="clear" w:color="auto" w:fill="F4F3F3"/>
          </w:tcPr>
          <w:p>
            <w:pPr>
              <w:jc w:val="right"/>
              <w:ind w:right="120"/>
              <w:spacing w:after="0"/>
              <w:rPr>
                <w:sz w:val="20"/>
                <w:szCs w:val="20"/>
                <w:color w:val="auto"/>
              </w:rPr>
            </w:pPr>
            <w:r>
              <w:rPr>
                <w:rFonts w:ascii="Arial" w:cs="Arial" w:eastAsia="Arial" w:hAnsi="Arial"/>
                <w:sz w:val="14"/>
                <w:szCs w:val="14"/>
                <w:color w:val="auto"/>
              </w:rPr>
              <w:t>2/21/12</w:t>
            </w:r>
          </w:p>
        </w:tc>
        <w:tc>
          <w:tcPr>
            <w:tcW w:w="95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SARs</w:t>
            </w:r>
          </w:p>
        </w:tc>
        <w:tc>
          <w:tcPr>
            <w:tcW w:w="1060" w:type="dxa"/>
            <w:vAlign w:val="bottom"/>
            <w:gridSpan w:val="2"/>
            <w:shd w:val="clear" w:color="auto" w:fill="F4F3F3"/>
          </w:tcPr>
          <w:p>
            <w:pPr>
              <w:jc w:val="right"/>
              <w:ind w:right="331"/>
              <w:spacing w:after="0"/>
              <w:rPr>
                <w:sz w:val="20"/>
                <w:szCs w:val="20"/>
                <w:color w:val="auto"/>
              </w:rPr>
            </w:pPr>
            <w:r>
              <w:rPr>
                <w:rFonts w:ascii="Arial" w:cs="Arial" w:eastAsia="Arial" w:hAnsi="Arial"/>
                <w:sz w:val="14"/>
                <w:szCs w:val="14"/>
                <w:color w:val="auto"/>
              </w:rPr>
              <w:t>35,972</w:t>
            </w:r>
          </w:p>
        </w:tc>
        <w:tc>
          <w:tcPr>
            <w:tcW w:w="640" w:type="dxa"/>
            <w:vAlign w:val="bottom"/>
            <w:shd w:val="clear" w:color="auto" w:fill="F4F3F3"/>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F4F3F3"/>
          </w:tcPr>
          <w:p>
            <w:pPr>
              <w:jc w:val="right"/>
              <w:spacing w:after="0"/>
              <w:rPr>
                <w:sz w:val="20"/>
                <w:szCs w:val="20"/>
                <w:color w:val="auto"/>
              </w:rPr>
            </w:pPr>
            <w:r>
              <w:rPr>
                <w:rFonts w:ascii="Arial" w:cs="Arial" w:eastAsia="Arial" w:hAnsi="Arial"/>
                <w:sz w:val="14"/>
                <w:szCs w:val="14"/>
                <w:color w:val="auto"/>
              </w:rPr>
              <w:t>34.67</w:t>
            </w:r>
          </w:p>
        </w:tc>
        <w:tc>
          <w:tcPr>
            <w:tcW w:w="1120" w:type="dxa"/>
            <w:vAlign w:val="bottom"/>
            <w:shd w:val="clear" w:color="auto" w:fill="F4F3F3"/>
          </w:tcPr>
          <w:p>
            <w:pPr>
              <w:jc w:val="right"/>
              <w:ind w:right="151"/>
              <w:spacing w:after="0"/>
              <w:rPr>
                <w:sz w:val="20"/>
                <w:szCs w:val="20"/>
                <w:color w:val="auto"/>
              </w:rPr>
            </w:pPr>
            <w:r>
              <w:rPr>
                <w:rFonts w:ascii="Arial" w:cs="Arial" w:eastAsia="Arial" w:hAnsi="Arial"/>
                <w:sz w:val="14"/>
                <w:szCs w:val="14"/>
                <w:color w:val="auto"/>
              </w:rPr>
              <w:t>2/21/22</w:t>
            </w:r>
          </w:p>
        </w:tc>
        <w:tc>
          <w:tcPr>
            <w:tcW w:w="1240" w:type="dxa"/>
            <w:vAlign w:val="bottom"/>
            <w:shd w:val="clear" w:color="auto" w:fill="F4F3F3"/>
          </w:tcPr>
          <w:p>
            <w:pPr>
              <w:jc w:val="right"/>
              <w:ind w:right="270"/>
              <w:spacing w:after="0"/>
              <w:rPr>
                <w:sz w:val="20"/>
                <w:szCs w:val="20"/>
                <w:color w:val="auto"/>
              </w:rPr>
            </w:pPr>
            <w:r>
              <w:rPr>
                <w:rFonts w:ascii="Arial" w:cs="Arial" w:eastAsia="Arial" w:hAnsi="Arial"/>
                <w:sz w:val="14"/>
                <w:szCs w:val="14"/>
                <w:color w:val="auto"/>
              </w:rPr>
              <w:t>3,635,330</w:t>
            </w:r>
          </w:p>
        </w:tc>
        <w:tc>
          <w:tcPr>
            <w:tcW w:w="820" w:type="dxa"/>
            <w:vAlign w:val="bottom"/>
            <w:shd w:val="clear" w:color="auto" w:fill="F4F3F3"/>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331"/>
              <w:spacing w:after="0"/>
              <w:rPr>
                <w:sz w:val="20"/>
                <w:szCs w:val="20"/>
                <w:color w:val="auto"/>
              </w:rPr>
            </w:pPr>
            <w:r>
              <w:rPr>
                <w:rFonts w:ascii="Arial" w:cs="Arial" w:eastAsia="Arial" w:hAnsi="Arial"/>
                <w:sz w:val="14"/>
                <w:szCs w:val="14"/>
                <w:color w:val="auto"/>
              </w:rPr>
              <w:t>—</w:t>
            </w:r>
          </w:p>
        </w:tc>
        <w:tc>
          <w:tcPr>
            <w:tcW w:w="1000" w:type="dxa"/>
            <w:vAlign w:val="bottom"/>
            <w:shd w:val="clear" w:color="auto" w:fill="F4F3F3"/>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440" w:type="dxa"/>
            <w:vAlign w:val="bottom"/>
            <w:shd w:val="clear" w:color="auto" w:fill="F4F3F3"/>
          </w:tcPr>
          <w:p>
            <w:pPr>
              <w:spacing w:after="0"/>
              <w:rPr>
                <w:sz w:val="14"/>
                <w:szCs w:val="14"/>
                <w:color w:val="auto"/>
              </w:rPr>
            </w:pPr>
          </w:p>
        </w:tc>
        <w:tc>
          <w:tcPr>
            <w:tcW w:w="240" w:type="dxa"/>
            <w:vAlign w:val="bottom"/>
            <w:shd w:val="clear" w:color="auto" w:fill="F4F3F3"/>
          </w:tcPr>
          <w:p>
            <w:pPr>
              <w:spacing w:after="0"/>
              <w:rPr>
                <w:sz w:val="14"/>
                <w:szCs w:val="14"/>
                <w:color w:val="auto"/>
              </w:rPr>
            </w:pPr>
          </w:p>
        </w:tc>
        <w:tc>
          <w:tcPr>
            <w:tcW w:w="670" w:type="dxa"/>
            <w:vAlign w:val="bottom"/>
            <w:shd w:val="clear" w:color="auto" w:fill="F4F3F3"/>
          </w:tcPr>
          <w:p>
            <w:pPr>
              <w:jc w:val="right"/>
              <w:ind w:right="120"/>
              <w:spacing w:after="0"/>
              <w:rPr>
                <w:sz w:val="20"/>
                <w:szCs w:val="20"/>
                <w:color w:val="auto"/>
              </w:rPr>
            </w:pPr>
            <w:r>
              <w:rPr>
                <w:rFonts w:ascii="Arial" w:cs="Arial" w:eastAsia="Arial" w:hAnsi="Arial"/>
                <w:sz w:val="14"/>
                <w:szCs w:val="14"/>
                <w:color w:val="auto"/>
                <w:w w:val="98"/>
              </w:rPr>
              <w:t>2/22/13</w:t>
            </w:r>
          </w:p>
        </w:tc>
        <w:tc>
          <w:tcPr>
            <w:tcW w:w="95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SARs</w:t>
            </w:r>
          </w:p>
        </w:tc>
        <w:tc>
          <w:tcPr>
            <w:tcW w:w="1060" w:type="dxa"/>
            <w:vAlign w:val="bottom"/>
            <w:gridSpan w:val="2"/>
            <w:shd w:val="clear" w:color="auto" w:fill="F4F3F3"/>
          </w:tcPr>
          <w:p>
            <w:pPr>
              <w:jc w:val="right"/>
              <w:ind w:right="331"/>
              <w:spacing w:after="0"/>
              <w:rPr>
                <w:sz w:val="20"/>
                <w:szCs w:val="20"/>
                <w:color w:val="auto"/>
              </w:rPr>
            </w:pPr>
            <w:r>
              <w:rPr>
                <w:rFonts w:ascii="Arial" w:cs="Arial" w:eastAsia="Arial" w:hAnsi="Arial"/>
                <w:sz w:val="14"/>
                <w:szCs w:val="14"/>
                <w:color w:val="auto"/>
              </w:rPr>
              <w:t>66,796</w:t>
            </w:r>
          </w:p>
        </w:tc>
        <w:tc>
          <w:tcPr>
            <w:tcW w:w="640" w:type="dxa"/>
            <w:vAlign w:val="bottom"/>
            <w:shd w:val="clear" w:color="auto" w:fill="F4F3F3"/>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F4F3F3"/>
          </w:tcPr>
          <w:p>
            <w:pPr>
              <w:jc w:val="right"/>
              <w:spacing w:after="0"/>
              <w:rPr>
                <w:sz w:val="20"/>
                <w:szCs w:val="20"/>
                <w:color w:val="auto"/>
              </w:rPr>
            </w:pPr>
            <w:r>
              <w:rPr>
                <w:rFonts w:ascii="Arial" w:cs="Arial" w:eastAsia="Arial" w:hAnsi="Arial"/>
                <w:sz w:val="14"/>
                <w:szCs w:val="14"/>
                <w:color w:val="auto"/>
              </w:rPr>
              <w:t>39.27</w:t>
            </w:r>
          </w:p>
        </w:tc>
        <w:tc>
          <w:tcPr>
            <w:tcW w:w="1120" w:type="dxa"/>
            <w:vAlign w:val="bottom"/>
            <w:shd w:val="clear" w:color="auto" w:fill="F4F3F3"/>
          </w:tcPr>
          <w:p>
            <w:pPr>
              <w:jc w:val="right"/>
              <w:ind w:right="151"/>
              <w:spacing w:after="0"/>
              <w:rPr>
                <w:sz w:val="20"/>
                <w:szCs w:val="20"/>
                <w:color w:val="auto"/>
              </w:rPr>
            </w:pPr>
            <w:r>
              <w:rPr>
                <w:rFonts w:ascii="Arial" w:cs="Arial" w:eastAsia="Arial" w:hAnsi="Arial"/>
                <w:sz w:val="14"/>
                <w:szCs w:val="14"/>
                <w:color w:val="auto"/>
              </w:rPr>
              <w:t>2/22/23</w:t>
            </w:r>
          </w:p>
        </w:tc>
        <w:tc>
          <w:tcPr>
            <w:tcW w:w="1240" w:type="dxa"/>
            <w:vAlign w:val="bottom"/>
            <w:shd w:val="clear" w:color="auto" w:fill="F4F3F3"/>
          </w:tcPr>
          <w:p>
            <w:pPr>
              <w:jc w:val="right"/>
              <w:ind w:right="270"/>
              <w:spacing w:after="0"/>
              <w:rPr>
                <w:sz w:val="20"/>
                <w:szCs w:val="20"/>
                <w:color w:val="auto"/>
              </w:rPr>
            </w:pPr>
            <w:r>
              <w:rPr>
                <w:rFonts w:ascii="Arial" w:cs="Arial" w:eastAsia="Arial" w:hAnsi="Arial"/>
                <w:sz w:val="14"/>
                <w:szCs w:val="14"/>
                <w:color w:val="auto"/>
              </w:rPr>
              <w:t>6,443,142</w:t>
            </w:r>
          </w:p>
        </w:tc>
        <w:tc>
          <w:tcPr>
            <w:tcW w:w="820" w:type="dxa"/>
            <w:vAlign w:val="bottom"/>
            <w:shd w:val="clear" w:color="auto" w:fill="F4F3F3"/>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331"/>
              <w:spacing w:after="0"/>
              <w:rPr>
                <w:sz w:val="20"/>
                <w:szCs w:val="20"/>
                <w:color w:val="auto"/>
              </w:rPr>
            </w:pPr>
            <w:r>
              <w:rPr>
                <w:rFonts w:ascii="Arial" w:cs="Arial" w:eastAsia="Arial" w:hAnsi="Arial"/>
                <w:sz w:val="14"/>
                <w:szCs w:val="14"/>
                <w:color w:val="auto"/>
              </w:rPr>
              <w:t>—</w:t>
            </w:r>
          </w:p>
        </w:tc>
        <w:tc>
          <w:tcPr>
            <w:tcW w:w="1000" w:type="dxa"/>
            <w:vAlign w:val="bottom"/>
            <w:shd w:val="clear" w:color="auto" w:fill="F4F3F3"/>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440" w:type="dxa"/>
            <w:vAlign w:val="bottom"/>
            <w:shd w:val="clear" w:color="auto" w:fill="F4F3F3"/>
          </w:tcPr>
          <w:p>
            <w:pPr>
              <w:spacing w:after="0"/>
              <w:rPr>
                <w:sz w:val="14"/>
                <w:szCs w:val="14"/>
                <w:color w:val="auto"/>
              </w:rPr>
            </w:pPr>
          </w:p>
        </w:tc>
        <w:tc>
          <w:tcPr>
            <w:tcW w:w="240" w:type="dxa"/>
            <w:vAlign w:val="bottom"/>
            <w:shd w:val="clear" w:color="auto" w:fill="F4F3F3"/>
          </w:tcPr>
          <w:p>
            <w:pPr>
              <w:spacing w:after="0"/>
              <w:rPr>
                <w:sz w:val="14"/>
                <w:szCs w:val="14"/>
                <w:color w:val="auto"/>
              </w:rPr>
            </w:pPr>
          </w:p>
        </w:tc>
        <w:tc>
          <w:tcPr>
            <w:tcW w:w="670" w:type="dxa"/>
            <w:vAlign w:val="bottom"/>
            <w:shd w:val="clear" w:color="auto" w:fill="F4F3F3"/>
          </w:tcPr>
          <w:p>
            <w:pPr>
              <w:jc w:val="right"/>
              <w:ind w:right="120"/>
              <w:spacing w:after="0"/>
              <w:rPr>
                <w:sz w:val="20"/>
                <w:szCs w:val="20"/>
                <w:color w:val="auto"/>
              </w:rPr>
            </w:pPr>
            <w:r>
              <w:rPr>
                <w:rFonts w:ascii="Arial" w:cs="Arial" w:eastAsia="Arial" w:hAnsi="Arial"/>
                <w:sz w:val="14"/>
                <w:szCs w:val="14"/>
                <w:color w:val="auto"/>
                <w:w w:val="98"/>
              </w:rPr>
              <w:t>2/24/14</w:t>
            </w:r>
          </w:p>
        </w:tc>
        <w:tc>
          <w:tcPr>
            <w:tcW w:w="95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SARs</w:t>
            </w:r>
          </w:p>
        </w:tc>
        <w:tc>
          <w:tcPr>
            <w:tcW w:w="1060" w:type="dxa"/>
            <w:vAlign w:val="bottom"/>
            <w:gridSpan w:val="2"/>
            <w:shd w:val="clear" w:color="auto" w:fill="F4F3F3"/>
          </w:tcPr>
          <w:p>
            <w:pPr>
              <w:jc w:val="right"/>
              <w:ind w:right="331"/>
              <w:spacing w:after="0"/>
              <w:rPr>
                <w:sz w:val="20"/>
                <w:szCs w:val="20"/>
                <w:color w:val="auto"/>
              </w:rPr>
            </w:pPr>
            <w:r>
              <w:rPr>
                <w:rFonts w:ascii="Arial" w:cs="Arial" w:eastAsia="Arial" w:hAnsi="Arial"/>
                <w:sz w:val="14"/>
                <w:szCs w:val="14"/>
                <w:color w:val="auto"/>
              </w:rPr>
              <w:t>43,914</w:t>
            </w:r>
          </w:p>
        </w:tc>
        <w:tc>
          <w:tcPr>
            <w:tcW w:w="640" w:type="dxa"/>
            <w:vAlign w:val="bottom"/>
            <w:shd w:val="clear" w:color="auto" w:fill="F4F3F3"/>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F4F3F3"/>
          </w:tcPr>
          <w:p>
            <w:pPr>
              <w:jc w:val="right"/>
              <w:spacing w:after="0"/>
              <w:rPr>
                <w:sz w:val="20"/>
                <w:szCs w:val="20"/>
                <w:color w:val="auto"/>
              </w:rPr>
            </w:pPr>
            <w:r>
              <w:rPr>
                <w:rFonts w:ascii="Arial" w:cs="Arial" w:eastAsia="Arial" w:hAnsi="Arial"/>
                <w:sz w:val="14"/>
                <w:szCs w:val="14"/>
                <w:color w:val="auto"/>
              </w:rPr>
              <w:t>53.25</w:t>
            </w:r>
          </w:p>
        </w:tc>
        <w:tc>
          <w:tcPr>
            <w:tcW w:w="1120" w:type="dxa"/>
            <w:vAlign w:val="bottom"/>
            <w:shd w:val="clear" w:color="auto" w:fill="F4F3F3"/>
          </w:tcPr>
          <w:p>
            <w:pPr>
              <w:jc w:val="right"/>
              <w:ind w:right="151"/>
              <w:spacing w:after="0"/>
              <w:rPr>
                <w:sz w:val="20"/>
                <w:szCs w:val="20"/>
                <w:color w:val="auto"/>
              </w:rPr>
            </w:pPr>
            <w:r>
              <w:rPr>
                <w:rFonts w:ascii="Arial" w:cs="Arial" w:eastAsia="Arial" w:hAnsi="Arial"/>
                <w:sz w:val="14"/>
                <w:szCs w:val="14"/>
                <w:color w:val="auto"/>
              </w:rPr>
              <w:t>2/24/24</w:t>
            </w:r>
          </w:p>
        </w:tc>
        <w:tc>
          <w:tcPr>
            <w:tcW w:w="1240" w:type="dxa"/>
            <w:vAlign w:val="bottom"/>
            <w:shd w:val="clear" w:color="auto" w:fill="F4F3F3"/>
          </w:tcPr>
          <w:p>
            <w:pPr>
              <w:jc w:val="right"/>
              <w:ind w:right="270"/>
              <w:spacing w:after="0"/>
              <w:rPr>
                <w:sz w:val="20"/>
                <w:szCs w:val="20"/>
                <w:color w:val="auto"/>
              </w:rPr>
            </w:pPr>
            <w:r>
              <w:rPr>
                <w:rFonts w:ascii="Arial" w:cs="Arial" w:eastAsia="Arial" w:hAnsi="Arial"/>
                <w:sz w:val="14"/>
                <w:szCs w:val="14"/>
                <w:color w:val="auto"/>
              </w:rPr>
              <w:t>3,622,027</w:t>
            </w:r>
          </w:p>
        </w:tc>
        <w:tc>
          <w:tcPr>
            <w:tcW w:w="820" w:type="dxa"/>
            <w:vAlign w:val="bottom"/>
            <w:shd w:val="clear" w:color="auto" w:fill="F4F3F3"/>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331"/>
              <w:spacing w:after="0"/>
              <w:rPr>
                <w:sz w:val="20"/>
                <w:szCs w:val="20"/>
                <w:color w:val="auto"/>
              </w:rPr>
            </w:pPr>
            <w:r>
              <w:rPr>
                <w:rFonts w:ascii="Arial" w:cs="Arial" w:eastAsia="Arial" w:hAnsi="Arial"/>
                <w:sz w:val="14"/>
                <w:szCs w:val="14"/>
                <w:color w:val="auto"/>
              </w:rPr>
              <w:t>—</w:t>
            </w:r>
          </w:p>
        </w:tc>
        <w:tc>
          <w:tcPr>
            <w:tcW w:w="1000" w:type="dxa"/>
            <w:vAlign w:val="bottom"/>
            <w:shd w:val="clear" w:color="auto" w:fill="F4F3F3"/>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440" w:type="dxa"/>
            <w:vAlign w:val="bottom"/>
            <w:shd w:val="clear" w:color="auto" w:fill="F4F3F3"/>
          </w:tcPr>
          <w:p>
            <w:pPr>
              <w:spacing w:after="0"/>
              <w:rPr>
                <w:sz w:val="14"/>
                <w:szCs w:val="14"/>
                <w:color w:val="auto"/>
              </w:rPr>
            </w:pPr>
          </w:p>
        </w:tc>
        <w:tc>
          <w:tcPr>
            <w:tcW w:w="240" w:type="dxa"/>
            <w:vAlign w:val="bottom"/>
            <w:shd w:val="clear" w:color="auto" w:fill="F4F3F3"/>
          </w:tcPr>
          <w:p>
            <w:pPr>
              <w:spacing w:after="0"/>
              <w:rPr>
                <w:sz w:val="14"/>
                <w:szCs w:val="14"/>
                <w:color w:val="auto"/>
              </w:rPr>
            </w:pPr>
          </w:p>
        </w:tc>
        <w:tc>
          <w:tcPr>
            <w:tcW w:w="670" w:type="dxa"/>
            <w:vAlign w:val="bottom"/>
            <w:shd w:val="clear" w:color="auto" w:fill="F4F3F3"/>
          </w:tcPr>
          <w:p>
            <w:pPr>
              <w:jc w:val="right"/>
              <w:ind w:right="120"/>
              <w:spacing w:after="0"/>
              <w:rPr>
                <w:sz w:val="20"/>
                <w:szCs w:val="20"/>
                <w:color w:val="auto"/>
              </w:rPr>
            </w:pPr>
            <w:r>
              <w:rPr>
                <w:rFonts w:ascii="Arial" w:cs="Arial" w:eastAsia="Arial" w:hAnsi="Arial"/>
                <w:sz w:val="14"/>
                <w:szCs w:val="14"/>
                <w:color w:val="auto"/>
                <w:w w:val="98"/>
              </w:rPr>
              <w:t>2/23/15</w:t>
            </w:r>
          </w:p>
        </w:tc>
        <w:tc>
          <w:tcPr>
            <w:tcW w:w="95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SARs</w:t>
            </w:r>
          </w:p>
        </w:tc>
        <w:tc>
          <w:tcPr>
            <w:tcW w:w="1060" w:type="dxa"/>
            <w:vAlign w:val="bottom"/>
            <w:gridSpan w:val="2"/>
            <w:shd w:val="clear" w:color="auto" w:fill="F4F3F3"/>
          </w:tcPr>
          <w:p>
            <w:pPr>
              <w:jc w:val="right"/>
              <w:ind w:right="331"/>
              <w:spacing w:after="0"/>
              <w:rPr>
                <w:sz w:val="20"/>
                <w:szCs w:val="20"/>
                <w:color w:val="auto"/>
              </w:rPr>
            </w:pPr>
            <w:r>
              <w:rPr>
                <w:rFonts w:ascii="Arial" w:cs="Arial" w:eastAsia="Arial" w:hAnsi="Arial"/>
                <w:sz w:val="14"/>
                <w:szCs w:val="14"/>
                <w:color w:val="auto"/>
              </w:rPr>
              <w:t>20,118</w:t>
            </w:r>
          </w:p>
        </w:tc>
        <w:tc>
          <w:tcPr>
            <w:tcW w:w="64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10,059(2)</w:t>
            </w:r>
          </w:p>
        </w:tc>
        <w:tc>
          <w:tcPr>
            <w:tcW w:w="760" w:type="dxa"/>
            <w:vAlign w:val="bottom"/>
            <w:shd w:val="clear" w:color="auto" w:fill="F4F3F3"/>
          </w:tcPr>
          <w:p>
            <w:pPr>
              <w:jc w:val="right"/>
              <w:spacing w:after="0"/>
              <w:rPr>
                <w:sz w:val="20"/>
                <w:szCs w:val="20"/>
                <w:color w:val="auto"/>
              </w:rPr>
            </w:pPr>
            <w:r>
              <w:rPr>
                <w:rFonts w:ascii="Arial" w:cs="Arial" w:eastAsia="Arial" w:hAnsi="Arial"/>
                <w:sz w:val="14"/>
                <w:szCs w:val="14"/>
                <w:color w:val="auto"/>
              </w:rPr>
              <w:t>82.67</w:t>
            </w:r>
          </w:p>
        </w:tc>
        <w:tc>
          <w:tcPr>
            <w:tcW w:w="1120" w:type="dxa"/>
            <w:vAlign w:val="bottom"/>
            <w:shd w:val="clear" w:color="auto" w:fill="F4F3F3"/>
          </w:tcPr>
          <w:p>
            <w:pPr>
              <w:jc w:val="right"/>
              <w:ind w:right="151"/>
              <w:spacing w:after="0"/>
              <w:rPr>
                <w:sz w:val="20"/>
                <w:szCs w:val="20"/>
                <w:color w:val="auto"/>
              </w:rPr>
            </w:pPr>
            <w:r>
              <w:rPr>
                <w:rFonts w:ascii="Arial" w:cs="Arial" w:eastAsia="Arial" w:hAnsi="Arial"/>
                <w:sz w:val="14"/>
                <w:szCs w:val="14"/>
                <w:color w:val="auto"/>
              </w:rPr>
              <w:t>2/23/25</w:t>
            </w:r>
          </w:p>
        </w:tc>
        <w:tc>
          <w:tcPr>
            <w:tcW w:w="1240" w:type="dxa"/>
            <w:vAlign w:val="bottom"/>
            <w:shd w:val="clear" w:color="auto" w:fill="F4F3F3"/>
          </w:tcPr>
          <w:p>
            <w:pPr>
              <w:jc w:val="right"/>
              <w:ind w:right="270"/>
              <w:spacing w:after="0"/>
              <w:rPr>
                <w:sz w:val="20"/>
                <w:szCs w:val="20"/>
                <w:color w:val="auto"/>
              </w:rPr>
            </w:pPr>
            <w:r>
              <w:rPr>
                <w:rFonts w:ascii="Arial" w:cs="Arial" w:eastAsia="Arial" w:hAnsi="Arial"/>
                <w:sz w:val="14"/>
                <w:szCs w:val="14"/>
                <w:color w:val="auto"/>
              </w:rPr>
              <w:t>1,067,461</w:t>
            </w:r>
          </w:p>
        </w:tc>
        <w:tc>
          <w:tcPr>
            <w:tcW w:w="820" w:type="dxa"/>
            <w:vAlign w:val="bottom"/>
            <w:shd w:val="clear" w:color="auto" w:fill="F4F3F3"/>
          </w:tcPr>
          <w:p>
            <w:pPr>
              <w:jc w:val="right"/>
              <w:ind w:right="48"/>
              <w:spacing w:after="0"/>
              <w:rPr>
                <w:sz w:val="20"/>
                <w:szCs w:val="20"/>
                <w:color w:val="auto"/>
              </w:rPr>
            </w:pPr>
            <w:r>
              <w:rPr>
                <w:rFonts w:ascii="Arial" w:cs="Arial" w:eastAsia="Arial" w:hAnsi="Arial"/>
                <w:sz w:val="14"/>
                <w:szCs w:val="14"/>
                <w:color w:val="auto"/>
              </w:rPr>
              <w:t>533,731</w:t>
            </w:r>
          </w:p>
        </w:tc>
        <w:tc>
          <w:tcPr>
            <w:tcW w:w="1060" w:type="dxa"/>
            <w:vAlign w:val="bottom"/>
            <w:shd w:val="clear" w:color="auto" w:fill="F4F3F3"/>
          </w:tcPr>
          <w:p>
            <w:pPr>
              <w:jc w:val="right"/>
              <w:ind w:right="331"/>
              <w:spacing w:after="0"/>
              <w:rPr>
                <w:sz w:val="20"/>
                <w:szCs w:val="20"/>
                <w:color w:val="auto"/>
              </w:rPr>
            </w:pPr>
            <w:r>
              <w:rPr>
                <w:rFonts w:ascii="Arial" w:cs="Arial" w:eastAsia="Arial" w:hAnsi="Arial"/>
                <w:sz w:val="14"/>
                <w:szCs w:val="14"/>
                <w:color w:val="auto"/>
              </w:rPr>
              <w:t>—</w:t>
            </w:r>
          </w:p>
        </w:tc>
        <w:tc>
          <w:tcPr>
            <w:tcW w:w="1000" w:type="dxa"/>
            <w:vAlign w:val="bottom"/>
            <w:shd w:val="clear" w:color="auto" w:fill="F4F3F3"/>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440" w:type="dxa"/>
            <w:vAlign w:val="bottom"/>
            <w:shd w:val="clear" w:color="auto" w:fill="F4F3F3"/>
          </w:tcPr>
          <w:p>
            <w:pPr>
              <w:spacing w:after="0"/>
              <w:rPr>
                <w:sz w:val="14"/>
                <w:szCs w:val="14"/>
                <w:color w:val="auto"/>
              </w:rPr>
            </w:pPr>
          </w:p>
        </w:tc>
        <w:tc>
          <w:tcPr>
            <w:tcW w:w="240" w:type="dxa"/>
            <w:vAlign w:val="bottom"/>
            <w:shd w:val="clear" w:color="auto" w:fill="F4F3F3"/>
          </w:tcPr>
          <w:p>
            <w:pPr>
              <w:spacing w:after="0"/>
              <w:rPr>
                <w:sz w:val="14"/>
                <w:szCs w:val="14"/>
                <w:color w:val="auto"/>
              </w:rPr>
            </w:pPr>
          </w:p>
        </w:tc>
        <w:tc>
          <w:tcPr>
            <w:tcW w:w="670" w:type="dxa"/>
            <w:vAlign w:val="bottom"/>
            <w:shd w:val="clear" w:color="auto" w:fill="F4F3F3"/>
          </w:tcPr>
          <w:p>
            <w:pPr>
              <w:jc w:val="right"/>
              <w:ind w:right="120"/>
              <w:spacing w:after="0"/>
              <w:rPr>
                <w:sz w:val="20"/>
                <w:szCs w:val="20"/>
                <w:color w:val="auto"/>
              </w:rPr>
            </w:pPr>
            <w:r>
              <w:rPr>
                <w:rFonts w:ascii="Arial" w:cs="Arial" w:eastAsia="Arial" w:hAnsi="Arial"/>
                <w:sz w:val="14"/>
                <w:szCs w:val="14"/>
                <w:color w:val="auto"/>
                <w:w w:val="98"/>
              </w:rPr>
              <w:t>2/22/16</w:t>
            </w:r>
          </w:p>
        </w:tc>
        <w:tc>
          <w:tcPr>
            <w:tcW w:w="95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SARs</w:t>
            </w:r>
          </w:p>
        </w:tc>
        <w:tc>
          <w:tcPr>
            <w:tcW w:w="1060" w:type="dxa"/>
            <w:vAlign w:val="bottom"/>
            <w:gridSpan w:val="2"/>
            <w:shd w:val="clear" w:color="auto" w:fill="F4F3F3"/>
          </w:tcPr>
          <w:p>
            <w:pPr>
              <w:jc w:val="right"/>
              <w:ind w:right="331"/>
              <w:spacing w:after="0"/>
              <w:rPr>
                <w:sz w:val="20"/>
                <w:szCs w:val="20"/>
                <w:color w:val="auto"/>
              </w:rPr>
            </w:pPr>
            <w:r>
              <w:rPr>
                <w:rFonts w:ascii="Arial" w:cs="Arial" w:eastAsia="Arial" w:hAnsi="Arial"/>
                <w:sz w:val="14"/>
                <w:szCs w:val="14"/>
                <w:color w:val="auto"/>
              </w:rPr>
              <w:t>12,713</w:t>
            </w:r>
          </w:p>
        </w:tc>
        <w:tc>
          <w:tcPr>
            <w:tcW w:w="64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25,426(2)</w:t>
            </w:r>
          </w:p>
        </w:tc>
        <w:tc>
          <w:tcPr>
            <w:tcW w:w="760" w:type="dxa"/>
            <w:vAlign w:val="bottom"/>
            <w:shd w:val="clear" w:color="auto" w:fill="F4F3F3"/>
          </w:tcPr>
          <w:p>
            <w:pPr>
              <w:jc w:val="right"/>
              <w:spacing w:after="0"/>
              <w:rPr>
                <w:sz w:val="20"/>
                <w:szCs w:val="20"/>
                <w:color w:val="auto"/>
              </w:rPr>
            </w:pPr>
            <w:r>
              <w:rPr>
                <w:rFonts w:ascii="Arial" w:cs="Arial" w:eastAsia="Arial" w:hAnsi="Arial"/>
                <w:sz w:val="14"/>
                <w:szCs w:val="14"/>
                <w:color w:val="auto"/>
              </w:rPr>
              <w:t>66.86</w:t>
            </w:r>
          </w:p>
        </w:tc>
        <w:tc>
          <w:tcPr>
            <w:tcW w:w="1120" w:type="dxa"/>
            <w:vAlign w:val="bottom"/>
            <w:shd w:val="clear" w:color="auto" w:fill="F4F3F3"/>
          </w:tcPr>
          <w:p>
            <w:pPr>
              <w:jc w:val="right"/>
              <w:ind w:right="151"/>
              <w:spacing w:after="0"/>
              <w:rPr>
                <w:sz w:val="20"/>
                <w:szCs w:val="20"/>
                <w:color w:val="auto"/>
              </w:rPr>
            </w:pPr>
            <w:r>
              <w:rPr>
                <w:rFonts w:ascii="Arial" w:cs="Arial" w:eastAsia="Arial" w:hAnsi="Arial"/>
                <w:sz w:val="14"/>
                <w:szCs w:val="14"/>
                <w:color w:val="auto"/>
              </w:rPr>
              <w:t>2/22/26</w:t>
            </w:r>
          </w:p>
        </w:tc>
        <w:tc>
          <w:tcPr>
            <w:tcW w:w="1240" w:type="dxa"/>
            <w:vAlign w:val="bottom"/>
            <w:shd w:val="clear" w:color="auto" w:fill="F4F3F3"/>
          </w:tcPr>
          <w:p>
            <w:pPr>
              <w:jc w:val="right"/>
              <w:ind w:right="270"/>
              <w:spacing w:after="0"/>
              <w:rPr>
                <w:sz w:val="20"/>
                <w:szCs w:val="20"/>
                <w:color w:val="auto"/>
              </w:rPr>
            </w:pPr>
            <w:r>
              <w:rPr>
                <w:rFonts w:ascii="Arial" w:cs="Arial" w:eastAsia="Arial" w:hAnsi="Arial"/>
                <w:sz w:val="14"/>
                <w:szCs w:val="14"/>
                <w:color w:val="auto"/>
              </w:rPr>
              <w:t>875,544</w:t>
            </w:r>
          </w:p>
        </w:tc>
        <w:tc>
          <w:tcPr>
            <w:tcW w:w="820" w:type="dxa"/>
            <w:vAlign w:val="bottom"/>
            <w:shd w:val="clear" w:color="auto" w:fill="F4F3F3"/>
          </w:tcPr>
          <w:p>
            <w:pPr>
              <w:jc w:val="right"/>
              <w:ind w:right="48"/>
              <w:spacing w:after="0"/>
              <w:rPr>
                <w:sz w:val="20"/>
                <w:szCs w:val="20"/>
                <w:color w:val="auto"/>
              </w:rPr>
            </w:pPr>
            <w:r>
              <w:rPr>
                <w:rFonts w:ascii="Arial" w:cs="Arial" w:eastAsia="Arial" w:hAnsi="Arial"/>
                <w:sz w:val="14"/>
                <w:szCs w:val="14"/>
                <w:color w:val="auto"/>
              </w:rPr>
              <w:t>1,751,089</w:t>
            </w:r>
          </w:p>
        </w:tc>
        <w:tc>
          <w:tcPr>
            <w:tcW w:w="1060" w:type="dxa"/>
            <w:vAlign w:val="bottom"/>
            <w:shd w:val="clear" w:color="auto" w:fill="F4F3F3"/>
          </w:tcPr>
          <w:p>
            <w:pPr>
              <w:jc w:val="right"/>
              <w:ind w:right="331"/>
              <w:spacing w:after="0"/>
              <w:rPr>
                <w:sz w:val="20"/>
                <w:szCs w:val="20"/>
                <w:color w:val="auto"/>
              </w:rPr>
            </w:pPr>
            <w:r>
              <w:rPr>
                <w:rFonts w:ascii="Arial" w:cs="Arial" w:eastAsia="Arial" w:hAnsi="Arial"/>
                <w:sz w:val="14"/>
                <w:szCs w:val="14"/>
                <w:color w:val="auto"/>
              </w:rPr>
              <w:t>—</w:t>
            </w:r>
          </w:p>
        </w:tc>
        <w:tc>
          <w:tcPr>
            <w:tcW w:w="1000" w:type="dxa"/>
            <w:vAlign w:val="bottom"/>
            <w:shd w:val="clear" w:color="auto" w:fill="F4F3F3"/>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440" w:type="dxa"/>
            <w:vAlign w:val="bottom"/>
            <w:shd w:val="clear" w:color="auto" w:fill="F4F3F3"/>
          </w:tcPr>
          <w:p>
            <w:pPr>
              <w:spacing w:after="0"/>
              <w:rPr>
                <w:sz w:val="14"/>
                <w:szCs w:val="14"/>
                <w:color w:val="auto"/>
              </w:rPr>
            </w:pPr>
          </w:p>
        </w:tc>
        <w:tc>
          <w:tcPr>
            <w:tcW w:w="240" w:type="dxa"/>
            <w:vAlign w:val="bottom"/>
            <w:shd w:val="clear" w:color="auto" w:fill="F4F3F3"/>
          </w:tcPr>
          <w:p>
            <w:pPr>
              <w:spacing w:after="0"/>
              <w:rPr>
                <w:sz w:val="14"/>
                <w:szCs w:val="14"/>
                <w:color w:val="auto"/>
              </w:rPr>
            </w:pPr>
          </w:p>
        </w:tc>
        <w:tc>
          <w:tcPr>
            <w:tcW w:w="670" w:type="dxa"/>
            <w:vAlign w:val="bottom"/>
            <w:shd w:val="clear" w:color="auto" w:fill="F4F3F3"/>
          </w:tcPr>
          <w:p>
            <w:pPr>
              <w:jc w:val="right"/>
              <w:ind w:right="120"/>
              <w:spacing w:after="0"/>
              <w:rPr>
                <w:sz w:val="20"/>
                <w:szCs w:val="20"/>
                <w:color w:val="auto"/>
              </w:rPr>
            </w:pPr>
            <w:r>
              <w:rPr>
                <w:rFonts w:ascii="Arial" w:cs="Arial" w:eastAsia="Arial" w:hAnsi="Arial"/>
                <w:sz w:val="14"/>
                <w:szCs w:val="14"/>
                <w:color w:val="auto"/>
                <w:w w:val="98"/>
              </w:rPr>
              <w:t>2/21/17</w:t>
            </w:r>
          </w:p>
        </w:tc>
        <w:tc>
          <w:tcPr>
            <w:tcW w:w="95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SARs</w:t>
            </w:r>
          </w:p>
        </w:tc>
        <w:tc>
          <w:tcPr>
            <w:tcW w:w="220" w:type="dxa"/>
            <w:vAlign w:val="bottom"/>
            <w:shd w:val="clear" w:color="auto" w:fill="F4F3F3"/>
          </w:tcPr>
          <w:p>
            <w:pPr>
              <w:spacing w:after="0"/>
              <w:rPr>
                <w:sz w:val="14"/>
                <w:szCs w:val="14"/>
                <w:color w:val="auto"/>
              </w:rPr>
            </w:pPr>
          </w:p>
        </w:tc>
        <w:tc>
          <w:tcPr>
            <w:tcW w:w="840" w:type="dxa"/>
            <w:vAlign w:val="bottom"/>
            <w:shd w:val="clear" w:color="auto" w:fill="F4F3F3"/>
          </w:tcPr>
          <w:p>
            <w:pPr>
              <w:jc w:val="right"/>
              <w:ind w:right="391"/>
              <w:spacing w:after="0"/>
              <w:rPr>
                <w:sz w:val="20"/>
                <w:szCs w:val="20"/>
                <w:color w:val="auto"/>
              </w:rPr>
            </w:pPr>
            <w:r>
              <w:rPr>
                <w:rFonts w:ascii="Arial" w:cs="Arial" w:eastAsia="Arial" w:hAnsi="Arial"/>
                <w:sz w:val="14"/>
                <w:szCs w:val="14"/>
                <w:color w:val="auto"/>
              </w:rPr>
              <w:t>—</w:t>
            </w:r>
          </w:p>
        </w:tc>
        <w:tc>
          <w:tcPr>
            <w:tcW w:w="64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28,341(2)</w:t>
            </w:r>
          </w:p>
        </w:tc>
        <w:tc>
          <w:tcPr>
            <w:tcW w:w="760" w:type="dxa"/>
            <w:vAlign w:val="bottom"/>
            <w:shd w:val="clear" w:color="auto" w:fill="F4F3F3"/>
          </w:tcPr>
          <w:p>
            <w:pPr>
              <w:jc w:val="right"/>
              <w:spacing w:after="0"/>
              <w:rPr>
                <w:sz w:val="20"/>
                <w:szCs w:val="20"/>
                <w:color w:val="auto"/>
              </w:rPr>
            </w:pPr>
            <w:r>
              <w:rPr>
                <w:rFonts w:ascii="Arial" w:cs="Arial" w:eastAsia="Arial" w:hAnsi="Arial"/>
                <w:sz w:val="14"/>
                <w:szCs w:val="14"/>
                <w:color w:val="auto"/>
              </w:rPr>
              <w:t>88.31</w:t>
            </w:r>
          </w:p>
        </w:tc>
        <w:tc>
          <w:tcPr>
            <w:tcW w:w="1120" w:type="dxa"/>
            <w:vAlign w:val="bottom"/>
            <w:shd w:val="clear" w:color="auto" w:fill="F4F3F3"/>
          </w:tcPr>
          <w:p>
            <w:pPr>
              <w:jc w:val="right"/>
              <w:ind w:right="151"/>
              <w:spacing w:after="0"/>
              <w:rPr>
                <w:sz w:val="20"/>
                <w:szCs w:val="20"/>
                <w:color w:val="auto"/>
              </w:rPr>
            </w:pPr>
            <w:r>
              <w:rPr>
                <w:rFonts w:ascii="Arial" w:cs="Arial" w:eastAsia="Arial" w:hAnsi="Arial"/>
                <w:sz w:val="14"/>
                <w:szCs w:val="14"/>
                <w:color w:val="auto"/>
              </w:rPr>
              <w:t>2/21/27</w:t>
            </w:r>
          </w:p>
        </w:tc>
        <w:tc>
          <w:tcPr>
            <w:tcW w:w="1240" w:type="dxa"/>
            <w:vAlign w:val="bottom"/>
            <w:shd w:val="clear" w:color="auto" w:fill="F4F3F3"/>
          </w:tcPr>
          <w:p>
            <w:pPr>
              <w:jc w:val="right"/>
              <w:ind w:right="350"/>
              <w:spacing w:after="0"/>
              <w:rPr>
                <w:sz w:val="20"/>
                <w:szCs w:val="20"/>
                <w:color w:val="auto"/>
              </w:rPr>
            </w:pPr>
            <w:r>
              <w:rPr>
                <w:rFonts w:ascii="Arial" w:cs="Arial" w:eastAsia="Arial" w:hAnsi="Arial"/>
                <w:sz w:val="14"/>
                <w:szCs w:val="14"/>
                <w:color w:val="auto"/>
              </w:rPr>
              <w:t>—</w:t>
            </w:r>
          </w:p>
        </w:tc>
        <w:tc>
          <w:tcPr>
            <w:tcW w:w="820" w:type="dxa"/>
            <w:vAlign w:val="bottom"/>
            <w:shd w:val="clear" w:color="auto" w:fill="F4F3F3"/>
          </w:tcPr>
          <w:p>
            <w:pPr>
              <w:jc w:val="right"/>
              <w:ind w:right="48"/>
              <w:spacing w:after="0"/>
              <w:rPr>
                <w:sz w:val="20"/>
                <w:szCs w:val="20"/>
                <w:color w:val="auto"/>
              </w:rPr>
            </w:pPr>
            <w:r>
              <w:rPr>
                <w:rFonts w:ascii="Arial" w:cs="Arial" w:eastAsia="Arial" w:hAnsi="Arial"/>
                <w:sz w:val="14"/>
                <w:szCs w:val="14"/>
                <w:color w:val="auto"/>
              </w:rPr>
              <w:t>1,343,930</w:t>
            </w:r>
          </w:p>
        </w:tc>
        <w:tc>
          <w:tcPr>
            <w:tcW w:w="1060" w:type="dxa"/>
            <w:vAlign w:val="bottom"/>
            <w:shd w:val="clear" w:color="auto" w:fill="F4F3F3"/>
          </w:tcPr>
          <w:p>
            <w:pPr>
              <w:jc w:val="right"/>
              <w:ind w:right="331"/>
              <w:spacing w:after="0"/>
              <w:rPr>
                <w:sz w:val="20"/>
                <w:szCs w:val="20"/>
                <w:color w:val="auto"/>
              </w:rPr>
            </w:pPr>
            <w:r>
              <w:rPr>
                <w:rFonts w:ascii="Arial" w:cs="Arial" w:eastAsia="Arial" w:hAnsi="Arial"/>
                <w:sz w:val="14"/>
                <w:szCs w:val="14"/>
                <w:color w:val="auto"/>
              </w:rPr>
              <w:t>—</w:t>
            </w:r>
          </w:p>
        </w:tc>
        <w:tc>
          <w:tcPr>
            <w:tcW w:w="1000" w:type="dxa"/>
            <w:vAlign w:val="bottom"/>
            <w:shd w:val="clear" w:color="auto" w:fill="F4F3F3"/>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440" w:type="dxa"/>
            <w:vAlign w:val="bottom"/>
            <w:shd w:val="clear" w:color="auto" w:fill="F4F3F3"/>
          </w:tcPr>
          <w:p>
            <w:pPr>
              <w:spacing w:after="0"/>
              <w:rPr>
                <w:sz w:val="14"/>
                <w:szCs w:val="14"/>
                <w:color w:val="auto"/>
              </w:rPr>
            </w:pPr>
          </w:p>
        </w:tc>
        <w:tc>
          <w:tcPr>
            <w:tcW w:w="240" w:type="dxa"/>
            <w:vAlign w:val="bottom"/>
            <w:shd w:val="clear" w:color="auto" w:fill="F4F3F3"/>
          </w:tcPr>
          <w:p>
            <w:pPr>
              <w:spacing w:after="0"/>
              <w:rPr>
                <w:sz w:val="14"/>
                <w:szCs w:val="14"/>
                <w:color w:val="auto"/>
              </w:rPr>
            </w:pPr>
          </w:p>
        </w:tc>
        <w:tc>
          <w:tcPr>
            <w:tcW w:w="670" w:type="dxa"/>
            <w:vAlign w:val="bottom"/>
            <w:shd w:val="clear" w:color="auto" w:fill="F4F3F3"/>
          </w:tcPr>
          <w:p>
            <w:pPr>
              <w:spacing w:after="0"/>
              <w:rPr>
                <w:sz w:val="14"/>
                <w:szCs w:val="14"/>
                <w:color w:val="auto"/>
              </w:rPr>
            </w:pPr>
          </w:p>
        </w:tc>
        <w:tc>
          <w:tcPr>
            <w:tcW w:w="95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RSUs</w:t>
            </w:r>
          </w:p>
        </w:tc>
        <w:tc>
          <w:tcPr>
            <w:tcW w:w="220" w:type="dxa"/>
            <w:vAlign w:val="bottom"/>
            <w:shd w:val="clear" w:color="auto" w:fill="F4F3F3"/>
          </w:tcPr>
          <w:p>
            <w:pPr>
              <w:spacing w:after="0"/>
              <w:rPr>
                <w:sz w:val="14"/>
                <w:szCs w:val="14"/>
                <w:color w:val="auto"/>
              </w:rPr>
            </w:pPr>
          </w:p>
        </w:tc>
        <w:tc>
          <w:tcPr>
            <w:tcW w:w="840" w:type="dxa"/>
            <w:vAlign w:val="bottom"/>
            <w:shd w:val="clear" w:color="auto" w:fill="F4F3F3"/>
          </w:tcPr>
          <w:p>
            <w:pPr>
              <w:jc w:val="right"/>
              <w:ind w:right="391"/>
              <w:spacing w:after="0"/>
              <w:rPr>
                <w:sz w:val="20"/>
                <w:szCs w:val="20"/>
                <w:color w:val="auto"/>
              </w:rPr>
            </w:pPr>
            <w:r>
              <w:rPr>
                <w:rFonts w:ascii="Arial" w:cs="Arial" w:eastAsia="Arial" w:hAnsi="Arial"/>
                <w:sz w:val="14"/>
                <w:szCs w:val="14"/>
                <w:color w:val="auto"/>
              </w:rPr>
              <w:t>—</w:t>
            </w:r>
          </w:p>
        </w:tc>
        <w:tc>
          <w:tcPr>
            <w:tcW w:w="640" w:type="dxa"/>
            <w:vAlign w:val="bottom"/>
            <w:shd w:val="clear" w:color="auto" w:fill="F4F3F3"/>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F4F3F3"/>
          </w:tcPr>
          <w:p>
            <w:pPr>
              <w:jc w:val="right"/>
              <w:ind w:right="10"/>
              <w:spacing w:after="0"/>
              <w:rPr>
                <w:sz w:val="20"/>
                <w:szCs w:val="20"/>
                <w:color w:val="auto"/>
              </w:rPr>
            </w:pPr>
            <w:r>
              <w:rPr>
                <w:rFonts w:ascii="Arial" w:cs="Arial" w:eastAsia="Arial" w:hAnsi="Arial"/>
                <w:sz w:val="14"/>
                <w:szCs w:val="14"/>
                <w:color w:val="auto"/>
              </w:rPr>
              <w:t>—</w:t>
            </w:r>
          </w:p>
        </w:tc>
        <w:tc>
          <w:tcPr>
            <w:tcW w:w="1120" w:type="dxa"/>
            <w:vAlign w:val="bottom"/>
            <w:shd w:val="clear" w:color="auto" w:fill="F4F3F3"/>
          </w:tcPr>
          <w:p>
            <w:pPr>
              <w:spacing w:after="0"/>
              <w:rPr>
                <w:sz w:val="14"/>
                <w:szCs w:val="14"/>
                <w:color w:val="auto"/>
              </w:rPr>
            </w:pPr>
          </w:p>
        </w:tc>
        <w:tc>
          <w:tcPr>
            <w:tcW w:w="1240" w:type="dxa"/>
            <w:vAlign w:val="bottom"/>
            <w:shd w:val="clear" w:color="auto" w:fill="F4F3F3"/>
          </w:tcPr>
          <w:p>
            <w:pPr>
              <w:jc w:val="right"/>
              <w:ind w:right="350"/>
              <w:spacing w:after="0"/>
              <w:rPr>
                <w:sz w:val="20"/>
                <w:szCs w:val="20"/>
                <w:color w:val="auto"/>
              </w:rPr>
            </w:pPr>
            <w:r>
              <w:rPr>
                <w:rFonts w:ascii="Arial" w:cs="Arial" w:eastAsia="Arial" w:hAnsi="Arial"/>
                <w:sz w:val="14"/>
                <w:szCs w:val="14"/>
                <w:color w:val="auto"/>
              </w:rPr>
              <w:t>—</w:t>
            </w:r>
          </w:p>
        </w:tc>
        <w:tc>
          <w:tcPr>
            <w:tcW w:w="820" w:type="dxa"/>
            <w:vAlign w:val="bottom"/>
            <w:shd w:val="clear" w:color="auto" w:fill="F4F3F3"/>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spacing w:after="0"/>
              <w:rPr>
                <w:sz w:val="20"/>
                <w:szCs w:val="20"/>
                <w:color w:val="auto"/>
              </w:rPr>
            </w:pPr>
            <w:r>
              <w:rPr>
                <w:rFonts w:ascii="Arial" w:cs="Arial" w:eastAsia="Arial" w:hAnsi="Arial"/>
                <w:sz w:val="14"/>
                <w:szCs w:val="14"/>
                <w:color w:val="auto"/>
              </w:rPr>
              <w:t>21,153(10)</w:t>
            </w:r>
          </w:p>
        </w:tc>
        <w:tc>
          <w:tcPr>
            <w:tcW w:w="100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2,871,097</w:t>
            </w:r>
          </w:p>
        </w:tc>
        <w:tc>
          <w:tcPr>
            <w:tcW w:w="0" w:type="dxa"/>
            <w:vAlign w:val="bottom"/>
          </w:tcPr>
          <w:p>
            <w:pPr>
              <w:spacing w:after="0"/>
              <w:rPr>
                <w:sz w:val="1"/>
                <w:szCs w:val="1"/>
                <w:color w:val="auto"/>
              </w:rPr>
            </w:pPr>
          </w:p>
        </w:tc>
      </w:tr>
      <w:tr>
        <w:trPr>
          <w:trHeight w:val="162"/>
        </w:trPr>
        <w:tc>
          <w:tcPr>
            <w:tcW w:w="1440" w:type="dxa"/>
            <w:vAlign w:val="bottom"/>
            <w:shd w:val="clear" w:color="auto" w:fill="F4F3F3"/>
          </w:tcPr>
          <w:p>
            <w:pPr>
              <w:spacing w:after="0"/>
              <w:rPr>
                <w:sz w:val="14"/>
                <w:szCs w:val="14"/>
                <w:color w:val="auto"/>
              </w:rPr>
            </w:pPr>
          </w:p>
        </w:tc>
        <w:tc>
          <w:tcPr>
            <w:tcW w:w="240" w:type="dxa"/>
            <w:vAlign w:val="bottom"/>
            <w:shd w:val="clear" w:color="auto" w:fill="F4F3F3"/>
          </w:tcPr>
          <w:p>
            <w:pPr>
              <w:spacing w:after="0"/>
              <w:rPr>
                <w:sz w:val="14"/>
                <w:szCs w:val="14"/>
                <w:color w:val="auto"/>
              </w:rPr>
            </w:pPr>
          </w:p>
        </w:tc>
        <w:tc>
          <w:tcPr>
            <w:tcW w:w="670" w:type="dxa"/>
            <w:vAlign w:val="bottom"/>
            <w:shd w:val="clear" w:color="auto" w:fill="F4F3F3"/>
          </w:tcPr>
          <w:p>
            <w:pPr>
              <w:spacing w:after="0"/>
              <w:rPr>
                <w:sz w:val="14"/>
                <w:szCs w:val="14"/>
                <w:color w:val="auto"/>
              </w:rPr>
            </w:pPr>
          </w:p>
        </w:tc>
        <w:tc>
          <w:tcPr>
            <w:tcW w:w="95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PSUs</w:t>
            </w:r>
          </w:p>
        </w:tc>
        <w:tc>
          <w:tcPr>
            <w:tcW w:w="220" w:type="dxa"/>
            <w:vAlign w:val="bottom"/>
            <w:shd w:val="clear" w:color="auto" w:fill="F4F3F3"/>
          </w:tcPr>
          <w:p>
            <w:pPr>
              <w:spacing w:after="0"/>
              <w:rPr>
                <w:sz w:val="14"/>
                <w:szCs w:val="14"/>
                <w:color w:val="auto"/>
              </w:rPr>
            </w:pPr>
          </w:p>
        </w:tc>
        <w:tc>
          <w:tcPr>
            <w:tcW w:w="840" w:type="dxa"/>
            <w:vAlign w:val="bottom"/>
            <w:shd w:val="clear" w:color="auto" w:fill="F4F3F3"/>
          </w:tcPr>
          <w:p>
            <w:pPr>
              <w:jc w:val="right"/>
              <w:ind w:right="391"/>
              <w:spacing w:after="0"/>
              <w:rPr>
                <w:sz w:val="20"/>
                <w:szCs w:val="20"/>
                <w:color w:val="auto"/>
              </w:rPr>
            </w:pPr>
            <w:r>
              <w:rPr>
                <w:rFonts w:ascii="Arial" w:cs="Arial" w:eastAsia="Arial" w:hAnsi="Arial"/>
                <w:sz w:val="14"/>
                <w:szCs w:val="14"/>
                <w:color w:val="auto"/>
              </w:rPr>
              <w:t>—</w:t>
            </w:r>
          </w:p>
        </w:tc>
        <w:tc>
          <w:tcPr>
            <w:tcW w:w="640" w:type="dxa"/>
            <w:vAlign w:val="bottom"/>
            <w:shd w:val="clear" w:color="auto" w:fill="F4F3F3"/>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F4F3F3"/>
          </w:tcPr>
          <w:p>
            <w:pPr>
              <w:jc w:val="right"/>
              <w:ind w:right="10"/>
              <w:spacing w:after="0"/>
              <w:rPr>
                <w:sz w:val="20"/>
                <w:szCs w:val="20"/>
                <w:color w:val="auto"/>
              </w:rPr>
            </w:pPr>
            <w:r>
              <w:rPr>
                <w:rFonts w:ascii="Arial" w:cs="Arial" w:eastAsia="Arial" w:hAnsi="Arial"/>
                <w:sz w:val="14"/>
                <w:szCs w:val="14"/>
                <w:color w:val="auto"/>
              </w:rPr>
              <w:t>—</w:t>
            </w:r>
          </w:p>
        </w:tc>
        <w:tc>
          <w:tcPr>
            <w:tcW w:w="1120" w:type="dxa"/>
            <w:vAlign w:val="bottom"/>
            <w:shd w:val="clear" w:color="auto" w:fill="F4F3F3"/>
          </w:tcPr>
          <w:p>
            <w:pPr>
              <w:spacing w:after="0"/>
              <w:rPr>
                <w:sz w:val="14"/>
                <w:szCs w:val="14"/>
                <w:color w:val="auto"/>
              </w:rPr>
            </w:pPr>
          </w:p>
        </w:tc>
        <w:tc>
          <w:tcPr>
            <w:tcW w:w="1240" w:type="dxa"/>
            <w:vAlign w:val="bottom"/>
            <w:shd w:val="clear" w:color="auto" w:fill="F4F3F3"/>
          </w:tcPr>
          <w:p>
            <w:pPr>
              <w:jc w:val="right"/>
              <w:ind w:right="350"/>
              <w:spacing w:after="0"/>
              <w:rPr>
                <w:sz w:val="20"/>
                <w:szCs w:val="20"/>
                <w:color w:val="auto"/>
              </w:rPr>
            </w:pPr>
            <w:r>
              <w:rPr>
                <w:rFonts w:ascii="Arial" w:cs="Arial" w:eastAsia="Arial" w:hAnsi="Arial"/>
                <w:sz w:val="14"/>
                <w:szCs w:val="14"/>
                <w:color w:val="auto"/>
              </w:rPr>
              <w:t>—</w:t>
            </w:r>
          </w:p>
        </w:tc>
        <w:tc>
          <w:tcPr>
            <w:tcW w:w="820" w:type="dxa"/>
            <w:vAlign w:val="bottom"/>
            <w:shd w:val="clear" w:color="auto" w:fill="F4F3F3"/>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71"/>
              <w:spacing w:after="0"/>
              <w:rPr>
                <w:sz w:val="20"/>
                <w:szCs w:val="20"/>
                <w:color w:val="auto"/>
              </w:rPr>
            </w:pPr>
            <w:r>
              <w:rPr>
                <w:rFonts w:ascii="Arial" w:cs="Arial" w:eastAsia="Arial" w:hAnsi="Arial"/>
                <w:sz w:val="14"/>
                <w:szCs w:val="14"/>
                <w:color w:val="auto"/>
              </w:rPr>
              <w:t>9,477(4)</w:t>
            </w:r>
          </w:p>
        </w:tc>
        <w:tc>
          <w:tcPr>
            <w:tcW w:w="100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1,286,313</w:t>
            </w:r>
          </w:p>
        </w:tc>
        <w:tc>
          <w:tcPr>
            <w:tcW w:w="0" w:type="dxa"/>
            <w:vAlign w:val="bottom"/>
          </w:tcPr>
          <w:p>
            <w:pPr>
              <w:spacing w:after="0"/>
              <w:rPr>
                <w:sz w:val="1"/>
                <w:szCs w:val="1"/>
                <w:color w:val="auto"/>
              </w:rPr>
            </w:pPr>
          </w:p>
        </w:tc>
      </w:tr>
      <w:tr>
        <w:trPr>
          <w:trHeight w:val="162"/>
        </w:trPr>
        <w:tc>
          <w:tcPr>
            <w:tcW w:w="1440" w:type="dxa"/>
            <w:vAlign w:val="bottom"/>
            <w:shd w:val="clear" w:color="auto" w:fill="F4F3F3"/>
          </w:tcPr>
          <w:p>
            <w:pPr>
              <w:spacing w:after="0"/>
              <w:rPr>
                <w:sz w:val="14"/>
                <w:szCs w:val="14"/>
                <w:color w:val="auto"/>
              </w:rPr>
            </w:pPr>
          </w:p>
        </w:tc>
        <w:tc>
          <w:tcPr>
            <w:tcW w:w="240" w:type="dxa"/>
            <w:vAlign w:val="bottom"/>
            <w:shd w:val="clear" w:color="auto" w:fill="F4F3F3"/>
          </w:tcPr>
          <w:p>
            <w:pPr>
              <w:spacing w:after="0"/>
              <w:rPr>
                <w:sz w:val="14"/>
                <w:szCs w:val="14"/>
                <w:color w:val="auto"/>
              </w:rPr>
            </w:pPr>
          </w:p>
        </w:tc>
        <w:tc>
          <w:tcPr>
            <w:tcW w:w="670" w:type="dxa"/>
            <w:vAlign w:val="bottom"/>
            <w:shd w:val="clear" w:color="auto" w:fill="F4F3F3"/>
          </w:tcPr>
          <w:p>
            <w:pPr>
              <w:spacing w:after="0"/>
              <w:rPr>
                <w:sz w:val="14"/>
                <w:szCs w:val="14"/>
                <w:color w:val="auto"/>
              </w:rPr>
            </w:pPr>
          </w:p>
        </w:tc>
        <w:tc>
          <w:tcPr>
            <w:tcW w:w="95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PSUs</w:t>
            </w:r>
          </w:p>
        </w:tc>
        <w:tc>
          <w:tcPr>
            <w:tcW w:w="220" w:type="dxa"/>
            <w:vAlign w:val="bottom"/>
            <w:shd w:val="clear" w:color="auto" w:fill="F4F3F3"/>
          </w:tcPr>
          <w:p>
            <w:pPr>
              <w:spacing w:after="0"/>
              <w:rPr>
                <w:sz w:val="14"/>
                <w:szCs w:val="14"/>
                <w:color w:val="auto"/>
              </w:rPr>
            </w:pPr>
          </w:p>
        </w:tc>
        <w:tc>
          <w:tcPr>
            <w:tcW w:w="840" w:type="dxa"/>
            <w:vAlign w:val="bottom"/>
            <w:shd w:val="clear" w:color="auto" w:fill="F4F3F3"/>
          </w:tcPr>
          <w:p>
            <w:pPr>
              <w:jc w:val="right"/>
              <w:ind w:right="391"/>
              <w:spacing w:after="0"/>
              <w:rPr>
                <w:sz w:val="20"/>
                <w:szCs w:val="20"/>
                <w:color w:val="auto"/>
              </w:rPr>
            </w:pPr>
            <w:r>
              <w:rPr>
                <w:rFonts w:ascii="Arial" w:cs="Arial" w:eastAsia="Arial" w:hAnsi="Arial"/>
                <w:sz w:val="14"/>
                <w:szCs w:val="14"/>
                <w:color w:val="auto"/>
              </w:rPr>
              <w:t>—</w:t>
            </w:r>
          </w:p>
        </w:tc>
        <w:tc>
          <w:tcPr>
            <w:tcW w:w="640" w:type="dxa"/>
            <w:vAlign w:val="bottom"/>
            <w:shd w:val="clear" w:color="auto" w:fill="F4F3F3"/>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F4F3F3"/>
          </w:tcPr>
          <w:p>
            <w:pPr>
              <w:jc w:val="right"/>
              <w:ind w:right="10"/>
              <w:spacing w:after="0"/>
              <w:rPr>
                <w:sz w:val="20"/>
                <w:szCs w:val="20"/>
                <w:color w:val="auto"/>
              </w:rPr>
            </w:pPr>
            <w:r>
              <w:rPr>
                <w:rFonts w:ascii="Arial" w:cs="Arial" w:eastAsia="Arial" w:hAnsi="Arial"/>
                <w:sz w:val="14"/>
                <w:szCs w:val="14"/>
                <w:color w:val="auto"/>
              </w:rPr>
              <w:t>—</w:t>
            </w:r>
          </w:p>
        </w:tc>
        <w:tc>
          <w:tcPr>
            <w:tcW w:w="1120" w:type="dxa"/>
            <w:vAlign w:val="bottom"/>
            <w:shd w:val="clear" w:color="auto" w:fill="F4F3F3"/>
          </w:tcPr>
          <w:p>
            <w:pPr>
              <w:spacing w:after="0"/>
              <w:rPr>
                <w:sz w:val="14"/>
                <w:szCs w:val="14"/>
                <w:color w:val="auto"/>
              </w:rPr>
            </w:pPr>
          </w:p>
        </w:tc>
        <w:tc>
          <w:tcPr>
            <w:tcW w:w="1240" w:type="dxa"/>
            <w:vAlign w:val="bottom"/>
            <w:shd w:val="clear" w:color="auto" w:fill="F4F3F3"/>
          </w:tcPr>
          <w:p>
            <w:pPr>
              <w:jc w:val="right"/>
              <w:ind w:right="350"/>
              <w:spacing w:after="0"/>
              <w:rPr>
                <w:sz w:val="20"/>
                <w:szCs w:val="20"/>
                <w:color w:val="auto"/>
              </w:rPr>
            </w:pPr>
            <w:r>
              <w:rPr>
                <w:rFonts w:ascii="Arial" w:cs="Arial" w:eastAsia="Arial" w:hAnsi="Arial"/>
                <w:sz w:val="14"/>
                <w:szCs w:val="14"/>
                <w:color w:val="auto"/>
              </w:rPr>
              <w:t>—</w:t>
            </w:r>
          </w:p>
        </w:tc>
        <w:tc>
          <w:tcPr>
            <w:tcW w:w="820" w:type="dxa"/>
            <w:vAlign w:val="bottom"/>
            <w:shd w:val="clear" w:color="auto" w:fill="F4F3F3"/>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71"/>
              <w:spacing w:after="0"/>
              <w:rPr>
                <w:sz w:val="20"/>
                <w:szCs w:val="20"/>
                <w:color w:val="auto"/>
              </w:rPr>
            </w:pPr>
            <w:r>
              <w:rPr>
                <w:rFonts w:ascii="Arial" w:cs="Arial" w:eastAsia="Arial" w:hAnsi="Arial"/>
                <w:sz w:val="14"/>
                <w:szCs w:val="14"/>
                <w:color w:val="auto"/>
              </w:rPr>
              <w:t>12,465(5)</w:t>
            </w:r>
          </w:p>
        </w:tc>
        <w:tc>
          <w:tcPr>
            <w:tcW w:w="100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1,691,874</w:t>
            </w:r>
          </w:p>
        </w:tc>
        <w:tc>
          <w:tcPr>
            <w:tcW w:w="0" w:type="dxa"/>
            <w:vAlign w:val="bottom"/>
          </w:tcPr>
          <w:p>
            <w:pPr>
              <w:spacing w:after="0"/>
              <w:rPr>
                <w:sz w:val="1"/>
                <w:szCs w:val="1"/>
                <w:color w:val="auto"/>
              </w:rPr>
            </w:pPr>
          </w:p>
        </w:tc>
      </w:tr>
      <w:tr>
        <w:trPr>
          <w:trHeight w:val="162"/>
        </w:trPr>
        <w:tc>
          <w:tcPr>
            <w:tcW w:w="1440" w:type="dxa"/>
            <w:vAlign w:val="bottom"/>
            <w:shd w:val="clear" w:color="auto" w:fill="F4F3F3"/>
          </w:tcPr>
          <w:p>
            <w:pPr>
              <w:spacing w:after="0"/>
              <w:rPr>
                <w:sz w:val="14"/>
                <w:szCs w:val="14"/>
                <w:color w:val="auto"/>
              </w:rPr>
            </w:pPr>
          </w:p>
        </w:tc>
        <w:tc>
          <w:tcPr>
            <w:tcW w:w="240" w:type="dxa"/>
            <w:vAlign w:val="bottom"/>
            <w:shd w:val="clear" w:color="auto" w:fill="F4F3F3"/>
          </w:tcPr>
          <w:p>
            <w:pPr>
              <w:spacing w:after="0"/>
              <w:rPr>
                <w:sz w:val="14"/>
                <w:szCs w:val="14"/>
                <w:color w:val="auto"/>
              </w:rPr>
            </w:pPr>
          </w:p>
        </w:tc>
        <w:tc>
          <w:tcPr>
            <w:tcW w:w="670" w:type="dxa"/>
            <w:vAlign w:val="bottom"/>
            <w:shd w:val="clear" w:color="auto" w:fill="F4F3F3"/>
          </w:tcPr>
          <w:p>
            <w:pPr>
              <w:spacing w:after="0"/>
              <w:rPr>
                <w:sz w:val="14"/>
                <w:szCs w:val="14"/>
                <w:color w:val="auto"/>
              </w:rPr>
            </w:pPr>
          </w:p>
        </w:tc>
        <w:tc>
          <w:tcPr>
            <w:tcW w:w="95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PSUs</w:t>
            </w:r>
          </w:p>
        </w:tc>
        <w:tc>
          <w:tcPr>
            <w:tcW w:w="220" w:type="dxa"/>
            <w:vAlign w:val="bottom"/>
            <w:shd w:val="clear" w:color="auto" w:fill="F4F3F3"/>
          </w:tcPr>
          <w:p>
            <w:pPr>
              <w:spacing w:after="0"/>
              <w:rPr>
                <w:sz w:val="14"/>
                <w:szCs w:val="14"/>
                <w:color w:val="auto"/>
              </w:rPr>
            </w:pPr>
          </w:p>
        </w:tc>
        <w:tc>
          <w:tcPr>
            <w:tcW w:w="840" w:type="dxa"/>
            <w:vAlign w:val="bottom"/>
            <w:shd w:val="clear" w:color="auto" w:fill="F4F3F3"/>
          </w:tcPr>
          <w:p>
            <w:pPr>
              <w:jc w:val="right"/>
              <w:ind w:right="391"/>
              <w:spacing w:after="0"/>
              <w:rPr>
                <w:sz w:val="20"/>
                <w:szCs w:val="20"/>
                <w:color w:val="auto"/>
              </w:rPr>
            </w:pPr>
            <w:r>
              <w:rPr>
                <w:rFonts w:ascii="Arial" w:cs="Arial" w:eastAsia="Arial" w:hAnsi="Arial"/>
                <w:sz w:val="14"/>
                <w:szCs w:val="14"/>
                <w:color w:val="auto"/>
              </w:rPr>
              <w:t>—</w:t>
            </w:r>
          </w:p>
        </w:tc>
        <w:tc>
          <w:tcPr>
            <w:tcW w:w="640" w:type="dxa"/>
            <w:vAlign w:val="bottom"/>
            <w:shd w:val="clear" w:color="auto" w:fill="F4F3F3"/>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F4F3F3"/>
          </w:tcPr>
          <w:p>
            <w:pPr>
              <w:jc w:val="right"/>
              <w:ind w:right="10"/>
              <w:spacing w:after="0"/>
              <w:rPr>
                <w:sz w:val="20"/>
                <w:szCs w:val="20"/>
                <w:color w:val="auto"/>
              </w:rPr>
            </w:pPr>
            <w:r>
              <w:rPr>
                <w:rFonts w:ascii="Arial" w:cs="Arial" w:eastAsia="Arial" w:hAnsi="Arial"/>
                <w:sz w:val="14"/>
                <w:szCs w:val="14"/>
                <w:color w:val="auto"/>
              </w:rPr>
              <w:t>—</w:t>
            </w:r>
          </w:p>
        </w:tc>
        <w:tc>
          <w:tcPr>
            <w:tcW w:w="1120" w:type="dxa"/>
            <w:vAlign w:val="bottom"/>
            <w:shd w:val="clear" w:color="auto" w:fill="F4F3F3"/>
          </w:tcPr>
          <w:p>
            <w:pPr>
              <w:spacing w:after="0"/>
              <w:rPr>
                <w:sz w:val="14"/>
                <w:szCs w:val="14"/>
                <w:color w:val="auto"/>
              </w:rPr>
            </w:pPr>
          </w:p>
        </w:tc>
        <w:tc>
          <w:tcPr>
            <w:tcW w:w="1240" w:type="dxa"/>
            <w:vAlign w:val="bottom"/>
            <w:shd w:val="clear" w:color="auto" w:fill="F4F3F3"/>
          </w:tcPr>
          <w:p>
            <w:pPr>
              <w:jc w:val="right"/>
              <w:ind w:right="350"/>
              <w:spacing w:after="0"/>
              <w:rPr>
                <w:sz w:val="20"/>
                <w:szCs w:val="20"/>
                <w:color w:val="auto"/>
              </w:rPr>
            </w:pPr>
            <w:r>
              <w:rPr>
                <w:rFonts w:ascii="Arial" w:cs="Arial" w:eastAsia="Arial" w:hAnsi="Arial"/>
                <w:sz w:val="14"/>
                <w:szCs w:val="14"/>
                <w:color w:val="auto"/>
              </w:rPr>
              <w:t>—</w:t>
            </w:r>
          </w:p>
        </w:tc>
        <w:tc>
          <w:tcPr>
            <w:tcW w:w="820" w:type="dxa"/>
            <w:vAlign w:val="bottom"/>
            <w:shd w:val="clear" w:color="auto" w:fill="F4F3F3"/>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71"/>
              <w:spacing w:after="0"/>
              <w:rPr>
                <w:sz w:val="20"/>
                <w:szCs w:val="20"/>
                <w:color w:val="auto"/>
              </w:rPr>
            </w:pPr>
            <w:r>
              <w:rPr>
                <w:rFonts w:ascii="Arial" w:cs="Arial" w:eastAsia="Arial" w:hAnsi="Arial"/>
                <w:sz w:val="14"/>
                <w:szCs w:val="14"/>
                <w:color w:val="auto"/>
              </w:rPr>
              <w:t>28,803(6)</w:t>
            </w:r>
          </w:p>
        </w:tc>
        <w:tc>
          <w:tcPr>
            <w:tcW w:w="100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3,909,431</w:t>
            </w:r>
          </w:p>
        </w:tc>
        <w:tc>
          <w:tcPr>
            <w:tcW w:w="0" w:type="dxa"/>
            <w:vAlign w:val="bottom"/>
          </w:tcPr>
          <w:p>
            <w:pPr>
              <w:spacing w:after="0"/>
              <w:rPr>
                <w:sz w:val="1"/>
                <w:szCs w:val="1"/>
                <w:color w:val="auto"/>
              </w:rPr>
            </w:pPr>
          </w:p>
        </w:tc>
      </w:tr>
      <w:tr>
        <w:trPr>
          <w:trHeight w:val="175"/>
        </w:trPr>
        <w:tc>
          <w:tcPr>
            <w:tcW w:w="1440" w:type="dxa"/>
            <w:vAlign w:val="bottom"/>
            <w:shd w:val="clear" w:color="auto" w:fill="F4F3F3"/>
          </w:tcPr>
          <w:p>
            <w:pPr>
              <w:spacing w:after="0"/>
              <w:rPr>
                <w:sz w:val="15"/>
                <w:szCs w:val="15"/>
                <w:color w:val="auto"/>
              </w:rPr>
            </w:pPr>
          </w:p>
        </w:tc>
        <w:tc>
          <w:tcPr>
            <w:tcW w:w="240" w:type="dxa"/>
            <w:vAlign w:val="bottom"/>
            <w:shd w:val="clear" w:color="auto" w:fill="F4F3F3"/>
          </w:tcPr>
          <w:p>
            <w:pPr>
              <w:spacing w:after="0"/>
              <w:rPr>
                <w:sz w:val="15"/>
                <w:szCs w:val="15"/>
                <w:color w:val="auto"/>
              </w:rPr>
            </w:pPr>
          </w:p>
        </w:tc>
        <w:tc>
          <w:tcPr>
            <w:tcW w:w="670" w:type="dxa"/>
            <w:vAlign w:val="bottom"/>
            <w:shd w:val="clear" w:color="auto" w:fill="F4F3F3"/>
          </w:tcPr>
          <w:p>
            <w:pPr>
              <w:spacing w:after="0"/>
              <w:rPr>
                <w:sz w:val="15"/>
                <w:szCs w:val="15"/>
                <w:color w:val="auto"/>
              </w:rPr>
            </w:pPr>
          </w:p>
        </w:tc>
        <w:tc>
          <w:tcPr>
            <w:tcW w:w="95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PSUs</w:t>
            </w:r>
          </w:p>
        </w:tc>
        <w:tc>
          <w:tcPr>
            <w:tcW w:w="220" w:type="dxa"/>
            <w:vAlign w:val="bottom"/>
            <w:shd w:val="clear" w:color="auto" w:fill="F4F3F3"/>
          </w:tcPr>
          <w:p>
            <w:pPr>
              <w:spacing w:after="0"/>
              <w:rPr>
                <w:sz w:val="15"/>
                <w:szCs w:val="15"/>
                <w:color w:val="auto"/>
              </w:rPr>
            </w:pPr>
          </w:p>
        </w:tc>
        <w:tc>
          <w:tcPr>
            <w:tcW w:w="840" w:type="dxa"/>
            <w:vAlign w:val="bottom"/>
            <w:shd w:val="clear" w:color="auto" w:fill="F4F3F3"/>
          </w:tcPr>
          <w:p>
            <w:pPr>
              <w:jc w:val="right"/>
              <w:ind w:right="391"/>
              <w:spacing w:after="0"/>
              <w:rPr>
                <w:sz w:val="20"/>
                <w:szCs w:val="20"/>
                <w:color w:val="auto"/>
              </w:rPr>
            </w:pPr>
            <w:r>
              <w:rPr>
                <w:rFonts w:ascii="Arial" w:cs="Arial" w:eastAsia="Arial" w:hAnsi="Arial"/>
                <w:sz w:val="14"/>
                <w:szCs w:val="14"/>
                <w:color w:val="auto"/>
              </w:rPr>
              <w:t>—</w:t>
            </w:r>
          </w:p>
        </w:tc>
        <w:tc>
          <w:tcPr>
            <w:tcW w:w="640" w:type="dxa"/>
            <w:vAlign w:val="bottom"/>
            <w:shd w:val="clear" w:color="auto" w:fill="F4F3F3"/>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F4F3F3"/>
          </w:tcPr>
          <w:p>
            <w:pPr>
              <w:jc w:val="right"/>
              <w:ind w:right="10"/>
              <w:spacing w:after="0"/>
              <w:rPr>
                <w:sz w:val="20"/>
                <w:szCs w:val="20"/>
                <w:color w:val="auto"/>
              </w:rPr>
            </w:pPr>
            <w:r>
              <w:rPr>
                <w:rFonts w:ascii="Arial" w:cs="Arial" w:eastAsia="Arial" w:hAnsi="Arial"/>
                <w:sz w:val="14"/>
                <w:szCs w:val="14"/>
                <w:color w:val="auto"/>
              </w:rPr>
              <w:t>—</w:t>
            </w:r>
          </w:p>
        </w:tc>
        <w:tc>
          <w:tcPr>
            <w:tcW w:w="1120" w:type="dxa"/>
            <w:vAlign w:val="bottom"/>
            <w:shd w:val="clear" w:color="auto" w:fill="F4F3F3"/>
          </w:tcPr>
          <w:p>
            <w:pPr>
              <w:spacing w:after="0"/>
              <w:rPr>
                <w:sz w:val="15"/>
                <w:szCs w:val="15"/>
                <w:color w:val="auto"/>
              </w:rPr>
            </w:pPr>
          </w:p>
        </w:tc>
        <w:tc>
          <w:tcPr>
            <w:tcW w:w="1240" w:type="dxa"/>
            <w:vAlign w:val="bottom"/>
            <w:shd w:val="clear" w:color="auto" w:fill="F4F3F3"/>
          </w:tcPr>
          <w:p>
            <w:pPr>
              <w:jc w:val="right"/>
              <w:ind w:right="350"/>
              <w:spacing w:after="0"/>
              <w:rPr>
                <w:sz w:val="20"/>
                <w:szCs w:val="20"/>
                <w:color w:val="auto"/>
              </w:rPr>
            </w:pPr>
            <w:r>
              <w:rPr>
                <w:rFonts w:ascii="Arial" w:cs="Arial" w:eastAsia="Arial" w:hAnsi="Arial"/>
                <w:sz w:val="14"/>
                <w:szCs w:val="14"/>
                <w:color w:val="auto"/>
              </w:rPr>
              <w:t>—</w:t>
            </w:r>
          </w:p>
        </w:tc>
        <w:tc>
          <w:tcPr>
            <w:tcW w:w="820" w:type="dxa"/>
            <w:vAlign w:val="bottom"/>
            <w:shd w:val="clear" w:color="auto" w:fill="F4F3F3"/>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71"/>
              <w:spacing w:after="0"/>
              <w:rPr>
                <w:sz w:val="20"/>
                <w:szCs w:val="20"/>
                <w:color w:val="auto"/>
              </w:rPr>
            </w:pPr>
            <w:r>
              <w:rPr>
                <w:rFonts w:ascii="Arial" w:cs="Arial" w:eastAsia="Arial" w:hAnsi="Arial"/>
                <w:sz w:val="14"/>
                <w:szCs w:val="14"/>
                <w:color w:val="auto"/>
              </w:rPr>
              <w:t>12,912(7)</w:t>
            </w:r>
          </w:p>
        </w:tc>
        <w:tc>
          <w:tcPr>
            <w:tcW w:w="100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1,752,546</w:t>
            </w:r>
          </w:p>
        </w:tc>
        <w:tc>
          <w:tcPr>
            <w:tcW w:w="0" w:type="dxa"/>
            <w:vAlign w:val="bottom"/>
          </w:tcPr>
          <w:p>
            <w:pPr>
              <w:spacing w:after="0"/>
              <w:rPr>
                <w:sz w:val="1"/>
                <w:szCs w:val="1"/>
                <w:color w:val="auto"/>
              </w:rPr>
            </w:pPr>
          </w:p>
        </w:tc>
      </w:tr>
      <w:tr>
        <w:trPr>
          <w:trHeight w:val="175"/>
        </w:trPr>
        <w:tc>
          <w:tcPr>
            <w:tcW w:w="1440" w:type="dxa"/>
            <w:vAlign w:val="bottom"/>
            <w:shd w:val="clear" w:color="auto" w:fill="F4F3F3"/>
          </w:tcPr>
          <w:p>
            <w:pPr>
              <w:ind w:left="180"/>
              <w:spacing w:after="0"/>
              <w:rPr>
                <w:sz w:val="20"/>
                <w:szCs w:val="20"/>
                <w:color w:val="auto"/>
              </w:rPr>
            </w:pPr>
            <w:r>
              <w:rPr>
                <w:rFonts w:ascii="Arial" w:cs="Arial" w:eastAsia="Arial" w:hAnsi="Arial"/>
                <w:sz w:val="14"/>
                <w:szCs w:val="14"/>
                <w:color w:val="998C87"/>
              </w:rPr>
              <w:t>Ms. Oberg</w:t>
            </w:r>
          </w:p>
        </w:tc>
        <w:tc>
          <w:tcPr>
            <w:tcW w:w="240" w:type="dxa"/>
            <w:vAlign w:val="bottom"/>
            <w:shd w:val="clear" w:color="auto" w:fill="F4F3F3"/>
          </w:tcPr>
          <w:p>
            <w:pPr>
              <w:spacing w:after="0"/>
              <w:rPr>
                <w:sz w:val="15"/>
                <w:szCs w:val="15"/>
                <w:color w:val="auto"/>
              </w:rPr>
            </w:pPr>
          </w:p>
        </w:tc>
        <w:tc>
          <w:tcPr>
            <w:tcW w:w="670" w:type="dxa"/>
            <w:vAlign w:val="bottom"/>
            <w:shd w:val="clear" w:color="auto" w:fill="F4F3F3"/>
          </w:tcPr>
          <w:p>
            <w:pPr>
              <w:jc w:val="right"/>
              <w:ind w:right="120"/>
              <w:spacing w:after="0"/>
              <w:rPr>
                <w:sz w:val="20"/>
                <w:szCs w:val="20"/>
                <w:color w:val="auto"/>
              </w:rPr>
            </w:pPr>
            <w:r>
              <w:rPr>
                <w:rFonts w:ascii="Arial" w:cs="Arial" w:eastAsia="Arial" w:hAnsi="Arial"/>
                <w:sz w:val="14"/>
                <w:szCs w:val="14"/>
                <w:color w:val="auto"/>
                <w:w w:val="98"/>
              </w:rPr>
              <w:t>2/22/16</w:t>
            </w:r>
          </w:p>
        </w:tc>
        <w:tc>
          <w:tcPr>
            <w:tcW w:w="95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SARs</w:t>
            </w:r>
          </w:p>
        </w:tc>
        <w:tc>
          <w:tcPr>
            <w:tcW w:w="220" w:type="dxa"/>
            <w:vAlign w:val="bottom"/>
            <w:shd w:val="clear" w:color="auto" w:fill="F4F3F3"/>
          </w:tcPr>
          <w:p>
            <w:pPr>
              <w:spacing w:after="0"/>
              <w:rPr>
                <w:sz w:val="15"/>
                <w:szCs w:val="15"/>
                <w:color w:val="auto"/>
              </w:rPr>
            </w:pPr>
          </w:p>
        </w:tc>
        <w:tc>
          <w:tcPr>
            <w:tcW w:w="840" w:type="dxa"/>
            <w:vAlign w:val="bottom"/>
            <w:shd w:val="clear" w:color="auto" w:fill="F4F3F3"/>
          </w:tcPr>
          <w:p>
            <w:pPr>
              <w:jc w:val="right"/>
              <w:ind w:right="331"/>
              <w:spacing w:after="0"/>
              <w:rPr>
                <w:sz w:val="20"/>
                <w:szCs w:val="20"/>
                <w:color w:val="auto"/>
              </w:rPr>
            </w:pPr>
            <w:r>
              <w:rPr>
                <w:rFonts w:ascii="Arial" w:cs="Arial" w:eastAsia="Arial" w:hAnsi="Arial"/>
                <w:sz w:val="14"/>
                <w:szCs w:val="14"/>
                <w:color w:val="auto"/>
              </w:rPr>
              <w:t>9,154</w:t>
            </w:r>
          </w:p>
        </w:tc>
        <w:tc>
          <w:tcPr>
            <w:tcW w:w="64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18,308(2)</w:t>
            </w:r>
          </w:p>
        </w:tc>
        <w:tc>
          <w:tcPr>
            <w:tcW w:w="760" w:type="dxa"/>
            <w:vAlign w:val="bottom"/>
            <w:shd w:val="clear" w:color="auto" w:fill="F4F3F3"/>
          </w:tcPr>
          <w:p>
            <w:pPr>
              <w:jc w:val="right"/>
              <w:spacing w:after="0"/>
              <w:rPr>
                <w:sz w:val="20"/>
                <w:szCs w:val="20"/>
                <w:color w:val="auto"/>
              </w:rPr>
            </w:pPr>
            <w:r>
              <w:rPr>
                <w:rFonts w:ascii="Arial" w:cs="Arial" w:eastAsia="Arial" w:hAnsi="Arial"/>
                <w:sz w:val="14"/>
                <w:szCs w:val="14"/>
                <w:color w:val="auto"/>
              </w:rPr>
              <w:t>66.86</w:t>
            </w:r>
          </w:p>
        </w:tc>
        <w:tc>
          <w:tcPr>
            <w:tcW w:w="1120" w:type="dxa"/>
            <w:vAlign w:val="bottom"/>
            <w:shd w:val="clear" w:color="auto" w:fill="F4F3F3"/>
          </w:tcPr>
          <w:p>
            <w:pPr>
              <w:jc w:val="right"/>
              <w:ind w:right="151"/>
              <w:spacing w:after="0"/>
              <w:rPr>
                <w:sz w:val="20"/>
                <w:szCs w:val="20"/>
                <w:color w:val="auto"/>
              </w:rPr>
            </w:pPr>
            <w:r>
              <w:rPr>
                <w:rFonts w:ascii="Arial" w:cs="Arial" w:eastAsia="Arial" w:hAnsi="Arial"/>
                <w:sz w:val="14"/>
                <w:szCs w:val="14"/>
                <w:color w:val="auto"/>
              </w:rPr>
              <w:t>2/22/26</w:t>
            </w:r>
          </w:p>
        </w:tc>
        <w:tc>
          <w:tcPr>
            <w:tcW w:w="1240" w:type="dxa"/>
            <w:vAlign w:val="bottom"/>
            <w:shd w:val="clear" w:color="auto" w:fill="F4F3F3"/>
          </w:tcPr>
          <w:p>
            <w:pPr>
              <w:jc w:val="right"/>
              <w:ind w:right="270"/>
              <w:spacing w:after="0"/>
              <w:rPr>
                <w:sz w:val="20"/>
                <w:szCs w:val="20"/>
                <w:color w:val="auto"/>
              </w:rPr>
            </w:pPr>
            <w:r>
              <w:rPr>
                <w:rFonts w:ascii="Arial" w:cs="Arial" w:eastAsia="Arial" w:hAnsi="Arial"/>
                <w:sz w:val="14"/>
                <w:szCs w:val="14"/>
                <w:color w:val="auto"/>
              </w:rPr>
              <w:t>630,436</w:t>
            </w:r>
          </w:p>
        </w:tc>
        <w:tc>
          <w:tcPr>
            <w:tcW w:w="820" w:type="dxa"/>
            <w:vAlign w:val="bottom"/>
            <w:shd w:val="clear" w:color="auto" w:fill="F4F3F3"/>
          </w:tcPr>
          <w:p>
            <w:pPr>
              <w:jc w:val="right"/>
              <w:ind w:right="48"/>
              <w:spacing w:after="0"/>
              <w:rPr>
                <w:sz w:val="20"/>
                <w:szCs w:val="20"/>
                <w:color w:val="auto"/>
              </w:rPr>
            </w:pPr>
            <w:r>
              <w:rPr>
                <w:rFonts w:ascii="Arial" w:cs="Arial" w:eastAsia="Arial" w:hAnsi="Arial"/>
                <w:sz w:val="14"/>
                <w:szCs w:val="14"/>
                <w:color w:val="auto"/>
              </w:rPr>
              <w:t>1,260,872</w:t>
            </w:r>
          </w:p>
        </w:tc>
        <w:tc>
          <w:tcPr>
            <w:tcW w:w="1060" w:type="dxa"/>
            <w:vAlign w:val="bottom"/>
            <w:shd w:val="clear" w:color="auto" w:fill="F4F3F3"/>
          </w:tcPr>
          <w:p>
            <w:pPr>
              <w:jc w:val="right"/>
              <w:ind w:right="331"/>
              <w:spacing w:after="0"/>
              <w:rPr>
                <w:sz w:val="20"/>
                <w:szCs w:val="20"/>
                <w:color w:val="auto"/>
              </w:rPr>
            </w:pPr>
            <w:r>
              <w:rPr>
                <w:rFonts w:ascii="Arial" w:cs="Arial" w:eastAsia="Arial" w:hAnsi="Arial"/>
                <w:sz w:val="14"/>
                <w:szCs w:val="14"/>
                <w:color w:val="auto"/>
              </w:rPr>
              <w:t>—</w:t>
            </w:r>
          </w:p>
        </w:tc>
        <w:tc>
          <w:tcPr>
            <w:tcW w:w="1000" w:type="dxa"/>
            <w:vAlign w:val="bottom"/>
            <w:shd w:val="clear" w:color="auto" w:fill="F4F3F3"/>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440" w:type="dxa"/>
            <w:vAlign w:val="bottom"/>
            <w:shd w:val="clear" w:color="auto" w:fill="F4F3F3"/>
          </w:tcPr>
          <w:p>
            <w:pPr>
              <w:spacing w:after="0"/>
              <w:rPr>
                <w:sz w:val="14"/>
                <w:szCs w:val="14"/>
                <w:color w:val="auto"/>
              </w:rPr>
            </w:pPr>
          </w:p>
        </w:tc>
        <w:tc>
          <w:tcPr>
            <w:tcW w:w="240" w:type="dxa"/>
            <w:vAlign w:val="bottom"/>
            <w:shd w:val="clear" w:color="auto" w:fill="F4F3F3"/>
          </w:tcPr>
          <w:p>
            <w:pPr>
              <w:spacing w:after="0"/>
              <w:rPr>
                <w:sz w:val="14"/>
                <w:szCs w:val="14"/>
                <w:color w:val="auto"/>
              </w:rPr>
            </w:pPr>
          </w:p>
        </w:tc>
        <w:tc>
          <w:tcPr>
            <w:tcW w:w="670" w:type="dxa"/>
            <w:vAlign w:val="bottom"/>
            <w:shd w:val="clear" w:color="auto" w:fill="F4F3F3"/>
          </w:tcPr>
          <w:p>
            <w:pPr>
              <w:jc w:val="right"/>
              <w:ind w:right="120"/>
              <w:spacing w:after="0"/>
              <w:rPr>
                <w:sz w:val="20"/>
                <w:szCs w:val="20"/>
                <w:color w:val="auto"/>
              </w:rPr>
            </w:pPr>
            <w:r>
              <w:rPr>
                <w:rFonts w:ascii="Arial" w:cs="Arial" w:eastAsia="Arial" w:hAnsi="Arial"/>
                <w:sz w:val="14"/>
                <w:szCs w:val="14"/>
                <w:color w:val="auto"/>
                <w:w w:val="98"/>
              </w:rPr>
              <w:t>2/21/17</w:t>
            </w:r>
          </w:p>
        </w:tc>
        <w:tc>
          <w:tcPr>
            <w:tcW w:w="95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SARs</w:t>
            </w:r>
          </w:p>
        </w:tc>
        <w:tc>
          <w:tcPr>
            <w:tcW w:w="220" w:type="dxa"/>
            <w:vAlign w:val="bottom"/>
            <w:shd w:val="clear" w:color="auto" w:fill="F4F3F3"/>
          </w:tcPr>
          <w:p>
            <w:pPr>
              <w:spacing w:after="0"/>
              <w:rPr>
                <w:sz w:val="14"/>
                <w:szCs w:val="14"/>
                <w:color w:val="auto"/>
              </w:rPr>
            </w:pPr>
          </w:p>
        </w:tc>
        <w:tc>
          <w:tcPr>
            <w:tcW w:w="840" w:type="dxa"/>
            <w:vAlign w:val="bottom"/>
            <w:shd w:val="clear" w:color="auto" w:fill="F4F3F3"/>
          </w:tcPr>
          <w:p>
            <w:pPr>
              <w:jc w:val="right"/>
              <w:ind w:right="391"/>
              <w:spacing w:after="0"/>
              <w:rPr>
                <w:sz w:val="20"/>
                <w:szCs w:val="20"/>
                <w:color w:val="auto"/>
              </w:rPr>
            </w:pPr>
            <w:r>
              <w:rPr>
                <w:rFonts w:ascii="Arial" w:cs="Arial" w:eastAsia="Arial" w:hAnsi="Arial"/>
                <w:sz w:val="14"/>
                <w:szCs w:val="14"/>
                <w:color w:val="auto"/>
              </w:rPr>
              <w:t>—</w:t>
            </w:r>
          </w:p>
        </w:tc>
        <w:tc>
          <w:tcPr>
            <w:tcW w:w="64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25,854(2)</w:t>
            </w:r>
          </w:p>
        </w:tc>
        <w:tc>
          <w:tcPr>
            <w:tcW w:w="760" w:type="dxa"/>
            <w:vAlign w:val="bottom"/>
            <w:shd w:val="clear" w:color="auto" w:fill="F4F3F3"/>
          </w:tcPr>
          <w:p>
            <w:pPr>
              <w:jc w:val="right"/>
              <w:spacing w:after="0"/>
              <w:rPr>
                <w:sz w:val="20"/>
                <w:szCs w:val="20"/>
                <w:color w:val="auto"/>
              </w:rPr>
            </w:pPr>
            <w:r>
              <w:rPr>
                <w:rFonts w:ascii="Arial" w:cs="Arial" w:eastAsia="Arial" w:hAnsi="Arial"/>
                <w:sz w:val="14"/>
                <w:szCs w:val="14"/>
                <w:color w:val="auto"/>
              </w:rPr>
              <w:t>88.31</w:t>
            </w:r>
          </w:p>
        </w:tc>
        <w:tc>
          <w:tcPr>
            <w:tcW w:w="1120" w:type="dxa"/>
            <w:vAlign w:val="bottom"/>
            <w:shd w:val="clear" w:color="auto" w:fill="F4F3F3"/>
          </w:tcPr>
          <w:p>
            <w:pPr>
              <w:jc w:val="right"/>
              <w:ind w:right="151"/>
              <w:spacing w:after="0"/>
              <w:rPr>
                <w:sz w:val="20"/>
                <w:szCs w:val="20"/>
                <w:color w:val="auto"/>
              </w:rPr>
            </w:pPr>
            <w:r>
              <w:rPr>
                <w:rFonts w:ascii="Arial" w:cs="Arial" w:eastAsia="Arial" w:hAnsi="Arial"/>
                <w:sz w:val="14"/>
                <w:szCs w:val="14"/>
                <w:color w:val="auto"/>
              </w:rPr>
              <w:t>2/21/27</w:t>
            </w:r>
          </w:p>
        </w:tc>
        <w:tc>
          <w:tcPr>
            <w:tcW w:w="1240" w:type="dxa"/>
            <w:vAlign w:val="bottom"/>
            <w:shd w:val="clear" w:color="auto" w:fill="F4F3F3"/>
          </w:tcPr>
          <w:p>
            <w:pPr>
              <w:jc w:val="right"/>
              <w:ind w:right="350"/>
              <w:spacing w:after="0"/>
              <w:rPr>
                <w:sz w:val="20"/>
                <w:szCs w:val="20"/>
                <w:color w:val="auto"/>
              </w:rPr>
            </w:pPr>
            <w:r>
              <w:rPr>
                <w:rFonts w:ascii="Arial" w:cs="Arial" w:eastAsia="Arial" w:hAnsi="Arial"/>
                <w:sz w:val="14"/>
                <w:szCs w:val="14"/>
                <w:color w:val="auto"/>
              </w:rPr>
              <w:t>—</w:t>
            </w:r>
          </w:p>
        </w:tc>
        <w:tc>
          <w:tcPr>
            <w:tcW w:w="820" w:type="dxa"/>
            <w:vAlign w:val="bottom"/>
            <w:shd w:val="clear" w:color="auto" w:fill="F4F3F3"/>
          </w:tcPr>
          <w:p>
            <w:pPr>
              <w:jc w:val="right"/>
              <w:ind w:right="48"/>
              <w:spacing w:after="0"/>
              <w:rPr>
                <w:sz w:val="20"/>
                <w:szCs w:val="20"/>
                <w:color w:val="auto"/>
              </w:rPr>
            </w:pPr>
            <w:r>
              <w:rPr>
                <w:rFonts w:ascii="Arial" w:cs="Arial" w:eastAsia="Arial" w:hAnsi="Arial"/>
                <w:sz w:val="14"/>
                <w:szCs w:val="14"/>
                <w:color w:val="auto"/>
              </w:rPr>
              <w:t>1,225,997</w:t>
            </w:r>
          </w:p>
        </w:tc>
        <w:tc>
          <w:tcPr>
            <w:tcW w:w="1060" w:type="dxa"/>
            <w:vAlign w:val="bottom"/>
            <w:shd w:val="clear" w:color="auto" w:fill="F4F3F3"/>
          </w:tcPr>
          <w:p>
            <w:pPr>
              <w:jc w:val="right"/>
              <w:ind w:right="331"/>
              <w:spacing w:after="0"/>
              <w:rPr>
                <w:sz w:val="20"/>
                <w:szCs w:val="20"/>
                <w:color w:val="auto"/>
              </w:rPr>
            </w:pPr>
            <w:r>
              <w:rPr>
                <w:rFonts w:ascii="Arial" w:cs="Arial" w:eastAsia="Arial" w:hAnsi="Arial"/>
                <w:sz w:val="14"/>
                <w:szCs w:val="14"/>
                <w:color w:val="auto"/>
              </w:rPr>
              <w:t>—</w:t>
            </w:r>
          </w:p>
        </w:tc>
        <w:tc>
          <w:tcPr>
            <w:tcW w:w="1000" w:type="dxa"/>
            <w:vAlign w:val="bottom"/>
            <w:shd w:val="clear" w:color="auto" w:fill="F4F3F3"/>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440" w:type="dxa"/>
            <w:vAlign w:val="bottom"/>
            <w:shd w:val="clear" w:color="auto" w:fill="F4F3F3"/>
          </w:tcPr>
          <w:p>
            <w:pPr>
              <w:spacing w:after="0"/>
              <w:rPr>
                <w:sz w:val="14"/>
                <w:szCs w:val="14"/>
                <w:color w:val="auto"/>
              </w:rPr>
            </w:pPr>
          </w:p>
        </w:tc>
        <w:tc>
          <w:tcPr>
            <w:tcW w:w="240" w:type="dxa"/>
            <w:vAlign w:val="bottom"/>
            <w:shd w:val="clear" w:color="auto" w:fill="F4F3F3"/>
          </w:tcPr>
          <w:p>
            <w:pPr>
              <w:spacing w:after="0"/>
              <w:rPr>
                <w:sz w:val="14"/>
                <w:szCs w:val="14"/>
                <w:color w:val="auto"/>
              </w:rPr>
            </w:pPr>
          </w:p>
        </w:tc>
        <w:tc>
          <w:tcPr>
            <w:tcW w:w="670" w:type="dxa"/>
            <w:vAlign w:val="bottom"/>
            <w:shd w:val="clear" w:color="auto" w:fill="F4F3F3"/>
          </w:tcPr>
          <w:p>
            <w:pPr>
              <w:spacing w:after="0"/>
              <w:rPr>
                <w:sz w:val="14"/>
                <w:szCs w:val="14"/>
                <w:color w:val="auto"/>
              </w:rPr>
            </w:pPr>
          </w:p>
        </w:tc>
        <w:tc>
          <w:tcPr>
            <w:tcW w:w="95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RSUs</w:t>
            </w:r>
          </w:p>
        </w:tc>
        <w:tc>
          <w:tcPr>
            <w:tcW w:w="220" w:type="dxa"/>
            <w:vAlign w:val="bottom"/>
            <w:shd w:val="clear" w:color="auto" w:fill="F4F3F3"/>
          </w:tcPr>
          <w:p>
            <w:pPr>
              <w:spacing w:after="0"/>
              <w:rPr>
                <w:sz w:val="14"/>
                <w:szCs w:val="14"/>
                <w:color w:val="auto"/>
              </w:rPr>
            </w:pPr>
          </w:p>
        </w:tc>
        <w:tc>
          <w:tcPr>
            <w:tcW w:w="840" w:type="dxa"/>
            <w:vAlign w:val="bottom"/>
            <w:shd w:val="clear" w:color="auto" w:fill="F4F3F3"/>
          </w:tcPr>
          <w:p>
            <w:pPr>
              <w:jc w:val="right"/>
              <w:ind w:right="391"/>
              <w:spacing w:after="0"/>
              <w:rPr>
                <w:sz w:val="20"/>
                <w:szCs w:val="20"/>
                <w:color w:val="auto"/>
              </w:rPr>
            </w:pPr>
            <w:r>
              <w:rPr>
                <w:rFonts w:ascii="Arial" w:cs="Arial" w:eastAsia="Arial" w:hAnsi="Arial"/>
                <w:sz w:val="14"/>
                <w:szCs w:val="14"/>
                <w:color w:val="auto"/>
              </w:rPr>
              <w:t>—</w:t>
            </w:r>
          </w:p>
        </w:tc>
        <w:tc>
          <w:tcPr>
            <w:tcW w:w="640" w:type="dxa"/>
            <w:vAlign w:val="bottom"/>
            <w:shd w:val="clear" w:color="auto" w:fill="F4F3F3"/>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F4F3F3"/>
          </w:tcPr>
          <w:p>
            <w:pPr>
              <w:jc w:val="right"/>
              <w:ind w:right="10"/>
              <w:spacing w:after="0"/>
              <w:rPr>
                <w:sz w:val="20"/>
                <w:szCs w:val="20"/>
                <w:color w:val="auto"/>
              </w:rPr>
            </w:pPr>
            <w:r>
              <w:rPr>
                <w:rFonts w:ascii="Arial" w:cs="Arial" w:eastAsia="Arial" w:hAnsi="Arial"/>
                <w:sz w:val="14"/>
                <w:szCs w:val="14"/>
                <w:color w:val="auto"/>
              </w:rPr>
              <w:t>—</w:t>
            </w:r>
          </w:p>
        </w:tc>
        <w:tc>
          <w:tcPr>
            <w:tcW w:w="1120" w:type="dxa"/>
            <w:vAlign w:val="bottom"/>
            <w:shd w:val="clear" w:color="auto" w:fill="F4F3F3"/>
          </w:tcPr>
          <w:p>
            <w:pPr>
              <w:spacing w:after="0"/>
              <w:rPr>
                <w:sz w:val="14"/>
                <w:szCs w:val="14"/>
                <w:color w:val="auto"/>
              </w:rPr>
            </w:pPr>
          </w:p>
        </w:tc>
        <w:tc>
          <w:tcPr>
            <w:tcW w:w="1240" w:type="dxa"/>
            <w:vAlign w:val="bottom"/>
            <w:shd w:val="clear" w:color="auto" w:fill="F4F3F3"/>
          </w:tcPr>
          <w:p>
            <w:pPr>
              <w:jc w:val="right"/>
              <w:ind w:right="350"/>
              <w:spacing w:after="0"/>
              <w:rPr>
                <w:sz w:val="20"/>
                <w:szCs w:val="20"/>
                <w:color w:val="auto"/>
              </w:rPr>
            </w:pPr>
            <w:r>
              <w:rPr>
                <w:rFonts w:ascii="Arial" w:cs="Arial" w:eastAsia="Arial" w:hAnsi="Arial"/>
                <w:sz w:val="14"/>
                <w:szCs w:val="14"/>
                <w:color w:val="auto"/>
              </w:rPr>
              <w:t>—</w:t>
            </w:r>
          </w:p>
        </w:tc>
        <w:tc>
          <w:tcPr>
            <w:tcW w:w="820" w:type="dxa"/>
            <w:vAlign w:val="bottom"/>
            <w:shd w:val="clear" w:color="auto" w:fill="F4F3F3"/>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11"/>
              <w:spacing w:after="0"/>
              <w:rPr>
                <w:sz w:val="20"/>
                <w:szCs w:val="20"/>
                <w:color w:val="auto"/>
              </w:rPr>
            </w:pPr>
            <w:r>
              <w:rPr>
                <w:rFonts w:ascii="Arial" w:cs="Arial" w:eastAsia="Arial" w:hAnsi="Arial"/>
                <w:sz w:val="14"/>
                <w:szCs w:val="14"/>
                <w:color w:val="auto"/>
              </w:rPr>
              <w:t>17,272(11)</w:t>
            </w:r>
          </w:p>
        </w:tc>
        <w:tc>
          <w:tcPr>
            <w:tcW w:w="100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2,344,329</w:t>
            </w:r>
          </w:p>
        </w:tc>
        <w:tc>
          <w:tcPr>
            <w:tcW w:w="0" w:type="dxa"/>
            <w:vAlign w:val="bottom"/>
          </w:tcPr>
          <w:p>
            <w:pPr>
              <w:spacing w:after="0"/>
              <w:rPr>
                <w:sz w:val="1"/>
                <w:szCs w:val="1"/>
                <w:color w:val="auto"/>
              </w:rPr>
            </w:pPr>
          </w:p>
        </w:tc>
      </w:tr>
      <w:tr>
        <w:trPr>
          <w:trHeight w:val="162"/>
        </w:trPr>
        <w:tc>
          <w:tcPr>
            <w:tcW w:w="1440" w:type="dxa"/>
            <w:vAlign w:val="bottom"/>
            <w:shd w:val="clear" w:color="auto" w:fill="F4F3F3"/>
          </w:tcPr>
          <w:p>
            <w:pPr>
              <w:spacing w:after="0"/>
              <w:rPr>
                <w:sz w:val="14"/>
                <w:szCs w:val="14"/>
                <w:color w:val="auto"/>
              </w:rPr>
            </w:pPr>
          </w:p>
        </w:tc>
        <w:tc>
          <w:tcPr>
            <w:tcW w:w="240" w:type="dxa"/>
            <w:vAlign w:val="bottom"/>
            <w:shd w:val="clear" w:color="auto" w:fill="F4F3F3"/>
          </w:tcPr>
          <w:p>
            <w:pPr>
              <w:spacing w:after="0"/>
              <w:rPr>
                <w:sz w:val="14"/>
                <w:szCs w:val="14"/>
                <w:color w:val="auto"/>
              </w:rPr>
            </w:pPr>
          </w:p>
        </w:tc>
        <w:tc>
          <w:tcPr>
            <w:tcW w:w="670" w:type="dxa"/>
            <w:vAlign w:val="bottom"/>
            <w:shd w:val="clear" w:color="auto" w:fill="F4F3F3"/>
          </w:tcPr>
          <w:p>
            <w:pPr>
              <w:spacing w:after="0"/>
              <w:rPr>
                <w:sz w:val="14"/>
                <w:szCs w:val="14"/>
                <w:color w:val="auto"/>
              </w:rPr>
            </w:pPr>
          </w:p>
        </w:tc>
        <w:tc>
          <w:tcPr>
            <w:tcW w:w="95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PSUs</w:t>
            </w:r>
          </w:p>
        </w:tc>
        <w:tc>
          <w:tcPr>
            <w:tcW w:w="220" w:type="dxa"/>
            <w:vAlign w:val="bottom"/>
            <w:shd w:val="clear" w:color="auto" w:fill="F4F3F3"/>
          </w:tcPr>
          <w:p>
            <w:pPr>
              <w:spacing w:after="0"/>
              <w:rPr>
                <w:sz w:val="14"/>
                <w:szCs w:val="14"/>
                <w:color w:val="auto"/>
              </w:rPr>
            </w:pPr>
          </w:p>
        </w:tc>
        <w:tc>
          <w:tcPr>
            <w:tcW w:w="840" w:type="dxa"/>
            <w:vAlign w:val="bottom"/>
            <w:shd w:val="clear" w:color="auto" w:fill="F4F3F3"/>
          </w:tcPr>
          <w:p>
            <w:pPr>
              <w:jc w:val="right"/>
              <w:ind w:right="391"/>
              <w:spacing w:after="0"/>
              <w:rPr>
                <w:sz w:val="20"/>
                <w:szCs w:val="20"/>
                <w:color w:val="auto"/>
              </w:rPr>
            </w:pPr>
            <w:r>
              <w:rPr>
                <w:rFonts w:ascii="Arial" w:cs="Arial" w:eastAsia="Arial" w:hAnsi="Arial"/>
                <w:sz w:val="14"/>
                <w:szCs w:val="14"/>
                <w:color w:val="auto"/>
              </w:rPr>
              <w:t>—</w:t>
            </w:r>
          </w:p>
        </w:tc>
        <w:tc>
          <w:tcPr>
            <w:tcW w:w="640" w:type="dxa"/>
            <w:vAlign w:val="bottom"/>
            <w:shd w:val="clear" w:color="auto" w:fill="F4F3F3"/>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F4F3F3"/>
          </w:tcPr>
          <w:p>
            <w:pPr>
              <w:jc w:val="right"/>
              <w:ind w:right="10"/>
              <w:spacing w:after="0"/>
              <w:rPr>
                <w:sz w:val="20"/>
                <w:szCs w:val="20"/>
                <w:color w:val="auto"/>
              </w:rPr>
            </w:pPr>
            <w:r>
              <w:rPr>
                <w:rFonts w:ascii="Arial" w:cs="Arial" w:eastAsia="Arial" w:hAnsi="Arial"/>
                <w:sz w:val="14"/>
                <w:szCs w:val="14"/>
                <w:color w:val="auto"/>
              </w:rPr>
              <w:t>—</w:t>
            </w:r>
          </w:p>
        </w:tc>
        <w:tc>
          <w:tcPr>
            <w:tcW w:w="1120" w:type="dxa"/>
            <w:vAlign w:val="bottom"/>
            <w:shd w:val="clear" w:color="auto" w:fill="F4F3F3"/>
          </w:tcPr>
          <w:p>
            <w:pPr>
              <w:spacing w:after="0"/>
              <w:rPr>
                <w:sz w:val="14"/>
                <w:szCs w:val="14"/>
                <w:color w:val="auto"/>
              </w:rPr>
            </w:pPr>
          </w:p>
        </w:tc>
        <w:tc>
          <w:tcPr>
            <w:tcW w:w="1240" w:type="dxa"/>
            <w:vAlign w:val="bottom"/>
            <w:shd w:val="clear" w:color="auto" w:fill="F4F3F3"/>
          </w:tcPr>
          <w:p>
            <w:pPr>
              <w:jc w:val="right"/>
              <w:ind w:right="350"/>
              <w:spacing w:after="0"/>
              <w:rPr>
                <w:sz w:val="20"/>
                <w:szCs w:val="20"/>
                <w:color w:val="auto"/>
              </w:rPr>
            </w:pPr>
            <w:r>
              <w:rPr>
                <w:rFonts w:ascii="Arial" w:cs="Arial" w:eastAsia="Arial" w:hAnsi="Arial"/>
                <w:sz w:val="14"/>
                <w:szCs w:val="14"/>
                <w:color w:val="auto"/>
              </w:rPr>
              <w:t>—</w:t>
            </w:r>
          </w:p>
        </w:tc>
        <w:tc>
          <w:tcPr>
            <w:tcW w:w="820" w:type="dxa"/>
            <w:vAlign w:val="bottom"/>
            <w:shd w:val="clear" w:color="auto" w:fill="F4F3F3"/>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71"/>
              <w:spacing w:after="0"/>
              <w:rPr>
                <w:sz w:val="20"/>
                <w:szCs w:val="20"/>
                <w:color w:val="auto"/>
              </w:rPr>
            </w:pPr>
            <w:r>
              <w:rPr>
                <w:rFonts w:ascii="Arial" w:cs="Arial" w:eastAsia="Arial" w:hAnsi="Arial"/>
                <w:sz w:val="14"/>
                <w:szCs w:val="14"/>
                <w:color w:val="auto"/>
              </w:rPr>
              <w:t>8,976(5)</w:t>
            </w:r>
          </w:p>
        </w:tc>
        <w:tc>
          <w:tcPr>
            <w:tcW w:w="100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1,218,312</w:t>
            </w:r>
          </w:p>
        </w:tc>
        <w:tc>
          <w:tcPr>
            <w:tcW w:w="0" w:type="dxa"/>
            <w:vAlign w:val="bottom"/>
          </w:tcPr>
          <w:p>
            <w:pPr>
              <w:spacing w:after="0"/>
              <w:rPr>
                <w:sz w:val="1"/>
                <w:szCs w:val="1"/>
                <w:color w:val="auto"/>
              </w:rPr>
            </w:pPr>
          </w:p>
        </w:tc>
      </w:tr>
      <w:tr>
        <w:trPr>
          <w:trHeight w:val="162"/>
        </w:trPr>
        <w:tc>
          <w:tcPr>
            <w:tcW w:w="1440" w:type="dxa"/>
            <w:vAlign w:val="bottom"/>
            <w:shd w:val="clear" w:color="auto" w:fill="F4F3F3"/>
          </w:tcPr>
          <w:p>
            <w:pPr>
              <w:spacing w:after="0"/>
              <w:rPr>
                <w:sz w:val="14"/>
                <w:szCs w:val="14"/>
                <w:color w:val="auto"/>
              </w:rPr>
            </w:pPr>
          </w:p>
        </w:tc>
        <w:tc>
          <w:tcPr>
            <w:tcW w:w="240" w:type="dxa"/>
            <w:vAlign w:val="bottom"/>
            <w:shd w:val="clear" w:color="auto" w:fill="F4F3F3"/>
          </w:tcPr>
          <w:p>
            <w:pPr>
              <w:spacing w:after="0"/>
              <w:rPr>
                <w:sz w:val="14"/>
                <w:szCs w:val="14"/>
                <w:color w:val="auto"/>
              </w:rPr>
            </w:pPr>
          </w:p>
        </w:tc>
        <w:tc>
          <w:tcPr>
            <w:tcW w:w="670" w:type="dxa"/>
            <w:vAlign w:val="bottom"/>
            <w:shd w:val="clear" w:color="auto" w:fill="F4F3F3"/>
          </w:tcPr>
          <w:p>
            <w:pPr>
              <w:spacing w:after="0"/>
              <w:rPr>
                <w:sz w:val="14"/>
                <w:szCs w:val="14"/>
                <w:color w:val="auto"/>
              </w:rPr>
            </w:pPr>
          </w:p>
        </w:tc>
        <w:tc>
          <w:tcPr>
            <w:tcW w:w="95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PSUs</w:t>
            </w:r>
          </w:p>
        </w:tc>
        <w:tc>
          <w:tcPr>
            <w:tcW w:w="220" w:type="dxa"/>
            <w:vAlign w:val="bottom"/>
            <w:shd w:val="clear" w:color="auto" w:fill="F4F3F3"/>
          </w:tcPr>
          <w:p>
            <w:pPr>
              <w:spacing w:after="0"/>
              <w:rPr>
                <w:sz w:val="14"/>
                <w:szCs w:val="14"/>
                <w:color w:val="auto"/>
              </w:rPr>
            </w:pPr>
          </w:p>
        </w:tc>
        <w:tc>
          <w:tcPr>
            <w:tcW w:w="840" w:type="dxa"/>
            <w:vAlign w:val="bottom"/>
            <w:shd w:val="clear" w:color="auto" w:fill="F4F3F3"/>
          </w:tcPr>
          <w:p>
            <w:pPr>
              <w:jc w:val="right"/>
              <w:ind w:right="391"/>
              <w:spacing w:after="0"/>
              <w:rPr>
                <w:sz w:val="20"/>
                <w:szCs w:val="20"/>
                <w:color w:val="auto"/>
              </w:rPr>
            </w:pPr>
            <w:r>
              <w:rPr>
                <w:rFonts w:ascii="Arial" w:cs="Arial" w:eastAsia="Arial" w:hAnsi="Arial"/>
                <w:sz w:val="14"/>
                <w:szCs w:val="14"/>
                <w:color w:val="auto"/>
              </w:rPr>
              <w:t>—</w:t>
            </w:r>
          </w:p>
        </w:tc>
        <w:tc>
          <w:tcPr>
            <w:tcW w:w="640" w:type="dxa"/>
            <w:vAlign w:val="bottom"/>
            <w:shd w:val="clear" w:color="auto" w:fill="F4F3F3"/>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F4F3F3"/>
          </w:tcPr>
          <w:p>
            <w:pPr>
              <w:jc w:val="right"/>
              <w:ind w:right="10"/>
              <w:spacing w:after="0"/>
              <w:rPr>
                <w:sz w:val="20"/>
                <w:szCs w:val="20"/>
                <w:color w:val="auto"/>
              </w:rPr>
            </w:pPr>
            <w:r>
              <w:rPr>
                <w:rFonts w:ascii="Arial" w:cs="Arial" w:eastAsia="Arial" w:hAnsi="Arial"/>
                <w:sz w:val="14"/>
                <w:szCs w:val="14"/>
                <w:color w:val="auto"/>
              </w:rPr>
              <w:t>—</w:t>
            </w:r>
          </w:p>
        </w:tc>
        <w:tc>
          <w:tcPr>
            <w:tcW w:w="1120" w:type="dxa"/>
            <w:vAlign w:val="bottom"/>
            <w:shd w:val="clear" w:color="auto" w:fill="F4F3F3"/>
          </w:tcPr>
          <w:p>
            <w:pPr>
              <w:spacing w:after="0"/>
              <w:rPr>
                <w:sz w:val="14"/>
                <w:szCs w:val="14"/>
                <w:color w:val="auto"/>
              </w:rPr>
            </w:pPr>
          </w:p>
        </w:tc>
        <w:tc>
          <w:tcPr>
            <w:tcW w:w="1240" w:type="dxa"/>
            <w:vAlign w:val="bottom"/>
            <w:shd w:val="clear" w:color="auto" w:fill="F4F3F3"/>
          </w:tcPr>
          <w:p>
            <w:pPr>
              <w:jc w:val="right"/>
              <w:ind w:right="350"/>
              <w:spacing w:after="0"/>
              <w:rPr>
                <w:sz w:val="20"/>
                <w:szCs w:val="20"/>
                <w:color w:val="auto"/>
              </w:rPr>
            </w:pPr>
            <w:r>
              <w:rPr>
                <w:rFonts w:ascii="Arial" w:cs="Arial" w:eastAsia="Arial" w:hAnsi="Arial"/>
                <w:sz w:val="14"/>
                <w:szCs w:val="14"/>
                <w:color w:val="auto"/>
              </w:rPr>
              <w:t>—</w:t>
            </w:r>
          </w:p>
        </w:tc>
        <w:tc>
          <w:tcPr>
            <w:tcW w:w="820" w:type="dxa"/>
            <w:vAlign w:val="bottom"/>
            <w:shd w:val="clear" w:color="auto" w:fill="F4F3F3"/>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71"/>
              <w:spacing w:after="0"/>
              <w:rPr>
                <w:sz w:val="20"/>
                <w:szCs w:val="20"/>
                <w:color w:val="auto"/>
              </w:rPr>
            </w:pPr>
            <w:r>
              <w:rPr>
                <w:rFonts w:ascii="Arial" w:cs="Arial" w:eastAsia="Arial" w:hAnsi="Arial"/>
                <w:sz w:val="14"/>
                <w:szCs w:val="14"/>
                <w:color w:val="auto"/>
              </w:rPr>
              <w:t>28,803(6)</w:t>
            </w:r>
          </w:p>
        </w:tc>
        <w:tc>
          <w:tcPr>
            <w:tcW w:w="100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3,909,431</w:t>
            </w:r>
          </w:p>
        </w:tc>
        <w:tc>
          <w:tcPr>
            <w:tcW w:w="0" w:type="dxa"/>
            <w:vAlign w:val="bottom"/>
          </w:tcPr>
          <w:p>
            <w:pPr>
              <w:spacing w:after="0"/>
              <w:rPr>
                <w:sz w:val="1"/>
                <w:szCs w:val="1"/>
                <w:color w:val="auto"/>
              </w:rPr>
            </w:pPr>
          </w:p>
        </w:tc>
      </w:tr>
      <w:tr>
        <w:trPr>
          <w:trHeight w:val="189"/>
        </w:trPr>
        <w:tc>
          <w:tcPr>
            <w:tcW w:w="1440" w:type="dxa"/>
            <w:vAlign w:val="bottom"/>
            <w:shd w:val="clear" w:color="auto" w:fill="F4F3F3"/>
          </w:tcPr>
          <w:p>
            <w:pPr>
              <w:spacing w:after="0"/>
              <w:rPr>
                <w:sz w:val="16"/>
                <w:szCs w:val="16"/>
                <w:color w:val="auto"/>
              </w:rPr>
            </w:pPr>
          </w:p>
        </w:tc>
        <w:tc>
          <w:tcPr>
            <w:tcW w:w="240" w:type="dxa"/>
            <w:vAlign w:val="bottom"/>
            <w:shd w:val="clear" w:color="auto" w:fill="F4F3F3"/>
          </w:tcPr>
          <w:p>
            <w:pPr>
              <w:spacing w:after="0"/>
              <w:rPr>
                <w:sz w:val="16"/>
                <w:szCs w:val="16"/>
                <w:color w:val="auto"/>
              </w:rPr>
            </w:pPr>
          </w:p>
        </w:tc>
        <w:tc>
          <w:tcPr>
            <w:tcW w:w="670" w:type="dxa"/>
            <w:vAlign w:val="bottom"/>
            <w:shd w:val="clear" w:color="auto" w:fill="F4F3F3"/>
          </w:tcPr>
          <w:p>
            <w:pPr>
              <w:spacing w:after="0"/>
              <w:rPr>
                <w:sz w:val="16"/>
                <w:szCs w:val="16"/>
                <w:color w:val="auto"/>
              </w:rPr>
            </w:pPr>
          </w:p>
        </w:tc>
        <w:tc>
          <w:tcPr>
            <w:tcW w:w="950" w:type="dxa"/>
            <w:vAlign w:val="bottom"/>
            <w:shd w:val="clear" w:color="auto" w:fill="F4F3F3"/>
          </w:tcPr>
          <w:p>
            <w:pPr>
              <w:ind w:left="10"/>
              <w:spacing w:after="0"/>
              <w:rPr>
                <w:sz w:val="20"/>
                <w:szCs w:val="20"/>
                <w:color w:val="auto"/>
              </w:rPr>
            </w:pPr>
            <w:r>
              <w:rPr>
                <w:rFonts w:ascii="Arial" w:cs="Arial" w:eastAsia="Arial" w:hAnsi="Arial"/>
                <w:sz w:val="14"/>
                <w:szCs w:val="14"/>
                <w:color w:val="auto"/>
              </w:rPr>
              <w:t>MAR PSUs</w:t>
            </w:r>
          </w:p>
        </w:tc>
        <w:tc>
          <w:tcPr>
            <w:tcW w:w="220" w:type="dxa"/>
            <w:vAlign w:val="bottom"/>
            <w:shd w:val="clear" w:color="auto" w:fill="F4F3F3"/>
          </w:tcPr>
          <w:p>
            <w:pPr>
              <w:spacing w:after="0"/>
              <w:rPr>
                <w:sz w:val="16"/>
                <w:szCs w:val="16"/>
                <w:color w:val="auto"/>
              </w:rPr>
            </w:pPr>
          </w:p>
        </w:tc>
        <w:tc>
          <w:tcPr>
            <w:tcW w:w="840" w:type="dxa"/>
            <w:vAlign w:val="bottom"/>
            <w:shd w:val="clear" w:color="auto" w:fill="F4F3F3"/>
          </w:tcPr>
          <w:p>
            <w:pPr>
              <w:jc w:val="right"/>
              <w:ind w:right="391"/>
              <w:spacing w:after="0"/>
              <w:rPr>
                <w:sz w:val="20"/>
                <w:szCs w:val="20"/>
                <w:color w:val="auto"/>
              </w:rPr>
            </w:pPr>
            <w:r>
              <w:rPr>
                <w:rFonts w:ascii="Arial" w:cs="Arial" w:eastAsia="Arial" w:hAnsi="Arial"/>
                <w:sz w:val="14"/>
                <w:szCs w:val="14"/>
                <w:color w:val="auto"/>
              </w:rPr>
              <w:t>—</w:t>
            </w:r>
          </w:p>
        </w:tc>
        <w:tc>
          <w:tcPr>
            <w:tcW w:w="640" w:type="dxa"/>
            <w:vAlign w:val="bottom"/>
            <w:shd w:val="clear" w:color="auto" w:fill="F4F3F3"/>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F4F3F3"/>
          </w:tcPr>
          <w:p>
            <w:pPr>
              <w:jc w:val="right"/>
              <w:ind w:right="10"/>
              <w:spacing w:after="0"/>
              <w:rPr>
                <w:sz w:val="20"/>
                <w:szCs w:val="20"/>
                <w:color w:val="auto"/>
              </w:rPr>
            </w:pPr>
            <w:r>
              <w:rPr>
                <w:rFonts w:ascii="Arial" w:cs="Arial" w:eastAsia="Arial" w:hAnsi="Arial"/>
                <w:sz w:val="14"/>
                <w:szCs w:val="14"/>
                <w:color w:val="auto"/>
              </w:rPr>
              <w:t>—</w:t>
            </w:r>
          </w:p>
        </w:tc>
        <w:tc>
          <w:tcPr>
            <w:tcW w:w="1120" w:type="dxa"/>
            <w:vAlign w:val="bottom"/>
            <w:shd w:val="clear" w:color="auto" w:fill="F4F3F3"/>
          </w:tcPr>
          <w:p>
            <w:pPr>
              <w:spacing w:after="0"/>
              <w:rPr>
                <w:sz w:val="16"/>
                <w:szCs w:val="16"/>
                <w:color w:val="auto"/>
              </w:rPr>
            </w:pPr>
          </w:p>
        </w:tc>
        <w:tc>
          <w:tcPr>
            <w:tcW w:w="1240" w:type="dxa"/>
            <w:vAlign w:val="bottom"/>
            <w:shd w:val="clear" w:color="auto" w:fill="F4F3F3"/>
          </w:tcPr>
          <w:p>
            <w:pPr>
              <w:jc w:val="right"/>
              <w:ind w:right="350"/>
              <w:spacing w:after="0"/>
              <w:rPr>
                <w:sz w:val="20"/>
                <w:szCs w:val="20"/>
                <w:color w:val="auto"/>
              </w:rPr>
            </w:pPr>
            <w:r>
              <w:rPr>
                <w:rFonts w:ascii="Arial" w:cs="Arial" w:eastAsia="Arial" w:hAnsi="Arial"/>
                <w:sz w:val="14"/>
                <w:szCs w:val="14"/>
                <w:color w:val="auto"/>
              </w:rPr>
              <w:t>—</w:t>
            </w:r>
          </w:p>
        </w:tc>
        <w:tc>
          <w:tcPr>
            <w:tcW w:w="820" w:type="dxa"/>
            <w:vAlign w:val="bottom"/>
            <w:shd w:val="clear" w:color="auto" w:fill="F4F3F3"/>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3F3"/>
          </w:tcPr>
          <w:p>
            <w:pPr>
              <w:jc w:val="right"/>
              <w:ind w:right="71"/>
              <w:spacing w:after="0"/>
              <w:rPr>
                <w:sz w:val="20"/>
                <w:szCs w:val="20"/>
                <w:color w:val="auto"/>
              </w:rPr>
            </w:pPr>
            <w:r>
              <w:rPr>
                <w:rFonts w:ascii="Arial" w:cs="Arial" w:eastAsia="Arial" w:hAnsi="Arial"/>
                <w:sz w:val="14"/>
                <w:szCs w:val="14"/>
                <w:color w:val="auto"/>
              </w:rPr>
              <w:t>11,778(7)</w:t>
            </w:r>
          </w:p>
        </w:tc>
        <w:tc>
          <w:tcPr>
            <w:tcW w:w="100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1,598,628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-2689225</wp:posOffset>
            </wp:positionV>
            <wp:extent cx="6989445" cy="26898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89445" cy="2689860"/>
                    </a:xfrm>
                    <a:prstGeom prst="rect">
                      <a:avLst/>
                    </a:prstGeom>
                    <a:noFill/>
                  </pic:spPr>
                </pic:pic>
              </a:graphicData>
            </a:graphic>
          </wp:anchor>
        </w:drawing>
      </w:r>
    </w:p>
    <w:p>
      <w:pPr>
        <w:spacing w:after="0" w:line="210" w:lineRule="exact"/>
        <w:rPr>
          <w:sz w:val="20"/>
          <w:szCs w:val="20"/>
          <w:color w:val="auto"/>
        </w:rPr>
      </w:pPr>
    </w:p>
    <w:p>
      <w:pPr>
        <w:ind w:left="420" w:right="100" w:hanging="210"/>
        <w:spacing w:after="0" w:line="202" w:lineRule="auto"/>
        <w:tabs>
          <w:tab w:leader="none" w:pos="420" w:val="left"/>
        </w:tabs>
        <w:numPr>
          <w:ilvl w:val="0"/>
          <w:numId w:val="113"/>
        </w:numPr>
        <w:rPr>
          <w:rFonts w:ascii="Arial" w:cs="Arial" w:eastAsia="Arial" w:hAnsi="Arial"/>
          <w:sz w:val="24"/>
          <w:szCs w:val="24"/>
          <w:color w:val="333333"/>
          <w:vertAlign w:val="superscript"/>
        </w:rPr>
      </w:pPr>
      <w:r>
        <w:rPr>
          <w:rFonts w:ascii="Arial" w:cs="Arial" w:eastAsia="Arial" w:hAnsi="Arial"/>
          <w:sz w:val="14"/>
          <w:szCs w:val="14"/>
          <w:color w:val="333333"/>
        </w:rPr>
        <w:t>Marriott Vacations Worldwide (“MVW”) SARs resulted from adjustments to the Company SARs to reflect the spin-off of the Company’s timeshare business in 2011. The Intrinsic Value figures for the MVW SARs are based on the closing price of MVW’s common stock (traded on the New York Stock Exchange under ticker symbol VAC) as of December 29, 2017, which was $135.21.</w:t>
      </w:r>
    </w:p>
    <w:p>
      <w:pPr>
        <w:ind w:left="420" w:hanging="210"/>
        <w:spacing w:after="0" w:line="187" w:lineRule="auto"/>
        <w:tabs>
          <w:tab w:leader="none" w:pos="420" w:val="left"/>
        </w:tabs>
        <w:numPr>
          <w:ilvl w:val="0"/>
          <w:numId w:val="113"/>
        </w:numPr>
        <w:rPr>
          <w:rFonts w:ascii="Arial" w:cs="Arial" w:eastAsia="Arial" w:hAnsi="Arial"/>
          <w:sz w:val="18"/>
          <w:szCs w:val="18"/>
          <w:color w:val="333333"/>
          <w:vertAlign w:val="superscript"/>
        </w:rPr>
      </w:pPr>
      <w:r>
        <w:rPr>
          <w:rFonts w:ascii="Arial" w:cs="Arial" w:eastAsia="Arial" w:hAnsi="Arial"/>
          <w:sz w:val="11"/>
          <w:szCs w:val="11"/>
          <w:color w:val="333333"/>
        </w:rPr>
        <w:t>SARs are exercisable in 33% increments on each of the first, second, and third anniversary of the grant date.</w:t>
      </w:r>
    </w:p>
    <w:p>
      <w:pPr>
        <w:ind w:left="420" w:hanging="210"/>
        <w:spacing w:after="0" w:line="187" w:lineRule="auto"/>
        <w:tabs>
          <w:tab w:leader="none" w:pos="420" w:val="left"/>
        </w:tabs>
        <w:numPr>
          <w:ilvl w:val="0"/>
          <w:numId w:val="113"/>
        </w:numPr>
        <w:rPr>
          <w:rFonts w:ascii="Arial" w:cs="Arial" w:eastAsia="Arial" w:hAnsi="Arial"/>
          <w:sz w:val="18"/>
          <w:szCs w:val="18"/>
          <w:color w:val="333333"/>
          <w:vertAlign w:val="superscript"/>
        </w:rPr>
      </w:pPr>
      <w:r>
        <w:rPr>
          <w:rFonts w:ascii="Arial" w:cs="Arial" w:eastAsia="Arial" w:hAnsi="Arial"/>
          <w:sz w:val="11"/>
          <w:szCs w:val="11"/>
          <w:color w:val="333333"/>
        </w:rPr>
        <w:t>These RSUs are scheduled to vest as follows, 25,115 on February 15, 2018; 17,050 on February 15, 2019; 7,078 on February 15, 2020.</w:t>
      </w:r>
    </w:p>
    <w:p>
      <w:pPr>
        <w:ind w:left="420" w:hanging="210"/>
        <w:spacing w:after="0" w:line="187" w:lineRule="auto"/>
        <w:tabs>
          <w:tab w:leader="none" w:pos="420" w:val="left"/>
        </w:tabs>
        <w:numPr>
          <w:ilvl w:val="0"/>
          <w:numId w:val="113"/>
        </w:numPr>
        <w:rPr>
          <w:rFonts w:ascii="Arial" w:cs="Arial" w:eastAsia="Arial" w:hAnsi="Arial"/>
          <w:sz w:val="18"/>
          <w:szCs w:val="18"/>
          <w:color w:val="333333"/>
          <w:vertAlign w:val="superscript"/>
        </w:rPr>
      </w:pPr>
      <w:r>
        <w:rPr>
          <w:rFonts w:ascii="Arial" w:cs="Arial" w:eastAsia="Arial" w:hAnsi="Arial"/>
          <w:sz w:val="11"/>
          <w:szCs w:val="11"/>
          <w:color w:val="333333"/>
        </w:rPr>
        <w:t>These PSUs are Equity Incentive Plan Awards that have not been earned and will vest on February 15, 2018, pending performance results and continued service.</w:t>
      </w:r>
    </w:p>
    <w:p>
      <w:pPr>
        <w:ind w:left="420" w:hanging="210"/>
        <w:spacing w:after="0" w:line="187" w:lineRule="auto"/>
        <w:tabs>
          <w:tab w:leader="none" w:pos="420" w:val="left"/>
        </w:tabs>
        <w:numPr>
          <w:ilvl w:val="0"/>
          <w:numId w:val="113"/>
        </w:numPr>
        <w:rPr>
          <w:rFonts w:ascii="Arial" w:cs="Arial" w:eastAsia="Arial" w:hAnsi="Arial"/>
          <w:sz w:val="18"/>
          <w:szCs w:val="18"/>
          <w:color w:val="333333"/>
          <w:vertAlign w:val="superscript"/>
        </w:rPr>
      </w:pPr>
      <w:r>
        <w:rPr>
          <w:rFonts w:ascii="Arial" w:cs="Arial" w:eastAsia="Arial" w:hAnsi="Arial"/>
          <w:sz w:val="11"/>
          <w:szCs w:val="11"/>
          <w:color w:val="333333"/>
        </w:rPr>
        <w:t>These PSUs are Equity Incentive Plan Awards that have not been earned and will vest on February 15, 2019, pending performance results and continued service.</w:t>
      </w:r>
    </w:p>
    <w:p>
      <w:pPr>
        <w:ind w:left="420" w:hanging="210"/>
        <w:spacing w:after="0" w:line="187" w:lineRule="auto"/>
        <w:tabs>
          <w:tab w:leader="none" w:pos="420" w:val="left"/>
        </w:tabs>
        <w:numPr>
          <w:ilvl w:val="0"/>
          <w:numId w:val="113"/>
        </w:numPr>
        <w:rPr>
          <w:rFonts w:ascii="Arial" w:cs="Arial" w:eastAsia="Arial" w:hAnsi="Arial"/>
          <w:sz w:val="18"/>
          <w:szCs w:val="18"/>
          <w:color w:val="333333"/>
          <w:vertAlign w:val="superscript"/>
        </w:rPr>
      </w:pPr>
      <w:r>
        <w:rPr>
          <w:rFonts w:ascii="Arial" w:cs="Arial" w:eastAsia="Arial" w:hAnsi="Arial"/>
          <w:sz w:val="11"/>
          <w:szCs w:val="11"/>
          <w:color w:val="333333"/>
        </w:rPr>
        <w:t>These PSUs are Equity Incentive Plan Awards that have not been earned and will vest on May 15, 2019, pending performance results and continued service.</w:t>
      </w:r>
    </w:p>
    <w:p>
      <w:pPr>
        <w:ind w:left="420" w:hanging="210"/>
        <w:spacing w:after="0" w:line="187" w:lineRule="auto"/>
        <w:tabs>
          <w:tab w:leader="none" w:pos="420" w:val="left"/>
        </w:tabs>
        <w:numPr>
          <w:ilvl w:val="0"/>
          <w:numId w:val="113"/>
        </w:numPr>
        <w:rPr>
          <w:rFonts w:ascii="Arial" w:cs="Arial" w:eastAsia="Arial" w:hAnsi="Arial"/>
          <w:sz w:val="18"/>
          <w:szCs w:val="18"/>
          <w:color w:val="333333"/>
          <w:vertAlign w:val="superscript"/>
        </w:rPr>
      </w:pPr>
      <w:r>
        <w:rPr>
          <w:rFonts w:ascii="Arial" w:cs="Arial" w:eastAsia="Arial" w:hAnsi="Arial"/>
          <w:sz w:val="11"/>
          <w:szCs w:val="11"/>
          <w:color w:val="333333"/>
        </w:rPr>
        <w:t>These PSUs are Equity Incentive Plan Awards that have not been earned and will vest on February 15, 2020, pending performance results and continued service.</w:t>
      </w:r>
    </w:p>
    <w:p>
      <w:pPr>
        <w:ind w:left="420" w:hanging="210"/>
        <w:spacing w:after="0" w:line="187" w:lineRule="auto"/>
        <w:tabs>
          <w:tab w:leader="none" w:pos="420" w:val="left"/>
        </w:tabs>
        <w:numPr>
          <w:ilvl w:val="0"/>
          <w:numId w:val="113"/>
        </w:numPr>
        <w:rPr>
          <w:rFonts w:ascii="Arial" w:cs="Arial" w:eastAsia="Arial" w:hAnsi="Arial"/>
          <w:sz w:val="18"/>
          <w:szCs w:val="18"/>
          <w:color w:val="333333"/>
          <w:vertAlign w:val="superscript"/>
        </w:rPr>
      </w:pPr>
      <w:r>
        <w:rPr>
          <w:rFonts w:ascii="Arial" w:cs="Arial" w:eastAsia="Arial" w:hAnsi="Arial"/>
          <w:sz w:val="11"/>
          <w:szCs w:val="11"/>
          <w:color w:val="333333"/>
        </w:rPr>
        <w:t>These RSUs are scheduled to vest as follows, 20,107 on February 15, 2018; 22,123 on February 15, 2019; 13,927 on February 15, 2020.</w:t>
      </w:r>
    </w:p>
    <w:p>
      <w:pPr>
        <w:ind w:left="420" w:hanging="210"/>
        <w:spacing w:after="0" w:line="187" w:lineRule="auto"/>
        <w:tabs>
          <w:tab w:leader="none" w:pos="420" w:val="left"/>
        </w:tabs>
        <w:numPr>
          <w:ilvl w:val="0"/>
          <w:numId w:val="113"/>
        </w:numPr>
        <w:rPr>
          <w:rFonts w:ascii="Arial" w:cs="Arial" w:eastAsia="Arial" w:hAnsi="Arial"/>
          <w:sz w:val="18"/>
          <w:szCs w:val="18"/>
          <w:color w:val="333333"/>
          <w:vertAlign w:val="superscript"/>
        </w:rPr>
      </w:pPr>
      <w:r>
        <w:rPr>
          <w:rFonts w:ascii="Arial" w:cs="Arial" w:eastAsia="Arial" w:hAnsi="Arial"/>
          <w:sz w:val="11"/>
          <w:szCs w:val="11"/>
          <w:color w:val="333333"/>
        </w:rPr>
        <w:t>These RSUs are scheduled to vest as follows, 8,233 on February 15, 2018; 6,552 on February 15, 2019; 3,228 on February 15, 2020.</w:t>
      </w:r>
    </w:p>
    <w:p>
      <w:pPr>
        <w:ind w:left="480" w:hanging="270"/>
        <w:spacing w:after="0" w:line="187" w:lineRule="auto"/>
        <w:tabs>
          <w:tab w:leader="none" w:pos="480" w:val="left"/>
        </w:tabs>
        <w:numPr>
          <w:ilvl w:val="0"/>
          <w:numId w:val="113"/>
        </w:numPr>
        <w:rPr>
          <w:rFonts w:ascii="Arial" w:cs="Arial" w:eastAsia="Arial" w:hAnsi="Arial"/>
          <w:sz w:val="18"/>
          <w:szCs w:val="18"/>
          <w:color w:val="333333"/>
          <w:vertAlign w:val="superscript"/>
        </w:rPr>
      </w:pPr>
      <w:r>
        <w:rPr>
          <w:rFonts w:ascii="Arial" w:cs="Arial" w:eastAsia="Arial" w:hAnsi="Arial"/>
          <w:sz w:val="11"/>
          <w:szCs w:val="11"/>
          <w:color w:val="333333"/>
        </w:rPr>
        <w:t>These RSUs are scheduled to vest as follows, 10,542 on February 15, 2018; 7,383 on February 15, 2019; 3,228 on February 15, 2020.</w:t>
      </w:r>
    </w:p>
    <w:p>
      <w:pPr>
        <w:ind w:left="460" w:hanging="250"/>
        <w:spacing w:after="0" w:line="183" w:lineRule="auto"/>
        <w:tabs>
          <w:tab w:leader="none" w:pos="460" w:val="left"/>
        </w:tabs>
        <w:numPr>
          <w:ilvl w:val="0"/>
          <w:numId w:val="113"/>
        </w:numPr>
        <w:rPr>
          <w:rFonts w:ascii="Arial" w:cs="Arial" w:eastAsia="Arial" w:hAnsi="Arial"/>
          <w:sz w:val="20"/>
          <w:szCs w:val="20"/>
          <w:color w:val="333333"/>
          <w:vertAlign w:val="superscript"/>
        </w:rPr>
      </w:pPr>
      <w:r>
        <w:rPr>
          <w:rFonts w:ascii="Arial" w:cs="Arial" w:eastAsia="Arial" w:hAnsi="Arial"/>
          <w:sz w:val="12"/>
          <w:szCs w:val="12"/>
          <w:color w:val="333333"/>
        </w:rPr>
        <w:t>These RSUs are scheduled to vest as follows, 7,633 on February 15, 2018; 6,694 on February 15, 2019; 2,945 on February 15, 2020.</w:t>
      </w:r>
    </w:p>
    <w:p>
      <w:pPr>
        <w:spacing w:after="0" w:line="127" w:lineRule="exact"/>
        <w:rPr>
          <w:sz w:val="20"/>
          <w:szCs w:val="20"/>
          <w:color w:val="auto"/>
        </w:rPr>
      </w:pPr>
    </w:p>
    <w:tbl>
      <w:tblPr>
        <w:tblLayout w:type="fixed"/>
        <w:tblInd w:w="9180" w:type="dxa"/>
        <w:tblCellMar>
          <w:top w:w="0" w:type="dxa"/>
          <w:left w:w="0" w:type="dxa"/>
          <w:bottom w:w="0" w:type="dxa"/>
          <w:right w:w="0" w:type="dxa"/>
        </w:tblCellMar>
      </w:tblPr>
      <w:tr>
        <w:trPr>
          <w:trHeight w:val="214"/>
        </w:trPr>
        <w:tc>
          <w:tcPr>
            <w:tcW w:w="1660" w:type="dxa"/>
            <w:vAlign w:val="bottom"/>
          </w:tcPr>
          <w:p>
            <w:pPr>
              <w:spacing w:after="0"/>
              <w:rPr>
                <w:sz w:val="20"/>
                <w:szCs w:val="20"/>
                <w:color w:val="auto"/>
              </w:rPr>
            </w:pPr>
            <w:r>
              <w:rPr>
                <w:rFonts w:ascii="Arial" w:cs="Arial" w:eastAsia="Arial" w:hAnsi="Arial"/>
                <w:sz w:val="15"/>
                <w:szCs w:val="15"/>
                <w:color w:val="998C87"/>
              </w:rPr>
              <w:t>2018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51</w:t>
            </w:r>
          </w:p>
        </w:tc>
      </w:tr>
    </w:tbl>
    <w:p>
      <w:pPr>
        <w:sectPr>
          <w:pgSz w:w="11900" w:h="16838" w:orient="portrait"/>
          <w:cols w:equalWidth="0" w:num="1">
            <w:col w:w="11220"/>
          </w:cols>
          <w:pgMar w:left="240" w:top="455" w:right="4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SAR Exercises and Stock Vested During Fiscal 2017</w:t>
      </w:r>
    </w:p>
    <w:p>
      <w:pPr>
        <w:spacing w:after="0" w:line="211" w:lineRule="exact"/>
        <w:rPr>
          <w:sz w:val="20"/>
          <w:szCs w:val="20"/>
          <w:color w:val="auto"/>
        </w:rPr>
      </w:pPr>
    </w:p>
    <w:p>
      <w:pPr>
        <w:ind w:left="220" w:right="260"/>
        <w:spacing w:after="0" w:line="274" w:lineRule="auto"/>
        <w:rPr>
          <w:sz w:val="20"/>
          <w:szCs w:val="20"/>
          <w:color w:val="auto"/>
        </w:rPr>
      </w:pPr>
      <w:r>
        <w:rPr>
          <w:rFonts w:ascii="Arial" w:cs="Arial" w:eastAsia="Arial" w:hAnsi="Arial"/>
          <w:sz w:val="17"/>
          <w:szCs w:val="17"/>
          <w:color w:val="auto"/>
        </w:rPr>
        <w:t>The following table shows information about SAR exercises and vesting of RSU and PSU awards during fiscal year 2017. MVW SARs resulted from adjustments to the Company SARs to reflect the spin-off of the Company’s timeshare business in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128270</wp:posOffset>
            </wp:positionV>
            <wp:extent cx="6989445" cy="29121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89445" cy="2912110"/>
                    </a:xfrm>
                    <a:prstGeom prst="rect">
                      <a:avLst/>
                    </a:prstGeom>
                    <a:noFill/>
                  </pic:spPr>
                </pic:pic>
              </a:graphicData>
            </a:graphic>
          </wp:anchor>
        </w:drawing>
      </w:r>
    </w:p>
    <w:p>
      <w:pPr>
        <w:spacing w:after="0" w:line="182" w:lineRule="exact"/>
        <w:rPr>
          <w:sz w:val="20"/>
          <w:szCs w:val="20"/>
          <w:color w:val="auto"/>
        </w:rPr>
      </w:pPr>
    </w:p>
    <w:tbl>
      <w:tblPr>
        <w:tblLayout w:type="fixed"/>
        <w:tblInd w:w="220" w:type="dxa"/>
        <w:tblCellMar>
          <w:top w:w="0" w:type="dxa"/>
          <w:left w:w="0" w:type="dxa"/>
          <w:bottom w:w="0" w:type="dxa"/>
          <w:right w:w="0" w:type="dxa"/>
        </w:tblCellMar>
      </w:tblPr>
      <w:tr>
        <w:trPr>
          <w:trHeight w:val="229"/>
        </w:trPr>
        <w:tc>
          <w:tcPr>
            <w:tcW w:w="2520" w:type="dxa"/>
            <w:vAlign w:val="bottom"/>
            <w:shd w:val="clear" w:color="auto" w:fill="998C87"/>
          </w:tcPr>
          <w:p>
            <w:pPr>
              <w:spacing w:after="0"/>
              <w:rPr>
                <w:sz w:val="19"/>
                <w:szCs w:val="19"/>
                <w:color w:val="auto"/>
              </w:rPr>
            </w:pPr>
          </w:p>
        </w:tc>
        <w:tc>
          <w:tcPr>
            <w:tcW w:w="800" w:type="dxa"/>
            <w:vAlign w:val="bottom"/>
            <w:shd w:val="clear" w:color="auto" w:fill="998C87"/>
          </w:tcPr>
          <w:p>
            <w:pPr>
              <w:spacing w:after="0"/>
              <w:rPr>
                <w:sz w:val="19"/>
                <w:szCs w:val="19"/>
                <w:color w:val="auto"/>
              </w:rPr>
            </w:pPr>
          </w:p>
        </w:tc>
        <w:tc>
          <w:tcPr>
            <w:tcW w:w="1960" w:type="dxa"/>
            <w:vAlign w:val="bottom"/>
            <w:gridSpan w:val="2"/>
            <w:shd w:val="clear" w:color="auto" w:fill="998C87"/>
          </w:tcPr>
          <w:p>
            <w:pPr>
              <w:jc w:val="right"/>
              <w:ind w:right="739"/>
              <w:spacing w:after="0"/>
              <w:rPr>
                <w:sz w:val="20"/>
                <w:szCs w:val="20"/>
                <w:color w:val="auto"/>
              </w:rPr>
            </w:pPr>
            <w:r>
              <w:rPr>
                <w:rFonts w:ascii="Arial" w:cs="Arial" w:eastAsia="Arial" w:hAnsi="Arial"/>
                <w:sz w:val="16"/>
                <w:szCs w:val="16"/>
                <w:b w:val="1"/>
                <w:bCs w:val="1"/>
                <w:color w:val="FFFFFF"/>
              </w:rPr>
              <w:t>SAR Awards</w:t>
            </w:r>
          </w:p>
        </w:tc>
        <w:tc>
          <w:tcPr>
            <w:tcW w:w="1220" w:type="dxa"/>
            <w:vAlign w:val="bottom"/>
            <w:shd w:val="clear" w:color="auto" w:fill="998C87"/>
          </w:tcPr>
          <w:p>
            <w:pPr>
              <w:spacing w:after="0"/>
              <w:rPr>
                <w:sz w:val="19"/>
                <w:szCs w:val="19"/>
                <w:color w:val="auto"/>
              </w:rPr>
            </w:pPr>
          </w:p>
        </w:tc>
        <w:tc>
          <w:tcPr>
            <w:tcW w:w="2340" w:type="dxa"/>
            <w:vAlign w:val="bottom"/>
            <w:gridSpan w:val="2"/>
            <w:shd w:val="clear" w:color="auto" w:fill="998C87"/>
          </w:tcPr>
          <w:p>
            <w:pPr>
              <w:ind w:left="1180"/>
              <w:spacing w:after="0"/>
              <w:rPr>
                <w:sz w:val="20"/>
                <w:szCs w:val="20"/>
                <w:color w:val="auto"/>
              </w:rPr>
            </w:pPr>
            <w:r>
              <w:rPr>
                <w:rFonts w:ascii="Arial" w:cs="Arial" w:eastAsia="Arial" w:hAnsi="Arial"/>
                <w:sz w:val="16"/>
                <w:szCs w:val="16"/>
                <w:b w:val="1"/>
                <w:bCs w:val="1"/>
                <w:color w:val="FFFFFF"/>
              </w:rPr>
              <w:t>Stock Awards</w:t>
            </w:r>
          </w:p>
        </w:tc>
        <w:tc>
          <w:tcPr>
            <w:tcW w:w="1120" w:type="dxa"/>
            <w:vAlign w:val="bottom"/>
            <w:shd w:val="clear" w:color="auto" w:fill="998C87"/>
          </w:tcPr>
          <w:p>
            <w:pPr>
              <w:spacing w:after="0"/>
              <w:rPr>
                <w:sz w:val="19"/>
                <w:szCs w:val="19"/>
                <w:color w:val="auto"/>
              </w:rPr>
            </w:pPr>
          </w:p>
        </w:tc>
        <w:tc>
          <w:tcPr>
            <w:tcW w:w="100" w:type="dxa"/>
            <w:vAlign w:val="bottom"/>
            <w:shd w:val="clear" w:color="auto" w:fill="998C87"/>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520" w:type="dxa"/>
            <w:vAlign w:val="bottom"/>
            <w:shd w:val="clear" w:color="auto" w:fill="998C87"/>
          </w:tcPr>
          <w:p>
            <w:pPr>
              <w:spacing w:after="0"/>
              <w:rPr>
                <w:sz w:val="15"/>
                <w:szCs w:val="15"/>
                <w:color w:val="auto"/>
              </w:rPr>
            </w:pPr>
          </w:p>
        </w:tc>
        <w:tc>
          <w:tcPr>
            <w:tcW w:w="800" w:type="dxa"/>
            <w:vAlign w:val="bottom"/>
            <w:shd w:val="clear" w:color="auto" w:fill="998C87"/>
          </w:tcPr>
          <w:p>
            <w:pPr>
              <w:spacing w:after="0"/>
              <w:rPr>
                <w:sz w:val="15"/>
                <w:szCs w:val="15"/>
                <w:color w:val="auto"/>
              </w:rPr>
            </w:pPr>
          </w:p>
        </w:tc>
        <w:tc>
          <w:tcPr>
            <w:tcW w:w="920" w:type="dxa"/>
            <w:vAlign w:val="bottom"/>
            <w:shd w:val="clear" w:color="auto" w:fill="998C87"/>
          </w:tcPr>
          <w:p>
            <w:pPr>
              <w:spacing w:after="0"/>
              <w:rPr>
                <w:sz w:val="15"/>
                <w:szCs w:val="15"/>
                <w:color w:val="auto"/>
              </w:rPr>
            </w:pPr>
          </w:p>
        </w:tc>
        <w:tc>
          <w:tcPr>
            <w:tcW w:w="1040" w:type="dxa"/>
            <w:vAlign w:val="bottom"/>
            <w:shd w:val="clear" w:color="auto" w:fill="998C87"/>
          </w:tcPr>
          <w:p>
            <w:pPr>
              <w:jc w:val="center"/>
              <w:spacing w:after="0" w:line="182" w:lineRule="exact"/>
              <w:rPr>
                <w:sz w:val="20"/>
                <w:szCs w:val="20"/>
                <w:color w:val="auto"/>
              </w:rPr>
            </w:pPr>
            <w:r>
              <w:rPr>
                <w:rFonts w:ascii="Arial" w:cs="Arial" w:eastAsia="Arial" w:hAnsi="Arial"/>
                <w:sz w:val="16"/>
                <w:szCs w:val="16"/>
                <w:b w:val="1"/>
                <w:bCs w:val="1"/>
                <w:color w:val="FFFFFF"/>
                <w:w w:val="99"/>
              </w:rPr>
              <w:t>Number of</w:t>
            </w:r>
          </w:p>
        </w:tc>
        <w:tc>
          <w:tcPr>
            <w:tcW w:w="1220" w:type="dxa"/>
            <w:vAlign w:val="bottom"/>
            <w:shd w:val="clear" w:color="auto" w:fill="998C87"/>
          </w:tcPr>
          <w:p>
            <w:pPr>
              <w:spacing w:after="0"/>
              <w:rPr>
                <w:sz w:val="15"/>
                <w:szCs w:val="15"/>
                <w:color w:val="auto"/>
              </w:rPr>
            </w:pPr>
          </w:p>
        </w:tc>
        <w:tc>
          <w:tcPr>
            <w:tcW w:w="1440" w:type="dxa"/>
            <w:vAlign w:val="bottom"/>
            <w:shd w:val="clear" w:color="auto" w:fill="998C87"/>
          </w:tcPr>
          <w:p>
            <w:pPr>
              <w:spacing w:after="0"/>
              <w:rPr>
                <w:sz w:val="15"/>
                <w:szCs w:val="15"/>
                <w:color w:val="auto"/>
              </w:rPr>
            </w:pPr>
          </w:p>
        </w:tc>
        <w:tc>
          <w:tcPr>
            <w:tcW w:w="900" w:type="dxa"/>
            <w:vAlign w:val="bottom"/>
            <w:shd w:val="clear" w:color="auto" w:fill="998C87"/>
          </w:tcPr>
          <w:p>
            <w:pPr>
              <w:spacing w:after="0"/>
              <w:rPr>
                <w:sz w:val="15"/>
                <w:szCs w:val="15"/>
                <w:color w:val="auto"/>
              </w:rPr>
            </w:pPr>
          </w:p>
        </w:tc>
        <w:tc>
          <w:tcPr>
            <w:tcW w:w="1120" w:type="dxa"/>
            <w:vAlign w:val="bottom"/>
            <w:shd w:val="clear" w:color="auto" w:fill="998C87"/>
          </w:tcPr>
          <w:p>
            <w:pPr>
              <w:spacing w:after="0"/>
              <w:rPr>
                <w:sz w:val="15"/>
                <w:szCs w:val="15"/>
                <w:color w:val="auto"/>
              </w:rPr>
            </w:pPr>
          </w:p>
        </w:tc>
        <w:tc>
          <w:tcPr>
            <w:tcW w:w="100" w:type="dxa"/>
            <w:vAlign w:val="bottom"/>
            <w:shd w:val="clear" w:color="auto" w:fill="998C87"/>
          </w:tcPr>
          <w:p>
            <w:pPr>
              <w:spacing w:after="0"/>
              <w:rPr>
                <w:sz w:val="15"/>
                <w:szCs w:val="15"/>
                <w:color w:val="auto"/>
              </w:rPr>
            </w:pPr>
          </w:p>
        </w:tc>
        <w:tc>
          <w:tcPr>
            <w:tcW w:w="940" w:type="dxa"/>
            <w:vAlign w:val="bottom"/>
            <w:shd w:val="clear" w:color="auto" w:fill="998C87"/>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20" w:type="dxa"/>
            <w:vAlign w:val="bottom"/>
            <w:shd w:val="clear" w:color="auto" w:fill="998C87"/>
          </w:tcPr>
          <w:p>
            <w:pPr>
              <w:spacing w:after="0"/>
              <w:rPr>
                <w:sz w:val="16"/>
                <w:szCs w:val="16"/>
                <w:color w:val="auto"/>
              </w:rPr>
            </w:pPr>
          </w:p>
        </w:tc>
        <w:tc>
          <w:tcPr>
            <w:tcW w:w="800" w:type="dxa"/>
            <w:vAlign w:val="bottom"/>
            <w:shd w:val="clear" w:color="auto" w:fill="998C87"/>
          </w:tcPr>
          <w:p>
            <w:pPr>
              <w:spacing w:after="0"/>
              <w:rPr>
                <w:sz w:val="16"/>
                <w:szCs w:val="16"/>
                <w:color w:val="auto"/>
              </w:rPr>
            </w:pPr>
          </w:p>
        </w:tc>
        <w:tc>
          <w:tcPr>
            <w:tcW w:w="920" w:type="dxa"/>
            <w:vAlign w:val="bottom"/>
            <w:shd w:val="clear" w:color="auto" w:fill="998C87"/>
          </w:tcPr>
          <w:p>
            <w:pPr>
              <w:spacing w:after="0"/>
              <w:rPr>
                <w:sz w:val="16"/>
                <w:szCs w:val="16"/>
                <w:color w:val="auto"/>
              </w:rPr>
            </w:pPr>
          </w:p>
        </w:tc>
        <w:tc>
          <w:tcPr>
            <w:tcW w:w="10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Shares</w:t>
            </w:r>
          </w:p>
        </w:tc>
        <w:tc>
          <w:tcPr>
            <w:tcW w:w="122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w w:val="98"/>
              </w:rPr>
              <w:t>Value</w:t>
            </w:r>
          </w:p>
        </w:tc>
        <w:tc>
          <w:tcPr>
            <w:tcW w:w="1440" w:type="dxa"/>
            <w:vAlign w:val="bottom"/>
            <w:shd w:val="clear" w:color="auto" w:fill="998C87"/>
          </w:tcPr>
          <w:p>
            <w:pPr>
              <w:spacing w:after="0"/>
              <w:rPr>
                <w:sz w:val="16"/>
                <w:szCs w:val="16"/>
                <w:color w:val="auto"/>
              </w:rPr>
            </w:pPr>
          </w:p>
        </w:tc>
        <w:tc>
          <w:tcPr>
            <w:tcW w:w="900" w:type="dxa"/>
            <w:vAlign w:val="bottom"/>
            <w:shd w:val="clear" w:color="auto" w:fill="998C87"/>
          </w:tcPr>
          <w:p>
            <w:pPr>
              <w:spacing w:after="0"/>
              <w:rPr>
                <w:sz w:val="16"/>
                <w:szCs w:val="16"/>
                <w:color w:val="auto"/>
              </w:rPr>
            </w:pPr>
          </w:p>
        </w:tc>
        <w:tc>
          <w:tcPr>
            <w:tcW w:w="112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w w:val="99"/>
              </w:rPr>
              <w:t>Number of</w:t>
            </w:r>
          </w:p>
        </w:tc>
        <w:tc>
          <w:tcPr>
            <w:tcW w:w="100" w:type="dxa"/>
            <w:vAlign w:val="bottom"/>
            <w:shd w:val="clear" w:color="auto" w:fill="998C87"/>
          </w:tcPr>
          <w:p>
            <w:pPr>
              <w:spacing w:after="0"/>
              <w:rPr>
                <w:sz w:val="16"/>
                <w:szCs w:val="16"/>
                <w:color w:val="auto"/>
              </w:rPr>
            </w:pPr>
          </w:p>
        </w:tc>
        <w:tc>
          <w:tcPr>
            <w:tcW w:w="940" w:type="dxa"/>
            <w:vAlign w:val="bottom"/>
            <w:shd w:val="clear" w:color="auto" w:fill="998C87"/>
          </w:tcPr>
          <w:p>
            <w:pPr>
              <w:jc w:val="center"/>
              <w:ind w:right="79"/>
              <w:spacing w:after="0"/>
              <w:rPr>
                <w:sz w:val="20"/>
                <w:szCs w:val="20"/>
                <w:color w:val="auto"/>
              </w:rPr>
            </w:pPr>
            <w:r>
              <w:rPr>
                <w:rFonts w:ascii="Arial" w:cs="Arial" w:eastAsia="Arial" w:hAnsi="Arial"/>
                <w:sz w:val="16"/>
                <w:szCs w:val="16"/>
                <w:b w:val="1"/>
                <w:bCs w:val="1"/>
                <w:color w:val="FFFFFF"/>
                <w:w w:val="98"/>
              </w:rPr>
              <w:t>Value</w:t>
            </w:r>
          </w:p>
        </w:tc>
        <w:tc>
          <w:tcPr>
            <w:tcW w:w="0" w:type="dxa"/>
            <w:vAlign w:val="bottom"/>
          </w:tcPr>
          <w:p>
            <w:pPr>
              <w:spacing w:after="0"/>
              <w:rPr>
                <w:sz w:val="1"/>
                <w:szCs w:val="1"/>
                <w:color w:val="auto"/>
              </w:rPr>
            </w:pPr>
          </w:p>
        </w:tc>
      </w:tr>
      <w:tr>
        <w:trPr>
          <w:trHeight w:val="189"/>
        </w:trPr>
        <w:tc>
          <w:tcPr>
            <w:tcW w:w="2520" w:type="dxa"/>
            <w:vAlign w:val="bottom"/>
            <w:shd w:val="clear" w:color="auto" w:fill="998C87"/>
          </w:tcPr>
          <w:p>
            <w:pPr>
              <w:spacing w:after="0"/>
              <w:rPr>
                <w:sz w:val="16"/>
                <w:szCs w:val="16"/>
                <w:color w:val="auto"/>
              </w:rPr>
            </w:pPr>
          </w:p>
        </w:tc>
        <w:tc>
          <w:tcPr>
            <w:tcW w:w="800" w:type="dxa"/>
            <w:vAlign w:val="bottom"/>
            <w:shd w:val="clear" w:color="auto" w:fill="998C87"/>
          </w:tcPr>
          <w:p>
            <w:pPr>
              <w:spacing w:after="0"/>
              <w:rPr>
                <w:sz w:val="16"/>
                <w:szCs w:val="16"/>
                <w:color w:val="auto"/>
              </w:rPr>
            </w:pPr>
          </w:p>
        </w:tc>
        <w:tc>
          <w:tcPr>
            <w:tcW w:w="920" w:type="dxa"/>
            <w:vAlign w:val="bottom"/>
            <w:shd w:val="clear" w:color="auto" w:fill="998C87"/>
          </w:tcPr>
          <w:p>
            <w:pPr>
              <w:spacing w:after="0"/>
              <w:rPr>
                <w:sz w:val="16"/>
                <w:szCs w:val="16"/>
                <w:color w:val="auto"/>
              </w:rPr>
            </w:pPr>
          </w:p>
        </w:tc>
        <w:tc>
          <w:tcPr>
            <w:tcW w:w="10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Acquired on</w:t>
            </w:r>
          </w:p>
        </w:tc>
        <w:tc>
          <w:tcPr>
            <w:tcW w:w="122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Realized</w:t>
            </w:r>
          </w:p>
        </w:tc>
        <w:tc>
          <w:tcPr>
            <w:tcW w:w="1440" w:type="dxa"/>
            <w:vAlign w:val="bottom"/>
            <w:shd w:val="clear" w:color="auto" w:fill="998C87"/>
          </w:tcPr>
          <w:p>
            <w:pPr>
              <w:spacing w:after="0"/>
              <w:rPr>
                <w:sz w:val="16"/>
                <w:szCs w:val="16"/>
                <w:color w:val="auto"/>
              </w:rPr>
            </w:pPr>
          </w:p>
        </w:tc>
        <w:tc>
          <w:tcPr>
            <w:tcW w:w="900" w:type="dxa"/>
            <w:vAlign w:val="bottom"/>
            <w:shd w:val="clear" w:color="auto" w:fill="998C87"/>
          </w:tcPr>
          <w:p>
            <w:pPr>
              <w:spacing w:after="0"/>
              <w:rPr>
                <w:sz w:val="16"/>
                <w:szCs w:val="16"/>
                <w:color w:val="auto"/>
              </w:rPr>
            </w:pPr>
          </w:p>
        </w:tc>
        <w:tc>
          <w:tcPr>
            <w:tcW w:w="112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Shares</w:t>
            </w:r>
          </w:p>
        </w:tc>
        <w:tc>
          <w:tcPr>
            <w:tcW w:w="100" w:type="dxa"/>
            <w:vAlign w:val="bottom"/>
            <w:shd w:val="clear" w:color="auto" w:fill="998C87"/>
          </w:tcPr>
          <w:p>
            <w:pPr>
              <w:spacing w:after="0"/>
              <w:rPr>
                <w:sz w:val="16"/>
                <w:szCs w:val="16"/>
                <w:color w:val="auto"/>
              </w:rPr>
            </w:pPr>
          </w:p>
        </w:tc>
        <w:tc>
          <w:tcPr>
            <w:tcW w:w="940" w:type="dxa"/>
            <w:vAlign w:val="bottom"/>
            <w:shd w:val="clear" w:color="auto" w:fill="998C87"/>
          </w:tcPr>
          <w:p>
            <w:pPr>
              <w:jc w:val="center"/>
              <w:ind w:right="79"/>
              <w:spacing w:after="0"/>
              <w:rPr>
                <w:sz w:val="20"/>
                <w:szCs w:val="20"/>
                <w:color w:val="auto"/>
              </w:rPr>
            </w:pPr>
            <w:r>
              <w:rPr>
                <w:rFonts w:ascii="Arial" w:cs="Arial" w:eastAsia="Arial" w:hAnsi="Arial"/>
                <w:sz w:val="16"/>
                <w:szCs w:val="16"/>
                <w:b w:val="1"/>
                <w:bCs w:val="1"/>
                <w:color w:val="FFFFFF"/>
              </w:rPr>
              <w:t>Realized</w:t>
            </w:r>
          </w:p>
        </w:tc>
        <w:tc>
          <w:tcPr>
            <w:tcW w:w="0" w:type="dxa"/>
            <w:vAlign w:val="bottom"/>
          </w:tcPr>
          <w:p>
            <w:pPr>
              <w:spacing w:after="0"/>
              <w:rPr>
                <w:sz w:val="1"/>
                <w:szCs w:val="1"/>
                <w:color w:val="auto"/>
              </w:rPr>
            </w:pPr>
          </w:p>
        </w:tc>
      </w:tr>
      <w:tr>
        <w:trPr>
          <w:trHeight w:val="189"/>
        </w:trPr>
        <w:tc>
          <w:tcPr>
            <w:tcW w:w="2520" w:type="dxa"/>
            <w:vAlign w:val="bottom"/>
            <w:shd w:val="clear" w:color="auto" w:fill="998C87"/>
          </w:tcPr>
          <w:p>
            <w:pPr>
              <w:spacing w:after="0"/>
              <w:rPr>
                <w:sz w:val="16"/>
                <w:szCs w:val="16"/>
                <w:color w:val="auto"/>
              </w:rPr>
            </w:pPr>
          </w:p>
        </w:tc>
        <w:tc>
          <w:tcPr>
            <w:tcW w:w="80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w w:val="98"/>
              </w:rPr>
              <w:t>Award</w:t>
            </w:r>
          </w:p>
        </w:tc>
        <w:tc>
          <w:tcPr>
            <w:tcW w:w="920" w:type="dxa"/>
            <w:vAlign w:val="bottom"/>
            <w:shd w:val="clear" w:color="auto" w:fill="998C87"/>
          </w:tcPr>
          <w:p>
            <w:pPr>
              <w:jc w:val="right"/>
              <w:ind w:right="39"/>
              <w:spacing w:after="0"/>
              <w:rPr>
                <w:sz w:val="20"/>
                <w:szCs w:val="20"/>
                <w:color w:val="auto"/>
              </w:rPr>
            </w:pPr>
            <w:r>
              <w:rPr>
                <w:rFonts w:ascii="Arial" w:cs="Arial" w:eastAsia="Arial" w:hAnsi="Arial"/>
                <w:sz w:val="16"/>
                <w:szCs w:val="16"/>
                <w:b w:val="1"/>
                <w:bCs w:val="1"/>
                <w:color w:val="FFFFFF"/>
              </w:rPr>
              <w:t>Exercise</w:t>
            </w:r>
          </w:p>
        </w:tc>
        <w:tc>
          <w:tcPr>
            <w:tcW w:w="10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Exercise</w:t>
            </w:r>
          </w:p>
        </w:tc>
        <w:tc>
          <w:tcPr>
            <w:tcW w:w="122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on Exercise</w:t>
            </w:r>
          </w:p>
        </w:tc>
        <w:tc>
          <w:tcPr>
            <w:tcW w:w="1440" w:type="dxa"/>
            <w:vAlign w:val="bottom"/>
            <w:shd w:val="clear" w:color="auto" w:fill="998C87"/>
          </w:tcPr>
          <w:p>
            <w:pPr>
              <w:ind w:left="460"/>
              <w:spacing w:after="0"/>
              <w:rPr>
                <w:sz w:val="20"/>
                <w:szCs w:val="20"/>
                <w:color w:val="auto"/>
              </w:rPr>
            </w:pPr>
            <w:r>
              <w:rPr>
                <w:rFonts w:ascii="Arial" w:cs="Arial" w:eastAsia="Arial" w:hAnsi="Arial"/>
                <w:sz w:val="16"/>
                <w:szCs w:val="16"/>
                <w:b w:val="1"/>
                <w:bCs w:val="1"/>
                <w:color w:val="FFFFFF"/>
              </w:rPr>
              <w:t>Award</w:t>
            </w:r>
          </w:p>
        </w:tc>
        <w:tc>
          <w:tcPr>
            <w:tcW w:w="900" w:type="dxa"/>
            <w:vAlign w:val="bottom"/>
            <w:shd w:val="clear" w:color="auto" w:fill="998C87"/>
          </w:tcPr>
          <w:p>
            <w:pPr>
              <w:ind w:left="180"/>
              <w:spacing w:after="0"/>
              <w:rPr>
                <w:sz w:val="20"/>
                <w:szCs w:val="20"/>
                <w:color w:val="auto"/>
              </w:rPr>
            </w:pPr>
            <w:r>
              <w:rPr>
                <w:rFonts w:ascii="Arial" w:cs="Arial" w:eastAsia="Arial" w:hAnsi="Arial"/>
                <w:sz w:val="16"/>
                <w:szCs w:val="16"/>
                <w:b w:val="1"/>
                <w:bCs w:val="1"/>
                <w:color w:val="FFFFFF"/>
              </w:rPr>
              <w:t>Vesting</w:t>
            </w:r>
          </w:p>
        </w:tc>
        <w:tc>
          <w:tcPr>
            <w:tcW w:w="112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Acquired on</w:t>
            </w:r>
          </w:p>
        </w:tc>
        <w:tc>
          <w:tcPr>
            <w:tcW w:w="1040" w:type="dxa"/>
            <w:vAlign w:val="bottom"/>
            <w:gridSpan w:val="2"/>
            <w:shd w:val="clear" w:color="auto" w:fill="998C87"/>
          </w:tcPr>
          <w:p>
            <w:pPr>
              <w:jc w:val="center"/>
              <w:spacing w:after="0"/>
              <w:rPr>
                <w:sz w:val="20"/>
                <w:szCs w:val="20"/>
                <w:color w:val="auto"/>
              </w:rPr>
            </w:pPr>
            <w:r>
              <w:rPr>
                <w:rFonts w:ascii="Arial" w:cs="Arial" w:eastAsia="Arial" w:hAnsi="Arial"/>
                <w:sz w:val="16"/>
                <w:szCs w:val="16"/>
                <w:b w:val="1"/>
                <w:bCs w:val="1"/>
                <w:color w:val="FFFFFF"/>
              </w:rPr>
              <w:t>on Vesting</w:t>
            </w:r>
          </w:p>
        </w:tc>
        <w:tc>
          <w:tcPr>
            <w:tcW w:w="0" w:type="dxa"/>
            <w:vAlign w:val="bottom"/>
          </w:tcPr>
          <w:p>
            <w:pPr>
              <w:spacing w:after="0"/>
              <w:rPr>
                <w:sz w:val="1"/>
                <w:szCs w:val="1"/>
                <w:color w:val="auto"/>
              </w:rPr>
            </w:pPr>
          </w:p>
        </w:tc>
      </w:tr>
      <w:tr>
        <w:trPr>
          <w:trHeight w:val="236"/>
        </w:trPr>
        <w:tc>
          <w:tcPr>
            <w:tcW w:w="2520" w:type="dxa"/>
            <w:vAlign w:val="bottom"/>
            <w:shd w:val="clear" w:color="auto" w:fill="998C87"/>
          </w:tcPr>
          <w:p>
            <w:pPr>
              <w:ind w:left="80"/>
              <w:spacing w:after="0"/>
              <w:rPr>
                <w:sz w:val="20"/>
                <w:szCs w:val="20"/>
                <w:color w:val="auto"/>
              </w:rPr>
            </w:pPr>
            <w:r>
              <w:rPr>
                <w:rFonts w:ascii="Arial" w:cs="Arial" w:eastAsia="Arial" w:hAnsi="Arial"/>
                <w:sz w:val="16"/>
                <w:szCs w:val="16"/>
                <w:b w:val="1"/>
                <w:bCs w:val="1"/>
                <w:color w:val="FFFFFF"/>
              </w:rPr>
              <w:t>Name</w:t>
            </w:r>
          </w:p>
        </w:tc>
        <w:tc>
          <w:tcPr>
            <w:tcW w:w="80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w w:val="96"/>
              </w:rPr>
              <w:t>Type</w:t>
            </w:r>
          </w:p>
        </w:tc>
        <w:tc>
          <w:tcPr>
            <w:tcW w:w="920" w:type="dxa"/>
            <w:vAlign w:val="bottom"/>
            <w:shd w:val="clear" w:color="auto" w:fill="998C87"/>
          </w:tcPr>
          <w:p>
            <w:pPr>
              <w:jc w:val="right"/>
              <w:ind w:right="199"/>
              <w:spacing w:after="0"/>
              <w:rPr>
                <w:sz w:val="20"/>
                <w:szCs w:val="20"/>
                <w:color w:val="auto"/>
              </w:rPr>
            </w:pPr>
            <w:r>
              <w:rPr>
                <w:rFonts w:ascii="Arial" w:cs="Arial" w:eastAsia="Arial" w:hAnsi="Arial"/>
                <w:sz w:val="16"/>
                <w:szCs w:val="16"/>
                <w:b w:val="1"/>
                <w:bCs w:val="1"/>
                <w:color w:val="FFFFFF"/>
              </w:rPr>
              <w:t>Date</w:t>
            </w:r>
          </w:p>
        </w:tc>
        <w:tc>
          <w:tcPr>
            <w:tcW w:w="10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(#)(1)</w:t>
            </w:r>
          </w:p>
        </w:tc>
        <w:tc>
          <w:tcPr>
            <w:tcW w:w="122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($)(2)</w:t>
            </w:r>
          </w:p>
        </w:tc>
        <w:tc>
          <w:tcPr>
            <w:tcW w:w="1440" w:type="dxa"/>
            <w:vAlign w:val="bottom"/>
            <w:shd w:val="clear" w:color="auto" w:fill="998C87"/>
          </w:tcPr>
          <w:p>
            <w:pPr>
              <w:ind w:left="540"/>
              <w:spacing w:after="0"/>
              <w:rPr>
                <w:sz w:val="20"/>
                <w:szCs w:val="20"/>
                <w:color w:val="auto"/>
              </w:rPr>
            </w:pPr>
            <w:r>
              <w:rPr>
                <w:rFonts w:ascii="Arial" w:cs="Arial" w:eastAsia="Arial" w:hAnsi="Arial"/>
                <w:sz w:val="16"/>
                <w:szCs w:val="16"/>
                <w:b w:val="1"/>
                <w:bCs w:val="1"/>
                <w:color w:val="FFFFFF"/>
              </w:rPr>
              <w:t>Type</w:t>
            </w:r>
          </w:p>
        </w:tc>
        <w:tc>
          <w:tcPr>
            <w:tcW w:w="900" w:type="dxa"/>
            <w:vAlign w:val="bottom"/>
            <w:shd w:val="clear" w:color="auto" w:fill="998C87"/>
          </w:tcPr>
          <w:p>
            <w:pPr>
              <w:ind w:left="300"/>
              <w:spacing w:after="0"/>
              <w:rPr>
                <w:sz w:val="20"/>
                <w:szCs w:val="20"/>
                <w:color w:val="auto"/>
              </w:rPr>
            </w:pPr>
            <w:r>
              <w:rPr>
                <w:rFonts w:ascii="Arial" w:cs="Arial" w:eastAsia="Arial" w:hAnsi="Arial"/>
                <w:sz w:val="16"/>
                <w:szCs w:val="16"/>
                <w:b w:val="1"/>
                <w:bCs w:val="1"/>
                <w:color w:val="FFFFFF"/>
              </w:rPr>
              <w:t>Date</w:t>
            </w:r>
          </w:p>
        </w:tc>
        <w:tc>
          <w:tcPr>
            <w:tcW w:w="112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Vesting (#)</w:t>
            </w:r>
          </w:p>
        </w:tc>
        <w:tc>
          <w:tcPr>
            <w:tcW w:w="1040" w:type="dxa"/>
            <w:vAlign w:val="bottom"/>
            <w:gridSpan w:val="2"/>
            <w:shd w:val="clear" w:color="auto" w:fill="998C87"/>
          </w:tcPr>
          <w:p>
            <w:pPr>
              <w:jc w:val="center"/>
              <w:spacing w:after="0"/>
              <w:rPr>
                <w:sz w:val="20"/>
                <w:szCs w:val="20"/>
                <w:color w:val="auto"/>
              </w:rPr>
            </w:pPr>
            <w:r>
              <w:rPr>
                <w:rFonts w:ascii="Arial" w:cs="Arial" w:eastAsia="Arial" w:hAnsi="Arial"/>
                <w:sz w:val="16"/>
                <w:szCs w:val="16"/>
                <w:b w:val="1"/>
                <w:bCs w:val="1"/>
                <w:color w:val="FFFFFF"/>
              </w:rPr>
              <w:t>($)(3)</w:t>
            </w:r>
          </w:p>
        </w:tc>
        <w:tc>
          <w:tcPr>
            <w:tcW w:w="0" w:type="dxa"/>
            <w:vAlign w:val="bottom"/>
          </w:tcPr>
          <w:p>
            <w:pPr>
              <w:spacing w:after="0"/>
              <w:rPr>
                <w:sz w:val="1"/>
                <w:szCs w:val="1"/>
                <w:color w:val="auto"/>
              </w:rPr>
            </w:pPr>
          </w:p>
        </w:tc>
      </w:tr>
      <w:tr>
        <w:trPr>
          <w:trHeight w:val="216"/>
        </w:trPr>
        <w:tc>
          <w:tcPr>
            <w:tcW w:w="2520" w:type="dxa"/>
            <w:vAlign w:val="bottom"/>
            <w:shd w:val="clear" w:color="auto" w:fill="F4F3F3"/>
          </w:tcPr>
          <w:p>
            <w:pPr>
              <w:ind w:left="80"/>
              <w:spacing w:after="0"/>
              <w:rPr>
                <w:sz w:val="20"/>
                <w:szCs w:val="20"/>
                <w:color w:val="auto"/>
              </w:rPr>
            </w:pPr>
            <w:r>
              <w:rPr>
                <w:rFonts w:ascii="Arial" w:cs="Arial" w:eastAsia="Arial" w:hAnsi="Arial"/>
                <w:sz w:val="16"/>
                <w:szCs w:val="16"/>
                <w:color w:val="998C87"/>
              </w:rPr>
              <w:t>Mr. Marriott</w:t>
            </w:r>
          </w:p>
        </w:tc>
        <w:tc>
          <w:tcPr>
            <w:tcW w:w="800" w:type="dxa"/>
            <w:vAlign w:val="bottom"/>
            <w:shd w:val="clear" w:color="auto" w:fill="F4F3F3"/>
          </w:tcPr>
          <w:p>
            <w:pPr>
              <w:jc w:val="center"/>
              <w:spacing w:after="0"/>
              <w:rPr>
                <w:sz w:val="20"/>
                <w:szCs w:val="20"/>
                <w:color w:val="auto"/>
              </w:rPr>
            </w:pPr>
            <w:r>
              <w:rPr>
                <w:rFonts w:ascii="Arial" w:cs="Arial" w:eastAsia="Arial" w:hAnsi="Arial"/>
                <w:sz w:val="16"/>
                <w:szCs w:val="16"/>
                <w:color w:val="auto"/>
              </w:rPr>
              <w:t>MAR SAR</w:t>
            </w:r>
          </w:p>
        </w:tc>
        <w:tc>
          <w:tcPr>
            <w:tcW w:w="920" w:type="dxa"/>
            <w:vAlign w:val="bottom"/>
            <w:shd w:val="clear" w:color="auto" w:fill="F4F3F3"/>
          </w:tcPr>
          <w:p>
            <w:pPr>
              <w:jc w:val="right"/>
              <w:spacing w:after="0"/>
              <w:rPr>
                <w:sz w:val="20"/>
                <w:szCs w:val="20"/>
                <w:color w:val="auto"/>
              </w:rPr>
            </w:pPr>
            <w:r>
              <w:rPr>
                <w:rFonts w:ascii="Arial" w:cs="Arial" w:eastAsia="Arial" w:hAnsi="Arial"/>
                <w:sz w:val="16"/>
                <w:szCs w:val="16"/>
                <w:color w:val="auto"/>
              </w:rPr>
              <w:t>2/27/17</w:t>
            </w:r>
          </w:p>
        </w:tc>
        <w:tc>
          <w:tcPr>
            <w:tcW w:w="1040" w:type="dxa"/>
            <w:vAlign w:val="bottom"/>
            <w:shd w:val="clear" w:color="auto" w:fill="F4F3F3"/>
          </w:tcPr>
          <w:p>
            <w:pPr>
              <w:jc w:val="right"/>
              <w:spacing w:after="0"/>
              <w:rPr>
                <w:sz w:val="20"/>
                <w:szCs w:val="20"/>
                <w:color w:val="auto"/>
              </w:rPr>
            </w:pPr>
            <w:r>
              <w:rPr>
                <w:rFonts w:ascii="Arial" w:cs="Arial" w:eastAsia="Arial" w:hAnsi="Arial"/>
                <w:sz w:val="16"/>
                <w:szCs w:val="16"/>
                <w:color w:val="auto"/>
              </w:rPr>
              <w:t>112,000</w:t>
            </w:r>
          </w:p>
        </w:tc>
        <w:tc>
          <w:tcPr>
            <w:tcW w:w="1220" w:type="dxa"/>
            <w:vAlign w:val="bottom"/>
            <w:shd w:val="clear" w:color="auto" w:fill="F4F3F3"/>
          </w:tcPr>
          <w:p>
            <w:pPr>
              <w:jc w:val="right"/>
              <w:ind w:right="39"/>
              <w:spacing w:after="0"/>
              <w:rPr>
                <w:sz w:val="20"/>
                <w:szCs w:val="20"/>
                <w:color w:val="auto"/>
              </w:rPr>
            </w:pPr>
            <w:r>
              <w:rPr>
                <w:rFonts w:ascii="Arial" w:cs="Arial" w:eastAsia="Arial" w:hAnsi="Arial"/>
                <w:sz w:val="16"/>
                <w:szCs w:val="16"/>
                <w:color w:val="auto"/>
              </w:rPr>
              <w:t>6,026,877</w:t>
            </w:r>
          </w:p>
        </w:tc>
        <w:tc>
          <w:tcPr>
            <w:tcW w:w="1440" w:type="dxa"/>
            <w:vAlign w:val="bottom"/>
            <w:shd w:val="clear" w:color="auto" w:fill="F4F3F3"/>
          </w:tcPr>
          <w:p>
            <w:pPr>
              <w:spacing w:after="0"/>
              <w:rPr>
                <w:sz w:val="18"/>
                <w:szCs w:val="18"/>
                <w:color w:val="auto"/>
              </w:rPr>
            </w:pPr>
          </w:p>
        </w:tc>
        <w:tc>
          <w:tcPr>
            <w:tcW w:w="900" w:type="dxa"/>
            <w:vAlign w:val="bottom"/>
            <w:shd w:val="clear" w:color="auto" w:fill="F4F3F3"/>
          </w:tcPr>
          <w:p>
            <w:pPr>
              <w:spacing w:after="0"/>
              <w:rPr>
                <w:sz w:val="18"/>
                <w:szCs w:val="18"/>
                <w:color w:val="auto"/>
              </w:rPr>
            </w:pPr>
          </w:p>
        </w:tc>
        <w:tc>
          <w:tcPr>
            <w:tcW w:w="1120" w:type="dxa"/>
            <w:vAlign w:val="bottom"/>
            <w:shd w:val="clear" w:color="auto" w:fill="F4F3F3"/>
          </w:tcPr>
          <w:p>
            <w:pPr>
              <w:spacing w:after="0"/>
              <w:rPr>
                <w:sz w:val="18"/>
                <w:szCs w:val="18"/>
                <w:color w:val="auto"/>
              </w:rPr>
            </w:pPr>
          </w:p>
        </w:tc>
        <w:tc>
          <w:tcPr>
            <w:tcW w:w="100" w:type="dxa"/>
            <w:vAlign w:val="bottom"/>
            <w:shd w:val="clear" w:color="auto" w:fill="F4F3F3"/>
          </w:tcPr>
          <w:p>
            <w:pPr>
              <w:spacing w:after="0"/>
              <w:rPr>
                <w:sz w:val="18"/>
                <w:szCs w:val="18"/>
                <w:color w:val="auto"/>
              </w:rPr>
            </w:pPr>
          </w:p>
        </w:tc>
        <w:tc>
          <w:tcPr>
            <w:tcW w:w="940" w:type="dxa"/>
            <w:vAlign w:val="bottom"/>
            <w:shd w:val="clear" w:color="auto" w:fill="F4F3F3"/>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520" w:type="dxa"/>
            <w:vAlign w:val="bottom"/>
            <w:shd w:val="clear" w:color="auto" w:fill="F4F3F3"/>
          </w:tcPr>
          <w:p>
            <w:pPr>
              <w:spacing w:after="0"/>
              <w:rPr>
                <w:sz w:val="16"/>
                <w:szCs w:val="16"/>
                <w:color w:val="auto"/>
              </w:rPr>
            </w:pPr>
          </w:p>
        </w:tc>
        <w:tc>
          <w:tcPr>
            <w:tcW w:w="800" w:type="dxa"/>
            <w:vAlign w:val="bottom"/>
            <w:shd w:val="clear" w:color="auto" w:fill="F4F3F3"/>
          </w:tcPr>
          <w:p>
            <w:pPr>
              <w:jc w:val="center"/>
              <w:spacing w:after="0"/>
              <w:rPr>
                <w:sz w:val="20"/>
                <w:szCs w:val="20"/>
                <w:color w:val="auto"/>
              </w:rPr>
            </w:pPr>
            <w:r>
              <w:rPr>
                <w:rFonts w:ascii="Arial" w:cs="Arial" w:eastAsia="Arial" w:hAnsi="Arial"/>
                <w:sz w:val="16"/>
                <w:szCs w:val="16"/>
                <w:color w:val="auto"/>
              </w:rPr>
              <w:t>MVW SAR</w:t>
            </w:r>
          </w:p>
        </w:tc>
        <w:tc>
          <w:tcPr>
            <w:tcW w:w="920" w:type="dxa"/>
            <w:vAlign w:val="bottom"/>
            <w:shd w:val="clear" w:color="auto" w:fill="F4F3F3"/>
          </w:tcPr>
          <w:p>
            <w:pPr>
              <w:jc w:val="right"/>
              <w:spacing w:after="0"/>
              <w:rPr>
                <w:sz w:val="20"/>
                <w:szCs w:val="20"/>
                <w:color w:val="auto"/>
              </w:rPr>
            </w:pPr>
            <w:r>
              <w:rPr>
                <w:rFonts w:ascii="Arial" w:cs="Arial" w:eastAsia="Arial" w:hAnsi="Arial"/>
                <w:sz w:val="16"/>
                <w:szCs w:val="16"/>
                <w:color w:val="auto"/>
              </w:rPr>
              <w:t>2/27/17</w:t>
            </w:r>
          </w:p>
        </w:tc>
        <w:tc>
          <w:tcPr>
            <w:tcW w:w="1040" w:type="dxa"/>
            <w:vAlign w:val="bottom"/>
            <w:shd w:val="clear" w:color="auto" w:fill="F4F3F3"/>
          </w:tcPr>
          <w:p>
            <w:pPr>
              <w:jc w:val="right"/>
              <w:spacing w:after="0"/>
              <w:rPr>
                <w:sz w:val="20"/>
                <w:szCs w:val="20"/>
                <w:color w:val="auto"/>
              </w:rPr>
            </w:pPr>
            <w:r>
              <w:rPr>
                <w:rFonts w:ascii="Arial" w:cs="Arial" w:eastAsia="Arial" w:hAnsi="Arial"/>
                <w:sz w:val="16"/>
                <w:szCs w:val="16"/>
                <w:color w:val="auto"/>
              </w:rPr>
              <w:t>15,000</w:t>
            </w:r>
          </w:p>
        </w:tc>
        <w:tc>
          <w:tcPr>
            <w:tcW w:w="1220" w:type="dxa"/>
            <w:vAlign w:val="bottom"/>
            <w:shd w:val="clear" w:color="auto" w:fill="F4F3F3"/>
          </w:tcPr>
          <w:p>
            <w:pPr>
              <w:jc w:val="right"/>
              <w:ind w:right="39"/>
              <w:spacing w:after="0"/>
              <w:rPr>
                <w:sz w:val="20"/>
                <w:szCs w:val="20"/>
                <w:color w:val="auto"/>
              </w:rPr>
            </w:pPr>
            <w:r>
              <w:rPr>
                <w:rFonts w:ascii="Arial" w:cs="Arial" w:eastAsia="Arial" w:hAnsi="Arial"/>
                <w:sz w:val="16"/>
                <w:szCs w:val="16"/>
                <w:color w:val="auto"/>
              </w:rPr>
              <w:t>1,169,637</w:t>
            </w:r>
          </w:p>
        </w:tc>
        <w:tc>
          <w:tcPr>
            <w:tcW w:w="1440" w:type="dxa"/>
            <w:vAlign w:val="bottom"/>
            <w:shd w:val="clear" w:color="auto" w:fill="F4F3F3"/>
          </w:tcPr>
          <w:p>
            <w:pPr>
              <w:spacing w:after="0"/>
              <w:rPr>
                <w:sz w:val="16"/>
                <w:szCs w:val="16"/>
                <w:color w:val="auto"/>
              </w:rPr>
            </w:pPr>
          </w:p>
        </w:tc>
        <w:tc>
          <w:tcPr>
            <w:tcW w:w="900" w:type="dxa"/>
            <w:vAlign w:val="bottom"/>
            <w:shd w:val="clear" w:color="auto" w:fill="F4F3F3"/>
          </w:tcPr>
          <w:p>
            <w:pPr>
              <w:spacing w:after="0"/>
              <w:rPr>
                <w:sz w:val="16"/>
                <w:szCs w:val="16"/>
                <w:color w:val="auto"/>
              </w:rPr>
            </w:pPr>
          </w:p>
        </w:tc>
        <w:tc>
          <w:tcPr>
            <w:tcW w:w="1120" w:type="dxa"/>
            <w:vAlign w:val="bottom"/>
            <w:shd w:val="clear" w:color="auto" w:fill="F4F3F3"/>
          </w:tcPr>
          <w:p>
            <w:pPr>
              <w:spacing w:after="0"/>
              <w:rPr>
                <w:sz w:val="16"/>
                <w:szCs w:val="16"/>
                <w:color w:val="auto"/>
              </w:rPr>
            </w:pPr>
          </w:p>
        </w:tc>
        <w:tc>
          <w:tcPr>
            <w:tcW w:w="100" w:type="dxa"/>
            <w:vAlign w:val="bottom"/>
            <w:shd w:val="clear" w:color="auto" w:fill="F4F3F3"/>
          </w:tcPr>
          <w:p>
            <w:pPr>
              <w:spacing w:after="0"/>
              <w:rPr>
                <w:sz w:val="16"/>
                <w:szCs w:val="16"/>
                <w:color w:val="auto"/>
              </w:rPr>
            </w:pPr>
          </w:p>
        </w:tc>
        <w:tc>
          <w:tcPr>
            <w:tcW w:w="940" w:type="dxa"/>
            <w:vAlign w:val="bottom"/>
            <w:shd w:val="clear" w:color="auto" w:fill="F4F3F3"/>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20" w:type="dxa"/>
            <w:vAlign w:val="bottom"/>
            <w:shd w:val="clear" w:color="auto" w:fill="F4F3F3"/>
          </w:tcPr>
          <w:p>
            <w:pPr>
              <w:spacing w:after="0"/>
              <w:rPr>
                <w:sz w:val="16"/>
                <w:szCs w:val="16"/>
                <w:color w:val="auto"/>
              </w:rPr>
            </w:pPr>
          </w:p>
        </w:tc>
        <w:tc>
          <w:tcPr>
            <w:tcW w:w="800" w:type="dxa"/>
            <w:vAlign w:val="bottom"/>
            <w:shd w:val="clear" w:color="auto" w:fill="F4F3F3"/>
          </w:tcPr>
          <w:p>
            <w:pPr>
              <w:jc w:val="center"/>
              <w:spacing w:after="0"/>
              <w:rPr>
                <w:sz w:val="20"/>
                <w:szCs w:val="20"/>
                <w:color w:val="auto"/>
              </w:rPr>
            </w:pPr>
            <w:r>
              <w:rPr>
                <w:rFonts w:ascii="Arial" w:cs="Arial" w:eastAsia="Arial" w:hAnsi="Arial"/>
                <w:sz w:val="16"/>
                <w:szCs w:val="16"/>
                <w:color w:val="auto"/>
              </w:rPr>
              <w:t>MVW SAR</w:t>
            </w:r>
          </w:p>
        </w:tc>
        <w:tc>
          <w:tcPr>
            <w:tcW w:w="920" w:type="dxa"/>
            <w:vAlign w:val="bottom"/>
            <w:shd w:val="clear" w:color="auto" w:fill="F4F3F3"/>
          </w:tcPr>
          <w:p>
            <w:pPr>
              <w:jc w:val="right"/>
              <w:spacing w:after="0"/>
              <w:rPr>
                <w:sz w:val="20"/>
                <w:szCs w:val="20"/>
                <w:color w:val="auto"/>
              </w:rPr>
            </w:pPr>
            <w:r>
              <w:rPr>
                <w:rFonts w:ascii="Arial" w:cs="Arial" w:eastAsia="Arial" w:hAnsi="Arial"/>
                <w:sz w:val="16"/>
                <w:szCs w:val="16"/>
                <w:color w:val="auto"/>
              </w:rPr>
              <w:t>3/22/17</w:t>
            </w:r>
          </w:p>
        </w:tc>
        <w:tc>
          <w:tcPr>
            <w:tcW w:w="1040" w:type="dxa"/>
            <w:vAlign w:val="bottom"/>
            <w:shd w:val="clear" w:color="auto" w:fill="F4F3F3"/>
          </w:tcPr>
          <w:p>
            <w:pPr>
              <w:jc w:val="right"/>
              <w:spacing w:after="0"/>
              <w:rPr>
                <w:sz w:val="20"/>
                <w:szCs w:val="20"/>
                <w:color w:val="auto"/>
              </w:rPr>
            </w:pPr>
            <w:r>
              <w:rPr>
                <w:rFonts w:ascii="Arial" w:cs="Arial" w:eastAsia="Arial" w:hAnsi="Arial"/>
                <w:sz w:val="16"/>
                <w:szCs w:val="16"/>
                <w:color w:val="auto"/>
              </w:rPr>
              <w:t>15,000</w:t>
            </w:r>
          </w:p>
        </w:tc>
        <w:tc>
          <w:tcPr>
            <w:tcW w:w="1220" w:type="dxa"/>
            <w:vAlign w:val="bottom"/>
            <w:shd w:val="clear" w:color="auto" w:fill="F4F3F3"/>
          </w:tcPr>
          <w:p>
            <w:pPr>
              <w:jc w:val="right"/>
              <w:ind w:right="39"/>
              <w:spacing w:after="0"/>
              <w:rPr>
                <w:sz w:val="20"/>
                <w:szCs w:val="20"/>
                <w:color w:val="auto"/>
              </w:rPr>
            </w:pPr>
            <w:r>
              <w:rPr>
                <w:rFonts w:ascii="Arial" w:cs="Arial" w:eastAsia="Arial" w:hAnsi="Arial"/>
                <w:sz w:val="16"/>
                <w:szCs w:val="16"/>
                <w:color w:val="auto"/>
              </w:rPr>
              <w:t>1,124,337</w:t>
            </w:r>
          </w:p>
        </w:tc>
        <w:tc>
          <w:tcPr>
            <w:tcW w:w="1440" w:type="dxa"/>
            <w:vAlign w:val="bottom"/>
            <w:shd w:val="clear" w:color="auto" w:fill="F4F3F3"/>
          </w:tcPr>
          <w:p>
            <w:pPr>
              <w:spacing w:after="0"/>
              <w:rPr>
                <w:sz w:val="16"/>
                <w:szCs w:val="16"/>
                <w:color w:val="auto"/>
              </w:rPr>
            </w:pPr>
          </w:p>
        </w:tc>
        <w:tc>
          <w:tcPr>
            <w:tcW w:w="900" w:type="dxa"/>
            <w:vAlign w:val="bottom"/>
            <w:shd w:val="clear" w:color="auto" w:fill="F4F3F3"/>
          </w:tcPr>
          <w:p>
            <w:pPr>
              <w:spacing w:after="0"/>
              <w:rPr>
                <w:sz w:val="16"/>
                <w:szCs w:val="16"/>
                <w:color w:val="auto"/>
              </w:rPr>
            </w:pPr>
          </w:p>
        </w:tc>
        <w:tc>
          <w:tcPr>
            <w:tcW w:w="1120" w:type="dxa"/>
            <w:vAlign w:val="bottom"/>
            <w:shd w:val="clear" w:color="auto" w:fill="F4F3F3"/>
          </w:tcPr>
          <w:p>
            <w:pPr>
              <w:spacing w:after="0"/>
              <w:rPr>
                <w:sz w:val="16"/>
                <w:szCs w:val="16"/>
                <w:color w:val="auto"/>
              </w:rPr>
            </w:pPr>
          </w:p>
        </w:tc>
        <w:tc>
          <w:tcPr>
            <w:tcW w:w="100" w:type="dxa"/>
            <w:vAlign w:val="bottom"/>
            <w:shd w:val="clear" w:color="auto" w:fill="F4F3F3"/>
          </w:tcPr>
          <w:p>
            <w:pPr>
              <w:spacing w:after="0"/>
              <w:rPr>
                <w:sz w:val="16"/>
                <w:szCs w:val="16"/>
                <w:color w:val="auto"/>
              </w:rPr>
            </w:pPr>
          </w:p>
        </w:tc>
        <w:tc>
          <w:tcPr>
            <w:tcW w:w="940" w:type="dxa"/>
            <w:vAlign w:val="bottom"/>
            <w:shd w:val="clear" w:color="auto" w:fill="F4F3F3"/>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20" w:type="dxa"/>
            <w:vAlign w:val="bottom"/>
            <w:shd w:val="clear" w:color="auto" w:fill="F4F3F3"/>
          </w:tcPr>
          <w:p>
            <w:pPr>
              <w:spacing w:after="0"/>
              <w:rPr>
                <w:sz w:val="16"/>
                <w:szCs w:val="16"/>
                <w:color w:val="auto"/>
              </w:rPr>
            </w:pPr>
          </w:p>
        </w:tc>
        <w:tc>
          <w:tcPr>
            <w:tcW w:w="800" w:type="dxa"/>
            <w:vAlign w:val="bottom"/>
            <w:shd w:val="clear" w:color="auto" w:fill="F4F3F3"/>
          </w:tcPr>
          <w:p>
            <w:pPr>
              <w:jc w:val="center"/>
              <w:spacing w:after="0"/>
              <w:rPr>
                <w:sz w:val="20"/>
                <w:szCs w:val="20"/>
                <w:color w:val="auto"/>
              </w:rPr>
            </w:pPr>
            <w:r>
              <w:rPr>
                <w:rFonts w:ascii="Arial" w:cs="Arial" w:eastAsia="Arial" w:hAnsi="Arial"/>
                <w:sz w:val="16"/>
                <w:szCs w:val="16"/>
                <w:color w:val="auto"/>
              </w:rPr>
              <w:t>MAR SAR</w:t>
            </w:r>
          </w:p>
        </w:tc>
        <w:tc>
          <w:tcPr>
            <w:tcW w:w="920" w:type="dxa"/>
            <w:vAlign w:val="bottom"/>
            <w:shd w:val="clear" w:color="auto" w:fill="F4F3F3"/>
          </w:tcPr>
          <w:p>
            <w:pPr>
              <w:jc w:val="right"/>
              <w:spacing w:after="0"/>
              <w:rPr>
                <w:sz w:val="20"/>
                <w:szCs w:val="20"/>
                <w:color w:val="auto"/>
              </w:rPr>
            </w:pPr>
            <w:r>
              <w:rPr>
                <w:rFonts w:ascii="Arial" w:cs="Arial" w:eastAsia="Arial" w:hAnsi="Arial"/>
                <w:sz w:val="16"/>
                <w:szCs w:val="16"/>
                <w:color w:val="auto"/>
              </w:rPr>
              <w:t>3/23/17</w:t>
            </w:r>
          </w:p>
        </w:tc>
        <w:tc>
          <w:tcPr>
            <w:tcW w:w="1040" w:type="dxa"/>
            <w:vAlign w:val="bottom"/>
            <w:shd w:val="clear" w:color="auto" w:fill="F4F3F3"/>
          </w:tcPr>
          <w:p>
            <w:pPr>
              <w:jc w:val="right"/>
              <w:spacing w:after="0"/>
              <w:rPr>
                <w:sz w:val="20"/>
                <w:szCs w:val="20"/>
                <w:color w:val="auto"/>
              </w:rPr>
            </w:pPr>
            <w:r>
              <w:rPr>
                <w:rFonts w:ascii="Arial" w:cs="Arial" w:eastAsia="Arial" w:hAnsi="Arial"/>
                <w:sz w:val="16"/>
                <w:szCs w:val="16"/>
                <w:color w:val="auto"/>
              </w:rPr>
              <w:t>112,000</w:t>
            </w:r>
          </w:p>
        </w:tc>
        <w:tc>
          <w:tcPr>
            <w:tcW w:w="1220" w:type="dxa"/>
            <w:vAlign w:val="bottom"/>
            <w:shd w:val="clear" w:color="auto" w:fill="F4F3F3"/>
          </w:tcPr>
          <w:p>
            <w:pPr>
              <w:jc w:val="right"/>
              <w:ind w:right="39"/>
              <w:spacing w:after="0"/>
              <w:rPr>
                <w:sz w:val="20"/>
                <w:szCs w:val="20"/>
                <w:color w:val="auto"/>
              </w:rPr>
            </w:pPr>
            <w:r>
              <w:rPr>
                <w:rFonts w:ascii="Arial" w:cs="Arial" w:eastAsia="Arial" w:hAnsi="Arial"/>
                <w:sz w:val="16"/>
                <w:szCs w:val="16"/>
                <w:color w:val="auto"/>
              </w:rPr>
              <w:t>6,599,197</w:t>
            </w:r>
          </w:p>
        </w:tc>
        <w:tc>
          <w:tcPr>
            <w:tcW w:w="1440" w:type="dxa"/>
            <w:vAlign w:val="bottom"/>
            <w:shd w:val="clear" w:color="auto" w:fill="F4F3F3"/>
          </w:tcPr>
          <w:p>
            <w:pPr>
              <w:spacing w:after="0"/>
              <w:rPr>
                <w:sz w:val="16"/>
                <w:szCs w:val="16"/>
                <w:color w:val="auto"/>
              </w:rPr>
            </w:pPr>
          </w:p>
        </w:tc>
        <w:tc>
          <w:tcPr>
            <w:tcW w:w="900" w:type="dxa"/>
            <w:vAlign w:val="bottom"/>
            <w:shd w:val="clear" w:color="auto" w:fill="F4F3F3"/>
          </w:tcPr>
          <w:p>
            <w:pPr>
              <w:spacing w:after="0"/>
              <w:rPr>
                <w:sz w:val="16"/>
                <w:szCs w:val="16"/>
                <w:color w:val="auto"/>
              </w:rPr>
            </w:pPr>
          </w:p>
        </w:tc>
        <w:tc>
          <w:tcPr>
            <w:tcW w:w="1120" w:type="dxa"/>
            <w:vAlign w:val="bottom"/>
            <w:shd w:val="clear" w:color="auto" w:fill="F4F3F3"/>
          </w:tcPr>
          <w:p>
            <w:pPr>
              <w:spacing w:after="0"/>
              <w:rPr>
                <w:sz w:val="16"/>
                <w:szCs w:val="16"/>
                <w:color w:val="auto"/>
              </w:rPr>
            </w:pPr>
          </w:p>
        </w:tc>
        <w:tc>
          <w:tcPr>
            <w:tcW w:w="100" w:type="dxa"/>
            <w:vAlign w:val="bottom"/>
            <w:shd w:val="clear" w:color="auto" w:fill="F4F3F3"/>
          </w:tcPr>
          <w:p>
            <w:pPr>
              <w:spacing w:after="0"/>
              <w:rPr>
                <w:sz w:val="16"/>
                <w:szCs w:val="16"/>
                <w:color w:val="auto"/>
              </w:rPr>
            </w:pPr>
          </w:p>
        </w:tc>
        <w:tc>
          <w:tcPr>
            <w:tcW w:w="940" w:type="dxa"/>
            <w:vAlign w:val="bottom"/>
            <w:shd w:val="clear" w:color="auto" w:fill="F4F3F3"/>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20" w:type="dxa"/>
            <w:vAlign w:val="bottom"/>
            <w:shd w:val="clear" w:color="auto" w:fill="F4F3F3"/>
          </w:tcPr>
          <w:p>
            <w:pPr>
              <w:spacing w:after="0"/>
              <w:rPr>
                <w:sz w:val="16"/>
                <w:szCs w:val="16"/>
                <w:color w:val="auto"/>
              </w:rPr>
            </w:pPr>
          </w:p>
        </w:tc>
        <w:tc>
          <w:tcPr>
            <w:tcW w:w="800" w:type="dxa"/>
            <w:vAlign w:val="bottom"/>
            <w:shd w:val="clear" w:color="auto" w:fill="F4F3F3"/>
          </w:tcPr>
          <w:p>
            <w:pPr>
              <w:jc w:val="center"/>
              <w:spacing w:after="0"/>
              <w:rPr>
                <w:sz w:val="20"/>
                <w:szCs w:val="20"/>
                <w:color w:val="auto"/>
              </w:rPr>
            </w:pPr>
            <w:r>
              <w:rPr>
                <w:rFonts w:ascii="Arial" w:cs="Arial" w:eastAsia="Arial" w:hAnsi="Arial"/>
                <w:sz w:val="16"/>
                <w:szCs w:val="16"/>
                <w:color w:val="auto"/>
              </w:rPr>
              <w:t>MAR SAR</w:t>
            </w:r>
          </w:p>
        </w:tc>
        <w:tc>
          <w:tcPr>
            <w:tcW w:w="920" w:type="dxa"/>
            <w:vAlign w:val="bottom"/>
            <w:shd w:val="clear" w:color="auto" w:fill="F4F3F3"/>
          </w:tcPr>
          <w:p>
            <w:pPr>
              <w:jc w:val="right"/>
              <w:spacing w:after="0"/>
              <w:rPr>
                <w:sz w:val="20"/>
                <w:szCs w:val="20"/>
                <w:color w:val="auto"/>
              </w:rPr>
            </w:pPr>
            <w:r>
              <w:rPr>
                <w:rFonts w:ascii="Arial" w:cs="Arial" w:eastAsia="Arial" w:hAnsi="Arial"/>
                <w:sz w:val="16"/>
                <w:szCs w:val="16"/>
                <w:color w:val="auto"/>
              </w:rPr>
              <w:t>9/5/17</w:t>
            </w:r>
          </w:p>
        </w:tc>
        <w:tc>
          <w:tcPr>
            <w:tcW w:w="1040" w:type="dxa"/>
            <w:vAlign w:val="bottom"/>
            <w:shd w:val="clear" w:color="auto" w:fill="F4F3F3"/>
          </w:tcPr>
          <w:p>
            <w:pPr>
              <w:jc w:val="right"/>
              <w:spacing w:after="0"/>
              <w:rPr>
                <w:sz w:val="20"/>
                <w:szCs w:val="20"/>
                <w:color w:val="auto"/>
              </w:rPr>
            </w:pPr>
            <w:r>
              <w:rPr>
                <w:rFonts w:ascii="Arial" w:cs="Arial" w:eastAsia="Arial" w:hAnsi="Arial"/>
                <w:sz w:val="16"/>
                <w:szCs w:val="16"/>
                <w:color w:val="auto"/>
              </w:rPr>
              <w:t>31,467</w:t>
            </w:r>
          </w:p>
        </w:tc>
        <w:tc>
          <w:tcPr>
            <w:tcW w:w="1220" w:type="dxa"/>
            <w:vAlign w:val="bottom"/>
            <w:shd w:val="clear" w:color="auto" w:fill="F4F3F3"/>
          </w:tcPr>
          <w:p>
            <w:pPr>
              <w:jc w:val="right"/>
              <w:ind w:right="39"/>
              <w:spacing w:after="0"/>
              <w:rPr>
                <w:sz w:val="20"/>
                <w:szCs w:val="20"/>
                <w:color w:val="auto"/>
              </w:rPr>
            </w:pPr>
            <w:r>
              <w:rPr>
                <w:rFonts w:ascii="Arial" w:cs="Arial" w:eastAsia="Arial" w:hAnsi="Arial"/>
                <w:sz w:val="16"/>
                <w:szCs w:val="16"/>
                <w:color w:val="auto"/>
              </w:rPr>
              <w:t>2,155,534</w:t>
            </w:r>
          </w:p>
        </w:tc>
        <w:tc>
          <w:tcPr>
            <w:tcW w:w="1440" w:type="dxa"/>
            <w:vAlign w:val="bottom"/>
            <w:shd w:val="clear" w:color="auto" w:fill="F4F3F3"/>
          </w:tcPr>
          <w:p>
            <w:pPr>
              <w:spacing w:after="0"/>
              <w:rPr>
                <w:sz w:val="16"/>
                <w:szCs w:val="16"/>
                <w:color w:val="auto"/>
              </w:rPr>
            </w:pPr>
          </w:p>
        </w:tc>
        <w:tc>
          <w:tcPr>
            <w:tcW w:w="900" w:type="dxa"/>
            <w:vAlign w:val="bottom"/>
            <w:shd w:val="clear" w:color="auto" w:fill="F4F3F3"/>
          </w:tcPr>
          <w:p>
            <w:pPr>
              <w:spacing w:after="0"/>
              <w:rPr>
                <w:sz w:val="16"/>
                <w:szCs w:val="16"/>
                <w:color w:val="auto"/>
              </w:rPr>
            </w:pPr>
          </w:p>
        </w:tc>
        <w:tc>
          <w:tcPr>
            <w:tcW w:w="1120" w:type="dxa"/>
            <w:vAlign w:val="bottom"/>
            <w:shd w:val="clear" w:color="auto" w:fill="F4F3F3"/>
          </w:tcPr>
          <w:p>
            <w:pPr>
              <w:spacing w:after="0"/>
              <w:rPr>
                <w:sz w:val="16"/>
                <w:szCs w:val="16"/>
                <w:color w:val="auto"/>
              </w:rPr>
            </w:pPr>
          </w:p>
        </w:tc>
        <w:tc>
          <w:tcPr>
            <w:tcW w:w="100" w:type="dxa"/>
            <w:vAlign w:val="bottom"/>
            <w:shd w:val="clear" w:color="auto" w:fill="F4F3F3"/>
          </w:tcPr>
          <w:p>
            <w:pPr>
              <w:spacing w:after="0"/>
              <w:rPr>
                <w:sz w:val="16"/>
                <w:szCs w:val="16"/>
                <w:color w:val="auto"/>
              </w:rPr>
            </w:pPr>
          </w:p>
        </w:tc>
        <w:tc>
          <w:tcPr>
            <w:tcW w:w="940" w:type="dxa"/>
            <w:vAlign w:val="bottom"/>
            <w:shd w:val="clear" w:color="auto" w:fill="F4F3F3"/>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20" w:type="dxa"/>
            <w:vAlign w:val="bottom"/>
            <w:shd w:val="clear" w:color="auto" w:fill="F4F3F3"/>
          </w:tcPr>
          <w:p>
            <w:pPr>
              <w:spacing w:after="0"/>
              <w:rPr>
                <w:sz w:val="16"/>
                <w:szCs w:val="16"/>
                <w:color w:val="auto"/>
              </w:rPr>
            </w:pPr>
          </w:p>
        </w:tc>
        <w:tc>
          <w:tcPr>
            <w:tcW w:w="800" w:type="dxa"/>
            <w:vAlign w:val="bottom"/>
            <w:shd w:val="clear" w:color="auto" w:fill="F4F3F3"/>
          </w:tcPr>
          <w:p>
            <w:pPr>
              <w:jc w:val="center"/>
              <w:spacing w:after="0"/>
              <w:rPr>
                <w:sz w:val="20"/>
                <w:szCs w:val="20"/>
                <w:color w:val="auto"/>
              </w:rPr>
            </w:pPr>
            <w:r>
              <w:rPr>
                <w:rFonts w:ascii="Arial" w:cs="Arial" w:eastAsia="Arial" w:hAnsi="Arial"/>
                <w:sz w:val="16"/>
                <w:szCs w:val="16"/>
                <w:color w:val="auto"/>
              </w:rPr>
              <w:t>MAR SAR</w:t>
            </w:r>
          </w:p>
        </w:tc>
        <w:tc>
          <w:tcPr>
            <w:tcW w:w="920" w:type="dxa"/>
            <w:vAlign w:val="bottom"/>
            <w:shd w:val="clear" w:color="auto" w:fill="F4F3F3"/>
          </w:tcPr>
          <w:p>
            <w:pPr>
              <w:jc w:val="right"/>
              <w:spacing w:after="0"/>
              <w:rPr>
                <w:sz w:val="20"/>
                <w:szCs w:val="20"/>
                <w:color w:val="auto"/>
              </w:rPr>
            </w:pPr>
            <w:r>
              <w:rPr>
                <w:rFonts w:ascii="Arial" w:cs="Arial" w:eastAsia="Arial" w:hAnsi="Arial"/>
                <w:sz w:val="16"/>
                <w:szCs w:val="16"/>
                <w:color w:val="auto"/>
              </w:rPr>
              <w:t>9/6/17</w:t>
            </w:r>
          </w:p>
        </w:tc>
        <w:tc>
          <w:tcPr>
            <w:tcW w:w="1040" w:type="dxa"/>
            <w:vAlign w:val="bottom"/>
            <w:shd w:val="clear" w:color="auto" w:fill="F4F3F3"/>
          </w:tcPr>
          <w:p>
            <w:pPr>
              <w:jc w:val="right"/>
              <w:spacing w:after="0"/>
              <w:rPr>
                <w:sz w:val="20"/>
                <w:szCs w:val="20"/>
                <w:color w:val="auto"/>
              </w:rPr>
            </w:pPr>
            <w:r>
              <w:rPr>
                <w:rFonts w:ascii="Arial" w:cs="Arial" w:eastAsia="Arial" w:hAnsi="Arial"/>
                <w:sz w:val="16"/>
                <w:szCs w:val="16"/>
                <w:color w:val="auto"/>
              </w:rPr>
              <w:t>80,000</w:t>
            </w:r>
          </w:p>
        </w:tc>
        <w:tc>
          <w:tcPr>
            <w:tcW w:w="1220" w:type="dxa"/>
            <w:vAlign w:val="bottom"/>
            <w:shd w:val="clear" w:color="auto" w:fill="F4F3F3"/>
          </w:tcPr>
          <w:p>
            <w:pPr>
              <w:jc w:val="right"/>
              <w:ind w:right="39"/>
              <w:spacing w:after="0"/>
              <w:rPr>
                <w:sz w:val="20"/>
                <w:szCs w:val="20"/>
                <w:color w:val="auto"/>
              </w:rPr>
            </w:pPr>
            <w:r>
              <w:rPr>
                <w:rFonts w:ascii="Arial" w:cs="Arial" w:eastAsia="Arial" w:hAnsi="Arial"/>
                <w:sz w:val="16"/>
                <w:szCs w:val="16"/>
                <w:color w:val="auto"/>
              </w:rPr>
              <w:t>5,469,312</w:t>
            </w:r>
          </w:p>
        </w:tc>
        <w:tc>
          <w:tcPr>
            <w:tcW w:w="1440" w:type="dxa"/>
            <w:vAlign w:val="bottom"/>
            <w:shd w:val="clear" w:color="auto" w:fill="F4F3F3"/>
          </w:tcPr>
          <w:p>
            <w:pPr>
              <w:spacing w:after="0"/>
              <w:rPr>
                <w:sz w:val="16"/>
                <w:szCs w:val="16"/>
                <w:color w:val="auto"/>
              </w:rPr>
            </w:pPr>
          </w:p>
        </w:tc>
        <w:tc>
          <w:tcPr>
            <w:tcW w:w="900" w:type="dxa"/>
            <w:vAlign w:val="bottom"/>
            <w:shd w:val="clear" w:color="auto" w:fill="F4F3F3"/>
          </w:tcPr>
          <w:p>
            <w:pPr>
              <w:spacing w:after="0"/>
              <w:rPr>
                <w:sz w:val="16"/>
                <w:szCs w:val="16"/>
                <w:color w:val="auto"/>
              </w:rPr>
            </w:pPr>
          </w:p>
        </w:tc>
        <w:tc>
          <w:tcPr>
            <w:tcW w:w="1120" w:type="dxa"/>
            <w:vAlign w:val="bottom"/>
            <w:shd w:val="clear" w:color="auto" w:fill="F4F3F3"/>
          </w:tcPr>
          <w:p>
            <w:pPr>
              <w:spacing w:after="0"/>
              <w:rPr>
                <w:sz w:val="16"/>
                <w:szCs w:val="16"/>
                <w:color w:val="auto"/>
              </w:rPr>
            </w:pPr>
          </w:p>
        </w:tc>
        <w:tc>
          <w:tcPr>
            <w:tcW w:w="100" w:type="dxa"/>
            <w:vAlign w:val="bottom"/>
            <w:shd w:val="clear" w:color="auto" w:fill="F4F3F3"/>
          </w:tcPr>
          <w:p>
            <w:pPr>
              <w:spacing w:after="0"/>
              <w:rPr>
                <w:sz w:val="16"/>
                <w:szCs w:val="16"/>
                <w:color w:val="auto"/>
              </w:rPr>
            </w:pPr>
          </w:p>
        </w:tc>
        <w:tc>
          <w:tcPr>
            <w:tcW w:w="940" w:type="dxa"/>
            <w:vAlign w:val="bottom"/>
            <w:shd w:val="clear" w:color="auto" w:fill="F4F3F3"/>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520" w:type="dxa"/>
            <w:vAlign w:val="bottom"/>
            <w:shd w:val="clear" w:color="auto" w:fill="F4F3F3"/>
          </w:tcPr>
          <w:p>
            <w:pPr>
              <w:spacing w:after="0"/>
              <w:rPr>
                <w:sz w:val="17"/>
                <w:szCs w:val="17"/>
                <w:color w:val="auto"/>
              </w:rPr>
            </w:pPr>
          </w:p>
        </w:tc>
        <w:tc>
          <w:tcPr>
            <w:tcW w:w="800" w:type="dxa"/>
            <w:vAlign w:val="bottom"/>
            <w:shd w:val="clear" w:color="auto" w:fill="F4F3F3"/>
          </w:tcPr>
          <w:p>
            <w:pPr>
              <w:jc w:val="center"/>
              <w:spacing w:after="0"/>
              <w:rPr>
                <w:sz w:val="20"/>
                <w:szCs w:val="20"/>
                <w:color w:val="auto"/>
              </w:rPr>
            </w:pPr>
            <w:r>
              <w:rPr>
                <w:rFonts w:ascii="Arial" w:cs="Arial" w:eastAsia="Arial" w:hAnsi="Arial"/>
                <w:sz w:val="16"/>
                <w:szCs w:val="16"/>
                <w:color w:val="auto"/>
              </w:rPr>
              <w:t>MVW SAR</w:t>
            </w:r>
          </w:p>
        </w:tc>
        <w:tc>
          <w:tcPr>
            <w:tcW w:w="920" w:type="dxa"/>
            <w:vAlign w:val="bottom"/>
            <w:shd w:val="clear" w:color="auto" w:fill="F4F3F3"/>
          </w:tcPr>
          <w:p>
            <w:pPr>
              <w:jc w:val="right"/>
              <w:spacing w:after="0"/>
              <w:rPr>
                <w:sz w:val="20"/>
                <w:szCs w:val="20"/>
                <w:color w:val="auto"/>
              </w:rPr>
            </w:pPr>
            <w:r>
              <w:rPr>
                <w:rFonts w:ascii="Arial" w:cs="Arial" w:eastAsia="Arial" w:hAnsi="Arial"/>
                <w:sz w:val="16"/>
                <w:szCs w:val="16"/>
                <w:color w:val="auto"/>
              </w:rPr>
              <w:t>9/6/17</w:t>
            </w:r>
          </w:p>
        </w:tc>
        <w:tc>
          <w:tcPr>
            <w:tcW w:w="1040" w:type="dxa"/>
            <w:vAlign w:val="bottom"/>
            <w:shd w:val="clear" w:color="auto" w:fill="F4F3F3"/>
          </w:tcPr>
          <w:p>
            <w:pPr>
              <w:jc w:val="right"/>
              <w:spacing w:after="0"/>
              <w:rPr>
                <w:sz w:val="20"/>
                <w:szCs w:val="20"/>
                <w:color w:val="auto"/>
              </w:rPr>
            </w:pPr>
            <w:r>
              <w:rPr>
                <w:rFonts w:ascii="Arial" w:cs="Arial" w:eastAsia="Arial" w:hAnsi="Arial"/>
                <w:sz w:val="16"/>
                <w:szCs w:val="16"/>
                <w:color w:val="auto"/>
              </w:rPr>
              <w:t>14,730</w:t>
            </w:r>
          </w:p>
        </w:tc>
        <w:tc>
          <w:tcPr>
            <w:tcW w:w="1220" w:type="dxa"/>
            <w:vAlign w:val="bottom"/>
            <w:shd w:val="clear" w:color="auto" w:fill="F4F3F3"/>
          </w:tcPr>
          <w:p>
            <w:pPr>
              <w:jc w:val="right"/>
              <w:ind w:right="39"/>
              <w:spacing w:after="0"/>
              <w:rPr>
                <w:sz w:val="20"/>
                <w:szCs w:val="20"/>
                <w:color w:val="auto"/>
              </w:rPr>
            </w:pPr>
            <w:r>
              <w:rPr>
                <w:rFonts w:ascii="Arial" w:cs="Arial" w:eastAsia="Arial" w:hAnsi="Arial"/>
                <w:sz w:val="16"/>
                <w:szCs w:val="16"/>
                <w:color w:val="auto"/>
              </w:rPr>
              <w:t>1,412,103</w:t>
            </w:r>
          </w:p>
        </w:tc>
        <w:tc>
          <w:tcPr>
            <w:tcW w:w="1440" w:type="dxa"/>
            <w:vAlign w:val="bottom"/>
            <w:shd w:val="clear" w:color="auto" w:fill="F4F3F3"/>
          </w:tcPr>
          <w:p>
            <w:pPr>
              <w:spacing w:after="0"/>
              <w:rPr>
                <w:sz w:val="17"/>
                <w:szCs w:val="17"/>
                <w:color w:val="auto"/>
              </w:rPr>
            </w:pPr>
          </w:p>
        </w:tc>
        <w:tc>
          <w:tcPr>
            <w:tcW w:w="900" w:type="dxa"/>
            <w:vAlign w:val="bottom"/>
            <w:shd w:val="clear" w:color="auto" w:fill="F4F3F3"/>
          </w:tcPr>
          <w:p>
            <w:pPr>
              <w:spacing w:after="0"/>
              <w:rPr>
                <w:sz w:val="17"/>
                <w:szCs w:val="17"/>
                <w:color w:val="auto"/>
              </w:rPr>
            </w:pPr>
          </w:p>
        </w:tc>
        <w:tc>
          <w:tcPr>
            <w:tcW w:w="1120" w:type="dxa"/>
            <w:vAlign w:val="bottom"/>
            <w:shd w:val="clear" w:color="auto" w:fill="F4F3F3"/>
          </w:tcPr>
          <w:p>
            <w:pPr>
              <w:spacing w:after="0"/>
              <w:rPr>
                <w:sz w:val="17"/>
                <w:szCs w:val="17"/>
                <w:color w:val="auto"/>
              </w:rPr>
            </w:pPr>
          </w:p>
        </w:tc>
        <w:tc>
          <w:tcPr>
            <w:tcW w:w="100" w:type="dxa"/>
            <w:vAlign w:val="bottom"/>
            <w:shd w:val="clear" w:color="auto" w:fill="F4F3F3"/>
          </w:tcPr>
          <w:p>
            <w:pPr>
              <w:spacing w:after="0"/>
              <w:rPr>
                <w:sz w:val="17"/>
                <w:szCs w:val="17"/>
                <w:color w:val="auto"/>
              </w:rPr>
            </w:pPr>
          </w:p>
        </w:tc>
        <w:tc>
          <w:tcPr>
            <w:tcW w:w="940" w:type="dxa"/>
            <w:vAlign w:val="bottom"/>
            <w:shd w:val="clear" w:color="auto" w:fill="F4F3F3"/>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520" w:type="dxa"/>
            <w:vAlign w:val="bottom"/>
            <w:shd w:val="clear" w:color="auto" w:fill="F4F3F3"/>
          </w:tcPr>
          <w:p>
            <w:pPr>
              <w:ind w:left="80"/>
              <w:spacing w:after="0"/>
              <w:rPr>
                <w:sz w:val="20"/>
                <w:szCs w:val="20"/>
                <w:color w:val="auto"/>
              </w:rPr>
            </w:pPr>
            <w:r>
              <w:rPr>
                <w:rFonts w:ascii="Arial" w:cs="Arial" w:eastAsia="Arial" w:hAnsi="Arial"/>
                <w:sz w:val="16"/>
                <w:szCs w:val="16"/>
                <w:color w:val="998C87"/>
              </w:rPr>
              <w:t>Mr. Sorenson</w:t>
            </w:r>
          </w:p>
        </w:tc>
        <w:tc>
          <w:tcPr>
            <w:tcW w:w="800" w:type="dxa"/>
            <w:vAlign w:val="bottom"/>
            <w:shd w:val="clear" w:color="auto" w:fill="F4F3F3"/>
          </w:tcPr>
          <w:p>
            <w:pPr>
              <w:jc w:val="center"/>
              <w:spacing w:after="0"/>
              <w:rPr>
                <w:sz w:val="20"/>
                <w:szCs w:val="20"/>
                <w:color w:val="auto"/>
              </w:rPr>
            </w:pPr>
            <w:r>
              <w:rPr>
                <w:rFonts w:ascii="Arial" w:cs="Arial" w:eastAsia="Arial" w:hAnsi="Arial"/>
                <w:sz w:val="16"/>
                <w:szCs w:val="16"/>
                <w:color w:val="auto"/>
              </w:rPr>
              <w:t>MVW SAR</w:t>
            </w:r>
          </w:p>
        </w:tc>
        <w:tc>
          <w:tcPr>
            <w:tcW w:w="920" w:type="dxa"/>
            <w:vAlign w:val="bottom"/>
            <w:shd w:val="clear" w:color="auto" w:fill="F4F3F3"/>
          </w:tcPr>
          <w:p>
            <w:pPr>
              <w:jc w:val="right"/>
              <w:spacing w:after="0"/>
              <w:rPr>
                <w:sz w:val="20"/>
                <w:szCs w:val="20"/>
                <w:color w:val="auto"/>
              </w:rPr>
            </w:pPr>
            <w:r>
              <w:rPr>
                <w:rFonts w:ascii="Arial" w:cs="Arial" w:eastAsia="Arial" w:hAnsi="Arial"/>
                <w:sz w:val="16"/>
                <w:szCs w:val="16"/>
                <w:color w:val="auto"/>
              </w:rPr>
              <w:t>1/17/17</w:t>
            </w:r>
          </w:p>
        </w:tc>
        <w:tc>
          <w:tcPr>
            <w:tcW w:w="1040" w:type="dxa"/>
            <w:vAlign w:val="bottom"/>
            <w:shd w:val="clear" w:color="auto" w:fill="F4F3F3"/>
          </w:tcPr>
          <w:p>
            <w:pPr>
              <w:jc w:val="right"/>
              <w:spacing w:after="0"/>
              <w:rPr>
                <w:sz w:val="20"/>
                <w:szCs w:val="20"/>
                <w:color w:val="auto"/>
              </w:rPr>
            </w:pPr>
            <w:r>
              <w:rPr>
                <w:rFonts w:ascii="Arial" w:cs="Arial" w:eastAsia="Arial" w:hAnsi="Arial"/>
                <w:sz w:val="16"/>
                <w:szCs w:val="16"/>
                <w:color w:val="auto"/>
              </w:rPr>
              <w:t>12,682</w:t>
            </w:r>
          </w:p>
        </w:tc>
        <w:tc>
          <w:tcPr>
            <w:tcW w:w="1220" w:type="dxa"/>
            <w:vAlign w:val="bottom"/>
            <w:shd w:val="clear" w:color="auto" w:fill="F4F3F3"/>
          </w:tcPr>
          <w:p>
            <w:pPr>
              <w:jc w:val="right"/>
              <w:ind w:right="39"/>
              <w:spacing w:after="0"/>
              <w:rPr>
                <w:sz w:val="20"/>
                <w:szCs w:val="20"/>
                <w:color w:val="auto"/>
              </w:rPr>
            </w:pPr>
            <w:r>
              <w:rPr>
                <w:rFonts w:ascii="Arial" w:cs="Arial" w:eastAsia="Arial" w:hAnsi="Arial"/>
                <w:sz w:val="16"/>
                <w:szCs w:val="16"/>
                <w:color w:val="auto"/>
              </w:rPr>
              <w:t>753,330</w:t>
            </w:r>
          </w:p>
        </w:tc>
        <w:tc>
          <w:tcPr>
            <w:tcW w:w="1440" w:type="dxa"/>
            <w:vAlign w:val="bottom"/>
            <w:shd w:val="clear" w:color="auto" w:fill="F4F3F3"/>
          </w:tcPr>
          <w:p>
            <w:pPr>
              <w:ind w:left="120"/>
              <w:spacing w:after="0"/>
              <w:rPr>
                <w:sz w:val="20"/>
                <w:szCs w:val="20"/>
                <w:color w:val="auto"/>
              </w:rPr>
            </w:pPr>
            <w:r>
              <w:rPr>
                <w:rFonts w:ascii="Arial" w:cs="Arial" w:eastAsia="Arial" w:hAnsi="Arial"/>
                <w:sz w:val="16"/>
                <w:szCs w:val="16"/>
                <w:color w:val="auto"/>
              </w:rPr>
              <w:t>MAR RSU/PSU</w:t>
            </w:r>
          </w:p>
        </w:tc>
        <w:tc>
          <w:tcPr>
            <w:tcW w:w="900" w:type="dxa"/>
            <w:vAlign w:val="bottom"/>
            <w:shd w:val="clear" w:color="auto" w:fill="F4F3F3"/>
          </w:tcPr>
          <w:p>
            <w:pPr>
              <w:ind w:left="300"/>
              <w:spacing w:after="0"/>
              <w:rPr>
                <w:sz w:val="20"/>
                <w:szCs w:val="20"/>
                <w:color w:val="auto"/>
              </w:rPr>
            </w:pPr>
            <w:r>
              <w:rPr>
                <w:rFonts w:ascii="Arial" w:cs="Arial" w:eastAsia="Arial" w:hAnsi="Arial"/>
                <w:sz w:val="16"/>
                <w:szCs w:val="16"/>
                <w:color w:val="auto"/>
              </w:rPr>
              <w:t>2/15/17</w:t>
            </w:r>
          </w:p>
        </w:tc>
        <w:tc>
          <w:tcPr>
            <w:tcW w:w="1120" w:type="dxa"/>
            <w:vAlign w:val="bottom"/>
            <w:shd w:val="clear" w:color="auto" w:fill="F4F3F3"/>
          </w:tcPr>
          <w:p>
            <w:pPr>
              <w:jc w:val="right"/>
              <w:ind w:right="59"/>
              <w:spacing w:after="0"/>
              <w:rPr>
                <w:sz w:val="20"/>
                <w:szCs w:val="20"/>
                <w:color w:val="auto"/>
              </w:rPr>
            </w:pPr>
            <w:r>
              <w:rPr>
                <w:rFonts w:ascii="Arial" w:cs="Arial" w:eastAsia="Arial" w:hAnsi="Arial"/>
                <w:sz w:val="16"/>
                <w:szCs w:val="16"/>
                <w:color w:val="auto"/>
              </w:rPr>
              <w:t>95,892</w:t>
            </w:r>
          </w:p>
        </w:tc>
        <w:tc>
          <w:tcPr>
            <w:tcW w:w="1040" w:type="dxa"/>
            <w:vAlign w:val="bottom"/>
            <w:gridSpan w:val="2"/>
            <w:shd w:val="clear" w:color="auto" w:fill="F4F3F3"/>
          </w:tcPr>
          <w:p>
            <w:pPr>
              <w:jc w:val="right"/>
              <w:spacing w:after="0"/>
              <w:rPr>
                <w:sz w:val="20"/>
                <w:szCs w:val="20"/>
                <w:color w:val="auto"/>
              </w:rPr>
            </w:pPr>
            <w:r>
              <w:rPr>
                <w:rFonts w:ascii="Arial" w:cs="Arial" w:eastAsia="Arial" w:hAnsi="Arial"/>
                <w:sz w:val="16"/>
                <w:szCs w:val="16"/>
                <w:color w:val="auto"/>
              </w:rPr>
              <w:t>8,473,976</w:t>
            </w:r>
          </w:p>
        </w:tc>
        <w:tc>
          <w:tcPr>
            <w:tcW w:w="0" w:type="dxa"/>
            <w:vAlign w:val="bottom"/>
          </w:tcPr>
          <w:p>
            <w:pPr>
              <w:spacing w:after="0"/>
              <w:rPr>
                <w:sz w:val="1"/>
                <w:szCs w:val="1"/>
                <w:color w:val="auto"/>
              </w:rPr>
            </w:pPr>
          </w:p>
        </w:tc>
      </w:tr>
      <w:tr>
        <w:trPr>
          <w:trHeight w:val="189"/>
        </w:trPr>
        <w:tc>
          <w:tcPr>
            <w:tcW w:w="2520" w:type="dxa"/>
            <w:vAlign w:val="bottom"/>
            <w:shd w:val="clear" w:color="auto" w:fill="F4F3F3"/>
          </w:tcPr>
          <w:p>
            <w:pPr>
              <w:spacing w:after="0"/>
              <w:rPr>
                <w:sz w:val="16"/>
                <w:szCs w:val="16"/>
                <w:color w:val="auto"/>
              </w:rPr>
            </w:pPr>
          </w:p>
        </w:tc>
        <w:tc>
          <w:tcPr>
            <w:tcW w:w="800" w:type="dxa"/>
            <w:vAlign w:val="bottom"/>
            <w:shd w:val="clear" w:color="auto" w:fill="F4F3F3"/>
          </w:tcPr>
          <w:p>
            <w:pPr>
              <w:jc w:val="center"/>
              <w:spacing w:after="0"/>
              <w:rPr>
                <w:sz w:val="20"/>
                <w:szCs w:val="20"/>
                <w:color w:val="auto"/>
              </w:rPr>
            </w:pPr>
            <w:r>
              <w:rPr>
                <w:rFonts w:ascii="Arial" w:cs="Arial" w:eastAsia="Arial" w:hAnsi="Arial"/>
                <w:sz w:val="16"/>
                <w:szCs w:val="16"/>
                <w:color w:val="auto"/>
              </w:rPr>
              <w:t>MVW SAR</w:t>
            </w:r>
          </w:p>
        </w:tc>
        <w:tc>
          <w:tcPr>
            <w:tcW w:w="920" w:type="dxa"/>
            <w:vAlign w:val="bottom"/>
            <w:shd w:val="clear" w:color="auto" w:fill="F4F3F3"/>
          </w:tcPr>
          <w:p>
            <w:pPr>
              <w:jc w:val="right"/>
              <w:spacing w:after="0"/>
              <w:rPr>
                <w:sz w:val="20"/>
                <w:szCs w:val="20"/>
                <w:color w:val="auto"/>
              </w:rPr>
            </w:pPr>
            <w:r>
              <w:rPr>
                <w:rFonts w:ascii="Arial" w:cs="Arial" w:eastAsia="Arial" w:hAnsi="Arial"/>
                <w:sz w:val="16"/>
                <w:szCs w:val="16"/>
                <w:color w:val="auto"/>
              </w:rPr>
              <w:t>2/9/17</w:t>
            </w:r>
          </w:p>
        </w:tc>
        <w:tc>
          <w:tcPr>
            <w:tcW w:w="1040" w:type="dxa"/>
            <w:vAlign w:val="bottom"/>
            <w:shd w:val="clear" w:color="auto" w:fill="F4F3F3"/>
          </w:tcPr>
          <w:p>
            <w:pPr>
              <w:jc w:val="right"/>
              <w:spacing w:after="0"/>
              <w:rPr>
                <w:sz w:val="20"/>
                <w:szCs w:val="20"/>
                <w:color w:val="auto"/>
              </w:rPr>
            </w:pPr>
            <w:r>
              <w:rPr>
                <w:rFonts w:ascii="Arial" w:cs="Arial" w:eastAsia="Arial" w:hAnsi="Arial"/>
                <w:sz w:val="16"/>
                <w:szCs w:val="16"/>
                <w:color w:val="auto"/>
              </w:rPr>
              <w:t>8,840</w:t>
            </w:r>
          </w:p>
        </w:tc>
        <w:tc>
          <w:tcPr>
            <w:tcW w:w="1220" w:type="dxa"/>
            <w:vAlign w:val="bottom"/>
            <w:shd w:val="clear" w:color="auto" w:fill="F4F3F3"/>
          </w:tcPr>
          <w:p>
            <w:pPr>
              <w:jc w:val="right"/>
              <w:ind w:right="39"/>
              <w:spacing w:after="0"/>
              <w:rPr>
                <w:sz w:val="20"/>
                <w:szCs w:val="20"/>
                <w:color w:val="auto"/>
              </w:rPr>
            </w:pPr>
            <w:r>
              <w:rPr>
                <w:rFonts w:ascii="Arial" w:cs="Arial" w:eastAsia="Arial" w:hAnsi="Arial"/>
                <w:sz w:val="16"/>
                <w:szCs w:val="16"/>
                <w:color w:val="auto"/>
              </w:rPr>
              <w:t>536,033</w:t>
            </w:r>
          </w:p>
        </w:tc>
        <w:tc>
          <w:tcPr>
            <w:tcW w:w="1440" w:type="dxa"/>
            <w:vAlign w:val="bottom"/>
            <w:shd w:val="clear" w:color="auto" w:fill="F4F3F3"/>
          </w:tcPr>
          <w:p>
            <w:pPr>
              <w:spacing w:after="0"/>
              <w:rPr>
                <w:sz w:val="16"/>
                <w:szCs w:val="16"/>
                <w:color w:val="auto"/>
              </w:rPr>
            </w:pPr>
          </w:p>
        </w:tc>
        <w:tc>
          <w:tcPr>
            <w:tcW w:w="900" w:type="dxa"/>
            <w:vAlign w:val="bottom"/>
            <w:shd w:val="clear" w:color="auto" w:fill="F4F3F3"/>
          </w:tcPr>
          <w:p>
            <w:pPr>
              <w:spacing w:after="0"/>
              <w:rPr>
                <w:sz w:val="16"/>
                <w:szCs w:val="16"/>
                <w:color w:val="auto"/>
              </w:rPr>
            </w:pPr>
          </w:p>
        </w:tc>
        <w:tc>
          <w:tcPr>
            <w:tcW w:w="1120" w:type="dxa"/>
            <w:vAlign w:val="bottom"/>
            <w:shd w:val="clear" w:color="auto" w:fill="F4F3F3"/>
          </w:tcPr>
          <w:p>
            <w:pPr>
              <w:spacing w:after="0"/>
              <w:rPr>
                <w:sz w:val="16"/>
                <w:szCs w:val="16"/>
                <w:color w:val="auto"/>
              </w:rPr>
            </w:pPr>
          </w:p>
        </w:tc>
        <w:tc>
          <w:tcPr>
            <w:tcW w:w="100" w:type="dxa"/>
            <w:vAlign w:val="bottom"/>
            <w:shd w:val="clear" w:color="auto" w:fill="F4F3F3"/>
          </w:tcPr>
          <w:p>
            <w:pPr>
              <w:spacing w:after="0"/>
              <w:rPr>
                <w:sz w:val="16"/>
                <w:szCs w:val="16"/>
                <w:color w:val="auto"/>
              </w:rPr>
            </w:pPr>
          </w:p>
        </w:tc>
        <w:tc>
          <w:tcPr>
            <w:tcW w:w="940" w:type="dxa"/>
            <w:vAlign w:val="bottom"/>
            <w:shd w:val="clear" w:color="auto" w:fill="F4F3F3"/>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20" w:type="dxa"/>
            <w:vAlign w:val="bottom"/>
            <w:shd w:val="clear" w:color="auto" w:fill="F4F3F3"/>
          </w:tcPr>
          <w:p>
            <w:pPr>
              <w:spacing w:after="0"/>
              <w:rPr>
                <w:sz w:val="16"/>
                <w:szCs w:val="16"/>
                <w:color w:val="auto"/>
              </w:rPr>
            </w:pPr>
          </w:p>
        </w:tc>
        <w:tc>
          <w:tcPr>
            <w:tcW w:w="800" w:type="dxa"/>
            <w:vAlign w:val="bottom"/>
            <w:shd w:val="clear" w:color="auto" w:fill="F4F3F3"/>
          </w:tcPr>
          <w:p>
            <w:pPr>
              <w:jc w:val="center"/>
              <w:spacing w:after="0"/>
              <w:rPr>
                <w:sz w:val="20"/>
                <w:szCs w:val="20"/>
                <w:color w:val="auto"/>
              </w:rPr>
            </w:pPr>
            <w:r>
              <w:rPr>
                <w:rFonts w:ascii="Arial" w:cs="Arial" w:eastAsia="Arial" w:hAnsi="Arial"/>
                <w:sz w:val="16"/>
                <w:szCs w:val="16"/>
                <w:color w:val="auto"/>
              </w:rPr>
              <w:t>MAR SAR</w:t>
            </w:r>
          </w:p>
        </w:tc>
        <w:tc>
          <w:tcPr>
            <w:tcW w:w="920" w:type="dxa"/>
            <w:vAlign w:val="bottom"/>
            <w:shd w:val="clear" w:color="auto" w:fill="F4F3F3"/>
          </w:tcPr>
          <w:p>
            <w:pPr>
              <w:jc w:val="right"/>
              <w:spacing w:after="0"/>
              <w:rPr>
                <w:sz w:val="20"/>
                <w:szCs w:val="20"/>
                <w:color w:val="auto"/>
              </w:rPr>
            </w:pPr>
            <w:r>
              <w:rPr>
                <w:rFonts w:ascii="Arial" w:cs="Arial" w:eastAsia="Arial" w:hAnsi="Arial"/>
                <w:sz w:val="16"/>
                <w:szCs w:val="16"/>
                <w:color w:val="auto"/>
              </w:rPr>
              <w:t>5/26/17</w:t>
            </w:r>
          </w:p>
        </w:tc>
        <w:tc>
          <w:tcPr>
            <w:tcW w:w="1040" w:type="dxa"/>
            <w:vAlign w:val="bottom"/>
            <w:shd w:val="clear" w:color="auto" w:fill="F4F3F3"/>
          </w:tcPr>
          <w:p>
            <w:pPr>
              <w:jc w:val="right"/>
              <w:spacing w:after="0"/>
              <w:rPr>
                <w:sz w:val="20"/>
                <w:szCs w:val="20"/>
                <w:color w:val="auto"/>
              </w:rPr>
            </w:pPr>
            <w:r>
              <w:rPr>
                <w:rFonts w:ascii="Arial" w:cs="Arial" w:eastAsia="Arial" w:hAnsi="Arial"/>
                <w:sz w:val="16"/>
                <w:szCs w:val="16"/>
                <w:color w:val="auto"/>
              </w:rPr>
              <w:t>143,916</w:t>
            </w:r>
          </w:p>
        </w:tc>
        <w:tc>
          <w:tcPr>
            <w:tcW w:w="1220" w:type="dxa"/>
            <w:vAlign w:val="bottom"/>
            <w:shd w:val="clear" w:color="auto" w:fill="F4F3F3"/>
          </w:tcPr>
          <w:p>
            <w:pPr>
              <w:jc w:val="right"/>
              <w:ind w:right="39"/>
              <w:spacing w:after="0"/>
              <w:rPr>
                <w:sz w:val="20"/>
                <w:szCs w:val="20"/>
                <w:color w:val="auto"/>
              </w:rPr>
            </w:pPr>
            <w:r>
              <w:rPr>
                <w:rFonts w:ascii="Arial" w:cs="Arial" w:eastAsia="Arial" w:hAnsi="Arial"/>
                <w:sz w:val="16"/>
                <w:szCs w:val="16"/>
                <w:color w:val="auto"/>
              </w:rPr>
              <w:t>10,601,054</w:t>
            </w:r>
          </w:p>
        </w:tc>
        <w:tc>
          <w:tcPr>
            <w:tcW w:w="1440" w:type="dxa"/>
            <w:vAlign w:val="bottom"/>
            <w:shd w:val="clear" w:color="auto" w:fill="F4F3F3"/>
          </w:tcPr>
          <w:p>
            <w:pPr>
              <w:spacing w:after="0"/>
              <w:rPr>
                <w:sz w:val="16"/>
                <w:szCs w:val="16"/>
                <w:color w:val="auto"/>
              </w:rPr>
            </w:pPr>
          </w:p>
        </w:tc>
        <w:tc>
          <w:tcPr>
            <w:tcW w:w="900" w:type="dxa"/>
            <w:vAlign w:val="bottom"/>
            <w:shd w:val="clear" w:color="auto" w:fill="F4F3F3"/>
          </w:tcPr>
          <w:p>
            <w:pPr>
              <w:spacing w:after="0"/>
              <w:rPr>
                <w:sz w:val="16"/>
                <w:szCs w:val="16"/>
                <w:color w:val="auto"/>
              </w:rPr>
            </w:pPr>
          </w:p>
        </w:tc>
        <w:tc>
          <w:tcPr>
            <w:tcW w:w="1120" w:type="dxa"/>
            <w:vAlign w:val="bottom"/>
            <w:shd w:val="clear" w:color="auto" w:fill="F4F3F3"/>
          </w:tcPr>
          <w:p>
            <w:pPr>
              <w:spacing w:after="0"/>
              <w:rPr>
                <w:sz w:val="16"/>
                <w:szCs w:val="16"/>
                <w:color w:val="auto"/>
              </w:rPr>
            </w:pPr>
          </w:p>
        </w:tc>
        <w:tc>
          <w:tcPr>
            <w:tcW w:w="100" w:type="dxa"/>
            <w:vAlign w:val="bottom"/>
            <w:shd w:val="clear" w:color="auto" w:fill="F4F3F3"/>
          </w:tcPr>
          <w:p>
            <w:pPr>
              <w:spacing w:after="0"/>
              <w:rPr>
                <w:sz w:val="16"/>
                <w:szCs w:val="16"/>
                <w:color w:val="auto"/>
              </w:rPr>
            </w:pPr>
          </w:p>
        </w:tc>
        <w:tc>
          <w:tcPr>
            <w:tcW w:w="940" w:type="dxa"/>
            <w:vAlign w:val="bottom"/>
            <w:shd w:val="clear" w:color="auto" w:fill="F4F3F3"/>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520" w:type="dxa"/>
            <w:vAlign w:val="bottom"/>
            <w:vMerge w:val="restart"/>
            <w:shd w:val="clear" w:color="auto" w:fill="F4F3F3"/>
          </w:tcPr>
          <w:p>
            <w:pPr>
              <w:ind w:left="80"/>
              <w:spacing w:after="0"/>
              <w:rPr>
                <w:sz w:val="20"/>
                <w:szCs w:val="20"/>
                <w:color w:val="auto"/>
              </w:rPr>
            </w:pPr>
            <w:r>
              <w:rPr>
                <w:rFonts w:ascii="Arial" w:cs="Arial" w:eastAsia="Arial" w:hAnsi="Arial"/>
                <w:sz w:val="16"/>
                <w:szCs w:val="16"/>
                <w:color w:val="998C87"/>
              </w:rPr>
              <w:t>Mr. Capuano</w:t>
            </w:r>
          </w:p>
        </w:tc>
        <w:tc>
          <w:tcPr>
            <w:tcW w:w="800" w:type="dxa"/>
            <w:vAlign w:val="bottom"/>
            <w:shd w:val="clear" w:color="auto" w:fill="F4F3F3"/>
          </w:tcPr>
          <w:p>
            <w:pPr>
              <w:jc w:val="center"/>
              <w:spacing w:after="0"/>
              <w:rPr>
                <w:sz w:val="20"/>
                <w:szCs w:val="20"/>
                <w:color w:val="auto"/>
              </w:rPr>
            </w:pPr>
            <w:r>
              <w:rPr>
                <w:rFonts w:ascii="Arial" w:cs="Arial" w:eastAsia="Arial" w:hAnsi="Arial"/>
                <w:sz w:val="16"/>
                <w:szCs w:val="16"/>
                <w:color w:val="auto"/>
              </w:rPr>
              <w:t>MVW SAR</w:t>
            </w:r>
          </w:p>
        </w:tc>
        <w:tc>
          <w:tcPr>
            <w:tcW w:w="920" w:type="dxa"/>
            <w:vAlign w:val="bottom"/>
            <w:shd w:val="clear" w:color="auto" w:fill="F4F3F3"/>
          </w:tcPr>
          <w:p>
            <w:pPr>
              <w:jc w:val="right"/>
              <w:spacing w:after="0"/>
              <w:rPr>
                <w:sz w:val="20"/>
                <w:szCs w:val="20"/>
                <w:color w:val="auto"/>
              </w:rPr>
            </w:pPr>
            <w:r>
              <w:rPr>
                <w:rFonts w:ascii="Arial" w:cs="Arial" w:eastAsia="Arial" w:hAnsi="Arial"/>
                <w:sz w:val="16"/>
                <w:szCs w:val="16"/>
                <w:color w:val="auto"/>
              </w:rPr>
              <w:t>5/26/17</w:t>
            </w:r>
          </w:p>
        </w:tc>
        <w:tc>
          <w:tcPr>
            <w:tcW w:w="1040" w:type="dxa"/>
            <w:vAlign w:val="bottom"/>
            <w:shd w:val="clear" w:color="auto" w:fill="F4F3F3"/>
          </w:tcPr>
          <w:p>
            <w:pPr>
              <w:jc w:val="right"/>
              <w:spacing w:after="0"/>
              <w:rPr>
                <w:sz w:val="20"/>
                <w:szCs w:val="20"/>
                <w:color w:val="auto"/>
              </w:rPr>
            </w:pPr>
            <w:r>
              <w:rPr>
                <w:rFonts w:ascii="Arial" w:cs="Arial" w:eastAsia="Arial" w:hAnsi="Arial"/>
                <w:sz w:val="16"/>
                <w:szCs w:val="16"/>
                <w:color w:val="auto"/>
              </w:rPr>
              <w:t>33,091</w:t>
            </w:r>
          </w:p>
        </w:tc>
        <w:tc>
          <w:tcPr>
            <w:tcW w:w="1220" w:type="dxa"/>
            <w:vAlign w:val="bottom"/>
            <w:shd w:val="clear" w:color="auto" w:fill="F4F3F3"/>
          </w:tcPr>
          <w:p>
            <w:pPr>
              <w:jc w:val="right"/>
              <w:ind w:right="39"/>
              <w:spacing w:after="0"/>
              <w:rPr>
                <w:sz w:val="20"/>
                <w:szCs w:val="20"/>
                <w:color w:val="auto"/>
              </w:rPr>
            </w:pPr>
            <w:r>
              <w:rPr>
                <w:rFonts w:ascii="Arial" w:cs="Arial" w:eastAsia="Arial" w:hAnsi="Arial"/>
                <w:sz w:val="16"/>
                <w:szCs w:val="16"/>
                <w:color w:val="auto"/>
              </w:rPr>
              <w:t>3,411,988</w:t>
            </w:r>
          </w:p>
        </w:tc>
        <w:tc>
          <w:tcPr>
            <w:tcW w:w="1440" w:type="dxa"/>
            <w:vAlign w:val="bottom"/>
            <w:vMerge w:val="restart"/>
            <w:shd w:val="clear" w:color="auto" w:fill="F4F3F3"/>
          </w:tcPr>
          <w:p>
            <w:pPr>
              <w:ind w:left="120"/>
              <w:spacing w:after="0"/>
              <w:rPr>
                <w:sz w:val="20"/>
                <w:szCs w:val="20"/>
                <w:color w:val="auto"/>
              </w:rPr>
            </w:pPr>
            <w:r>
              <w:rPr>
                <w:rFonts w:ascii="Arial" w:cs="Arial" w:eastAsia="Arial" w:hAnsi="Arial"/>
                <w:sz w:val="16"/>
                <w:szCs w:val="16"/>
                <w:color w:val="auto"/>
              </w:rPr>
              <w:t>MAR RSU/PSU</w:t>
            </w:r>
          </w:p>
        </w:tc>
        <w:tc>
          <w:tcPr>
            <w:tcW w:w="900" w:type="dxa"/>
            <w:vAlign w:val="bottom"/>
            <w:vMerge w:val="restart"/>
            <w:shd w:val="clear" w:color="auto" w:fill="F4F3F3"/>
          </w:tcPr>
          <w:p>
            <w:pPr>
              <w:ind w:left="300"/>
              <w:spacing w:after="0"/>
              <w:rPr>
                <w:sz w:val="20"/>
                <w:szCs w:val="20"/>
                <w:color w:val="auto"/>
              </w:rPr>
            </w:pPr>
            <w:r>
              <w:rPr>
                <w:rFonts w:ascii="Arial" w:cs="Arial" w:eastAsia="Arial" w:hAnsi="Arial"/>
                <w:sz w:val="16"/>
                <w:szCs w:val="16"/>
                <w:color w:val="auto"/>
              </w:rPr>
              <w:t>2/15/17</w:t>
            </w:r>
          </w:p>
        </w:tc>
        <w:tc>
          <w:tcPr>
            <w:tcW w:w="1120" w:type="dxa"/>
            <w:vAlign w:val="bottom"/>
            <w:vMerge w:val="restart"/>
            <w:shd w:val="clear" w:color="auto" w:fill="F4F3F3"/>
          </w:tcPr>
          <w:p>
            <w:pPr>
              <w:jc w:val="right"/>
              <w:ind w:right="59"/>
              <w:spacing w:after="0"/>
              <w:rPr>
                <w:sz w:val="20"/>
                <w:szCs w:val="20"/>
                <w:color w:val="auto"/>
              </w:rPr>
            </w:pPr>
            <w:r>
              <w:rPr>
                <w:rFonts w:ascii="Arial" w:cs="Arial" w:eastAsia="Arial" w:hAnsi="Arial"/>
                <w:sz w:val="16"/>
                <w:szCs w:val="16"/>
                <w:color w:val="auto"/>
              </w:rPr>
              <w:t>43,334</w:t>
            </w:r>
          </w:p>
        </w:tc>
        <w:tc>
          <w:tcPr>
            <w:tcW w:w="1040" w:type="dxa"/>
            <w:vAlign w:val="bottom"/>
            <w:gridSpan w:val="2"/>
            <w:vMerge w:val="restart"/>
            <w:shd w:val="clear" w:color="auto" w:fill="F4F3F3"/>
          </w:tcPr>
          <w:p>
            <w:pPr>
              <w:jc w:val="right"/>
              <w:spacing w:after="0"/>
              <w:rPr>
                <w:sz w:val="20"/>
                <w:szCs w:val="20"/>
                <w:color w:val="auto"/>
              </w:rPr>
            </w:pPr>
            <w:r>
              <w:rPr>
                <w:rFonts w:ascii="Arial" w:cs="Arial" w:eastAsia="Arial" w:hAnsi="Arial"/>
                <w:sz w:val="16"/>
                <w:szCs w:val="16"/>
                <w:color w:val="auto"/>
              </w:rPr>
              <w:t>3,829,426</w:t>
            </w:r>
          </w:p>
        </w:tc>
        <w:tc>
          <w:tcPr>
            <w:tcW w:w="0" w:type="dxa"/>
            <w:vAlign w:val="bottom"/>
          </w:tcPr>
          <w:p>
            <w:pPr>
              <w:spacing w:after="0"/>
              <w:rPr>
                <w:sz w:val="1"/>
                <w:szCs w:val="1"/>
                <w:color w:val="auto"/>
              </w:rPr>
            </w:pPr>
          </w:p>
        </w:tc>
      </w:tr>
      <w:tr>
        <w:trPr>
          <w:trHeight w:val="214"/>
        </w:trPr>
        <w:tc>
          <w:tcPr>
            <w:tcW w:w="2520" w:type="dxa"/>
            <w:vAlign w:val="bottom"/>
            <w:vMerge w:val="continue"/>
            <w:shd w:val="clear" w:color="auto" w:fill="F4F3F3"/>
          </w:tcPr>
          <w:p>
            <w:pPr>
              <w:spacing w:after="0"/>
              <w:rPr>
                <w:sz w:val="18"/>
                <w:szCs w:val="18"/>
                <w:color w:val="auto"/>
              </w:rPr>
            </w:pPr>
          </w:p>
        </w:tc>
        <w:tc>
          <w:tcPr>
            <w:tcW w:w="800" w:type="dxa"/>
            <w:vAlign w:val="bottom"/>
            <w:shd w:val="clear" w:color="auto" w:fill="F4F3F3"/>
          </w:tcPr>
          <w:p>
            <w:pPr>
              <w:spacing w:after="0"/>
              <w:rPr>
                <w:sz w:val="18"/>
                <w:szCs w:val="18"/>
                <w:color w:val="auto"/>
              </w:rPr>
            </w:pPr>
          </w:p>
        </w:tc>
        <w:tc>
          <w:tcPr>
            <w:tcW w:w="920" w:type="dxa"/>
            <w:vAlign w:val="bottom"/>
            <w:shd w:val="clear" w:color="auto" w:fill="F4F3F3"/>
          </w:tcPr>
          <w:p>
            <w:pPr>
              <w:spacing w:after="0"/>
              <w:rPr>
                <w:sz w:val="18"/>
                <w:szCs w:val="18"/>
                <w:color w:val="auto"/>
              </w:rPr>
            </w:pPr>
          </w:p>
        </w:tc>
        <w:tc>
          <w:tcPr>
            <w:tcW w:w="1040" w:type="dxa"/>
            <w:vAlign w:val="bottom"/>
            <w:shd w:val="clear" w:color="auto" w:fill="F4F3F3"/>
          </w:tcPr>
          <w:p>
            <w:pPr>
              <w:spacing w:after="0"/>
              <w:rPr>
                <w:sz w:val="18"/>
                <w:szCs w:val="18"/>
                <w:color w:val="auto"/>
              </w:rPr>
            </w:pPr>
          </w:p>
        </w:tc>
        <w:tc>
          <w:tcPr>
            <w:tcW w:w="1220" w:type="dxa"/>
            <w:vAlign w:val="bottom"/>
            <w:shd w:val="clear" w:color="auto" w:fill="F4F3F3"/>
          </w:tcPr>
          <w:p>
            <w:pPr>
              <w:spacing w:after="0"/>
              <w:rPr>
                <w:sz w:val="18"/>
                <w:szCs w:val="18"/>
                <w:color w:val="auto"/>
              </w:rPr>
            </w:pPr>
          </w:p>
        </w:tc>
        <w:tc>
          <w:tcPr>
            <w:tcW w:w="1440" w:type="dxa"/>
            <w:vAlign w:val="bottom"/>
            <w:vMerge w:val="continue"/>
            <w:shd w:val="clear" w:color="auto" w:fill="F4F3F3"/>
          </w:tcPr>
          <w:p>
            <w:pPr>
              <w:spacing w:after="0"/>
              <w:rPr>
                <w:sz w:val="18"/>
                <w:szCs w:val="18"/>
                <w:color w:val="auto"/>
              </w:rPr>
            </w:pPr>
          </w:p>
        </w:tc>
        <w:tc>
          <w:tcPr>
            <w:tcW w:w="900" w:type="dxa"/>
            <w:vAlign w:val="bottom"/>
            <w:vMerge w:val="continue"/>
            <w:shd w:val="clear" w:color="auto" w:fill="F4F3F3"/>
          </w:tcPr>
          <w:p>
            <w:pPr>
              <w:spacing w:after="0"/>
              <w:rPr>
                <w:sz w:val="18"/>
                <w:szCs w:val="18"/>
                <w:color w:val="auto"/>
              </w:rPr>
            </w:pPr>
          </w:p>
        </w:tc>
        <w:tc>
          <w:tcPr>
            <w:tcW w:w="1120" w:type="dxa"/>
            <w:vAlign w:val="bottom"/>
            <w:vMerge w:val="continue"/>
            <w:shd w:val="clear" w:color="auto" w:fill="F4F3F3"/>
          </w:tcPr>
          <w:p>
            <w:pPr>
              <w:spacing w:after="0"/>
              <w:rPr>
                <w:sz w:val="18"/>
                <w:szCs w:val="18"/>
                <w:color w:val="auto"/>
              </w:rPr>
            </w:pPr>
          </w:p>
        </w:tc>
        <w:tc>
          <w:tcPr>
            <w:tcW w:w="1040" w:type="dxa"/>
            <w:vAlign w:val="bottom"/>
            <w:gridSpan w:val="2"/>
            <w:vMerge w:val="continue"/>
            <w:shd w:val="clear" w:color="auto" w:fill="F4F3F3"/>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520" w:type="dxa"/>
            <w:vAlign w:val="bottom"/>
            <w:shd w:val="clear" w:color="auto" w:fill="F4F3F3"/>
          </w:tcPr>
          <w:p>
            <w:pPr>
              <w:ind w:left="80"/>
              <w:spacing w:after="0"/>
              <w:rPr>
                <w:sz w:val="20"/>
                <w:szCs w:val="20"/>
                <w:color w:val="auto"/>
              </w:rPr>
            </w:pPr>
            <w:r>
              <w:rPr>
                <w:rFonts w:ascii="Arial" w:cs="Arial" w:eastAsia="Arial" w:hAnsi="Arial"/>
                <w:sz w:val="16"/>
                <w:szCs w:val="16"/>
                <w:color w:val="998C87"/>
              </w:rPr>
              <w:t>Ms. Linnartz</w:t>
            </w:r>
          </w:p>
        </w:tc>
        <w:tc>
          <w:tcPr>
            <w:tcW w:w="800" w:type="dxa"/>
            <w:vAlign w:val="bottom"/>
            <w:shd w:val="clear" w:color="auto" w:fill="F4F3F3"/>
          </w:tcPr>
          <w:p>
            <w:pPr>
              <w:jc w:val="center"/>
              <w:spacing w:after="0"/>
              <w:rPr>
                <w:sz w:val="20"/>
                <w:szCs w:val="20"/>
                <w:color w:val="auto"/>
              </w:rPr>
            </w:pPr>
            <w:r>
              <w:rPr>
                <w:rFonts w:ascii="Arial" w:cs="Arial" w:eastAsia="Arial" w:hAnsi="Arial"/>
                <w:sz w:val="16"/>
                <w:szCs w:val="16"/>
                <w:color w:val="auto"/>
              </w:rPr>
              <w:t>MAR SAR</w:t>
            </w:r>
          </w:p>
        </w:tc>
        <w:tc>
          <w:tcPr>
            <w:tcW w:w="920" w:type="dxa"/>
            <w:vAlign w:val="bottom"/>
            <w:shd w:val="clear" w:color="auto" w:fill="F4F3F3"/>
          </w:tcPr>
          <w:p>
            <w:pPr>
              <w:jc w:val="right"/>
              <w:spacing w:after="0"/>
              <w:rPr>
                <w:sz w:val="20"/>
                <w:szCs w:val="20"/>
                <w:color w:val="auto"/>
              </w:rPr>
            </w:pPr>
            <w:r>
              <w:rPr>
                <w:rFonts w:ascii="Arial" w:cs="Arial" w:eastAsia="Arial" w:hAnsi="Arial"/>
                <w:sz w:val="16"/>
                <w:szCs w:val="16"/>
                <w:color w:val="auto"/>
              </w:rPr>
              <w:t>3/23/17</w:t>
            </w:r>
          </w:p>
        </w:tc>
        <w:tc>
          <w:tcPr>
            <w:tcW w:w="1040" w:type="dxa"/>
            <w:vAlign w:val="bottom"/>
            <w:shd w:val="clear" w:color="auto" w:fill="F4F3F3"/>
          </w:tcPr>
          <w:p>
            <w:pPr>
              <w:jc w:val="right"/>
              <w:spacing w:after="0"/>
              <w:rPr>
                <w:sz w:val="20"/>
                <w:szCs w:val="20"/>
                <w:color w:val="auto"/>
              </w:rPr>
            </w:pPr>
            <w:r>
              <w:rPr>
                <w:rFonts w:ascii="Arial" w:cs="Arial" w:eastAsia="Arial" w:hAnsi="Arial"/>
                <w:sz w:val="16"/>
                <w:szCs w:val="16"/>
                <w:color w:val="auto"/>
              </w:rPr>
              <w:t>27,978</w:t>
            </w:r>
          </w:p>
        </w:tc>
        <w:tc>
          <w:tcPr>
            <w:tcW w:w="1220" w:type="dxa"/>
            <w:vAlign w:val="bottom"/>
            <w:shd w:val="clear" w:color="auto" w:fill="F4F3F3"/>
          </w:tcPr>
          <w:p>
            <w:pPr>
              <w:jc w:val="right"/>
              <w:ind w:right="39"/>
              <w:spacing w:after="0"/>
              <w:rPr>
                <w:sz w:val="20"/>
                <w:szCs w:val="20"/>
                <w:color w:val="auto"/>
              </w:rPr>
            </w:pPr>
            <w:r>
              <w:rPr>
                <w:rFonts w:ascii="Arial" w:cs="Arial" w:eastAsia="Arial" w:hAnsi="Arial"/>
                <w:sz w:val="16"/>
                <w:szCs w:val="16"/>
                <w:color w:val="auto"/>
              </w:rPr>
              <w:t>1,634,195</w:t>
            </w:r>
          </w:p>
        </w:tc>
        <w:tc>
          <w:tcPr>
            <w:tcW w:w="1440" w:type="dxa"/>
            <w:vAlign w:val="bottom"/>
            <w:shd w:val="clear" w:color="auto" w:fill="F4F3F3"/>
          </w:tcPr>
          <w:p>
            <w:pPr>
              <w:ind w:left="120"/>
              <w:spacing w:after="0"/>
              <w:rPr>
                <w:sz w:val="20"/>
                <w:szCs w:val="20"/>
                <w:color w:val="auto"/>
              </w:rPr>
            </w:pPr>
            <w:r>
              <w:rPr>
                <w:rFonts w:ascii="Arial" w:cs="Arial" w:eastAsia="Arial" w:hAnsi="Arial"/>
                <w:sz w:val="16"/>
                <w:szCs w:val="16"/>
                <w:color w:val="auto"/>
              </w:rPr>
              <w:t>MAR RSU/PSU</w:t>
            </w:r>
          </w:p>
        </w:tc>
        <w:tc>
          <w:tcPr>
            <w:tcW w:w="900" w:type="dxa"/>
            <w:vAlign w:val="bottom"/>
            <w:shd w:val="clear" w:color="auto" w:fill="F4F3F3"/>
          </w:tcPr>
          <w:p>
            <w:pPr>
              <w:ind w:left="300"/>
              <w:spacing w:after="0"/>
              <w:rPr>
                <w:sz w:val="20"/>
                <w:szCs w:val="20"/>
                <w:color w:val="auto"/>
              </w:rPr>
            </w:pPr>
            <w:r>
              <w:rPr>
                <w:rFonts w:ascii="Arial" w:cs="Arial" w:eastAsia="Arial" w:hAnsi="Arial"/>
                <w:sz w:val="16"/>
                <w:szCs w:val="16"/>
                <w:color w:val="auto"/>
              </w:rPr>
              <w:t>2/15/17</w:t>
            </w:r>
          </w:p>
        </w:tc>
        <w:tc>
          <w:tcPr>
            <w:tcW w:w="1120" w:type="dxa"/>
            <w:vAlign w:val="bottom"/>
            <w:shd w:val="clear" w:color="auto" w:fill="F4F3F3"/>
          </w:tcPr>
          <w:p>
            <w:pPr>
              <w:jc w:val="right"/>
              <w:ind w:right="59"/>
              <w:spacing w:after="0"/>
              <w:rPr>
                <w:sz w:val="20"/>
                <w:szCs w:val="20"/>
                <w:color w:val="auto"/>
              </w:rPr>
            </w:pPr>
            <w:r>
              <w:rPr>
                <w:rFonts w:ascii="Arial" w:cs="Arial" w:eastAsia="Arial" w:hAnsi="Arial"/>
                <w:sz w:val="16"/>
                <w:szCs w:val="16"/>
                <w:color w:val="auto"/>
              </w:rPr>
              <w:t>17,003</w:t>
            </w:r>
          </w:p>
        </w:tc>
        <w:tc>
          <w:tcPr>
            <w:tcW w:w="1040" w:type="dxa"/>
            <w:vAlign w:val="bottom"/>
            <w:gridSpan w:val="2"/>
            <w:shd w:val="clear" w:color="auto" w:fill="F4F3F3"/>
          </w:tcPr>
          <w:p>
            <w:pPr>
              <w:jc w:val="right"/>
              <w:spacing w:after="0"/>
              <w:rPr>
                <w:sz w:val="20"/>
                <w:szCs w:val="20"/>
                <w:color w:val="auto"/>
              </w:rPr>
            </w:pPr>
            <w:r>
              <w:rPr>
                <w:rFonts w:ascii="Arial" w:cs="Arial" w:eastAsia="Arial" w:hAnsi="Arial"/>
                <w:sz w:val="16"/>
                <w:szCs w:val="16"/>
                <w:color w:val="auto"/>
              </w:rPr>
              <w:t>1,502,555</w:t>
            </w:r>
          </w:p>
        </w:tc>
        <w:tc>
          <w:tcPr>
            <w:tcW w:w="0" w:type="dxa"/>
            <w:vAlign w:val="bottom"/>
          </w:tcPr>
          <w:p>
            <w:pPr>
              <w:spacing w:after="0"/>
              <w:rPr>
                <w:sz w:val="1"/>
                <w:szCs w:val="1"/>
                <w:color w:val="auto"/>
              </w:rPr>
            </w:pPr>
          </w:p>
        </w:tc>
      </w:tr>
      <w:tr>
        <w:trPr>
          <w:trHeight w:val="202"/>
        </w:trPr>
        <w:tc>
          <w:tcPr>
            <w:tcW w:w="2520" w:type="dxa"/>
            <w:vAlign w:val="bottom"/>
            <w:shd w:val="clear" w:color="auto" w:fill="F4F3F3"/>
          </w:tcPr>
          <w:p>
            <w:pPr>
              <w:spacing w:after="0"/>
              <w:rPr>
                <w:sz w:val="17"/>
                <w:szCs w:val="17"/>
                <w:color w:val="auto"/>
              </w:rPr>
            </w:pPr>
          </w:p>
        </w:tc>
        <w:tc>
          <w:tcPr>
            <w:tcW w:w="800" w:type="dxa"/>
            <w:vAlign w:val="bottom"/>
            <w:shd w:val="clear" w:color="auto" w:fill="F4F3F3"/>
          </w:tcPr>
          <w:p>
            <w:pPr>
              <w:jc w:val="center"/>
              <w:spacing w:after="0"/>
              <w:rPr>
                <w:sz w:val="20"/>
                <w:szCs w:val="20"/>
                <w:color w:val="auto"/>
              </w:rPr>
            </w:pPr>
            <w:r>
              <w:rPr>
                <w:rFonts w:ascii="Arial" w:cs="Arial" w:eastAsia="Arial" w:hAnsi="Arial"/>
                <w:sz w:val="16"/>
                <w:szCs w:val="16"/>
                <w:color w:val="auto"/>
              </w:rPr>
              <w:t>MAR SAR</w:t>
            </w:r>
          </w:p>
        </w:tc>
        <w:tc>
          <w:tcPr>
            <w:tcW w:w="920" w:type="dxa"/>
            <w:vAlign w:val="bottom"/>
            <w:shd w:val="clear" w:color="auto" w:fill="F4F3F3"/>
          </w:tcPr>
          <w:p>
            <w:pPr>
              <w:jc w:val="right"/>
              <w:spacing w:after="0"/>
              <w:rPr>
                <w:sz w:val="20"/>
                <w:szCs w:val="20"/>
                <w:color w:val="auto"/>
              </w:rPr>
            </w:pPr>
            <w:r>
              <w:rPr>
                <w:rFonts w:ascii="Arial" w:cs="Arial" w:eastAsia="Arial" w:hAnsi="Arial"/>
                <w:sz w:val="16"/>
                <w:szCs w:val="16"/>
                <w:color w:val="auto"/>
              </w:rPr>
              <w:t>12/11/17</w:t>
            </w:r>
          </w:p>
        </w:tc>
        <w:tc>
          <w:tcPr>
            <w:tcW w:w="1040" w:type="dxa"/>
            <w:vAlign w:val="bottom"/>
            <w:shd w:val="clear" w:color="auto" w:fill="F4F3F3"/>
          </w:tcPr>
          <w:p>
            <w:pPr>
              <w:jc w:val="right"/>
              <w:spacing w:after="0"/>
              <w:rPr>
                <w:sz w:val="20"/>
                <w:szCs w:val="20"/>
                <w:color w:val="auto"/>
              </w:rPr>
            </w:pPr>
            <w:r>
              <w:rPr>
                <w:rFonts w:ascii="Arial" w:cs="Arial" w:eastAsia="Arial" w:hAnsi="Arial"/>
                <w:sz w:val="16"/>
                <w:szCs w:val="16"/>
                <w:color w:val="auto"/>
              </w:rPr>
              <w:t>17,763</w:t>
            </w:r>
          </w:p>
        </w:tc>
        <w:tc>
          <w:tcPr>
            <w:tcW w:w="1220" w:type="dxa"/>
            <w:vAlign w:val="bottom"/>
            <w:shd w:val="clear" w:color="auto" w:fill="F4F3F3"/>
          </w:tcPr>
          <w:p>
            <w:pPr>
              <w:jc w:val="right"/>
              <w:ind w:right="39"/>
              <w:spacing w:after="0"/>
              <w:rPr>
                <w:sz w:val="20"/>
                <w:szCs w:val="20"/>
                <w:color w:val="auto"/>
              </w:rPr>
            </w:pPr>
            <w:r>
              <w:rPr>
                <w:rFonts w:ascii="Arial" w:cs="Arial" w:eastAsia="Arial" w:hAnsi="Arial"/>
                <w:sz w:val="16"/>
                <w:szCs w:val="16"/>
                <w:color w:val="auto"/>
              </w:rPr>
              <w:t>1,340,218</w:t>
            </w:r>
          </w:p>
        </w:tc>
        <w:tc>
          <w:tcPr>
            <w:tcW w:w="1440" w:type="dxa"/>
            <w:vAlign w:val="bottom"/>
            <w:shd w:val="clear" w:color="auto" w:fill="F4F3F3"/>
          </w:tcPr>
          <w:p>
            <w:pPr>
              <w:ind w:left="120"/>
              <w:spacing w:after="0"/>
              <w:rPr>
                <w:sz w:val="20"/>
                <w:szCs w:val="20"/>
                <w:color w:val="auto"/>
              </w:rPr>
            </w:pPr>
            <w:r>
              <w:rPr>
                <w:rFonts w:ascii="Arial" w:cs="Arial" w:eastAsia="Arial" w:hAnsi="Arial"/>
                <w:sz w:val="16"/>
                <w:szCs w:val="16"/>
                <w:color w:val="auto"/>
              </w:rPr>
              <w:t>MAR RSU</w:t>
            </w:r>
          </w:p>
        </w:tc>
        <w:tc>
          <w:tcPr>
            <w:tcW w:w="900" w:type="dxa"/>
            <w:vAlign w:val="bottom"/>
            <w:shd w:val="clear" w:color="auto" w:fill="F4F3F3"/>
          </w:tcPr>
          <w:p>
            <w:pPr>
              <w:ind w:left="300"/>
              <w:spacing w:after="0"/>
              <w:rPr>
                <w:sz w:val="20"/>
                <w:szCs w:val="20"/>
                <w:color w:val="auto"/>
              </w:rPr>
            </w:pPr>
            <w:r>
              <w:rPr>
                <w:rFonts w:ascii="Arial" w:cs="Arial" w:eastAsia="Arial" w:hAnsi="Arial"/>
                <w:sz w:val="16"/>
                <w:szCs w:val="16"/>
                <w:color w:val="auto"/>
              </w:rPr>
              <w:t>3/15/17</w:t>
            </w:r>
          </w:p>
        </w:tc>
        <w:tc>
          <w:tcPr>
            <w:tcW w:w="1120" w:type="dxa"/>
            <w:vAlign w:val="bottom"/>
            <w:shd w:val="clear" w:color="auto" w:fill="F4F3F3"/>
          </w:tcPr>
          <w:p>
            <w:pPr>
              <w:jc w:val="right"/>
              <w:ind w:right="59"/>
              <w:spacing w:after="0"/>
              <w:rPr>
                <w:sz w:val="20"/>
                <w:szCs w:val="20"/>
                <w:color w:val="auto"/>
              </w:rPr>
            </w:pPr>
            <w:r>
              <w:rPr>
                <w:rFonts w:ascii="Arial" w:cs="Arial" w:eastAsia="Arial" w:hAnsi="Arial"/>
                <w:sz w:val="16"/>
                <w:szCs w:val="16"/>
                <w:color w:val="auto"/>
              </w:rPr>
              <w:t>1,588</w:t>
            </w:r>
          </w:p>
        </w:tc>
        <w:tc>
          <w:tcPr>
            <w:tcW w:w="1040" w:type="dxa"/>
            <w:vAlign w:val="bottom"/>
            <w:gridSpan w:val="2"/>
            <w:shd w:val="clear" w:color="auto" w:fill="F4F3F3"/>
          </w:tcPr>
          <w:p>
            <w:pPr>
              <w:jc w:val="right"/>
              <w:spacing w:after="0"/>
              <w:rPr>
                <w:sz w:val="20"/>
                <w:szCs w:val="20"/>
                <w:color w:val="auto"/>
              </w:rPr>
            </w:pPr>
            <w:r>
              <w:rPr>
                <w:rFonts w:ascii="Arial" w:cs="Arial" w:eastAsia="Arial" w:hAnsi="Arial"/>
                <w:sz w:val="16"/>
                <w:szCs w:val="16"/>
                <w:color w:val="auto"/>
              </w:rPr>
              <w:t>138,759</w:t>
            </w:r>
          </w:p>
        </w:tc>
        <w:tc>
          <w:tcPr>
            <w:tcW w:w="0" w:type="dxa"/>
            <w:vAlign w:val="bottom"/>
          </w:tcPr>
          <w:p>
            <w:pPr>
              <w:spacing w:after="0"/>
              <w:rPr>
                <w:sz w:val="1"/>
                <w:szCs w:val="1"/>
                <w:color w:val="auto"/>
              </w:rPr>
            </w:pPr>
          </w:p>
        </w:tc>
      </w:tr>
      <w:tr>
        <w:trPr>
          <w:trHeight w:val="202"/>
        </w:trPr>
        <w:tc>
          <w:tcPr>
            <w:tcW w:w="2520" w:type="dxa"/>
            <w:vAlign w:val="bottom"/>
            <w:shd w:val="clear" w:color="auto" w:fill="F4F3F3"/>
          </w:tcPr>
          <w:p>
            <w:pPr>
              <w:ind w:left="80"/>
              <w:spacing w:after="0"/>
              <w:rPr>
                <w:sz w:val="20"/>
                <w:szCs w:val="20"/>
                <w:color w:val="auto"/>
              </w:rPr>
            </w:pPr>
            <w:r>
              <w:rPr>
                <w:rFonts w:ascii="Arial" w:cs="Arial" w:eastAsia="Arial" w:hAnsi="Arial"/>
                <w:sz w:val="16"/>
                <w:szCs w:val="16"/>
                <w:color w:val="998C87"/>
              </w:rPr>
              <w:t>Mr. Grissen</w:t>
            </w:r>
          </w:p>
        </w:tc>
        <w:tc>
          <w:tcPr>
            <w:tcW w:w="800" w:type="dxa"/>
            <w:vAlign w:val="bottom"/>
            <w:shd w:val="clear" w:color="auto" w:fill="F4F3F3"/>
          </w:tcPr>
          <w:p>
            <w:pPr>
              <w:jc w:val="center"/>
              <w:spacing w:after="0"/>
              <w:rPr>
                <w:sz w:val="20"/>
                <w:szCs w:val="20"/>
                <w:color w:val="auto"/>
              </w:rPr>
            </w:pPr>
            <w:r>
              <w:rPr>
                <w:rFonts w:ascii="Arial" w:cs="Arial" w:eastAsia="Arial" w:hAnsi="Arial"/>
                <w:sz w:val="16"/>
                <w:szCs w:val="16"/>
                <w:color w:val="auto"/>
              </w:rPr>
              <w:t>MAR SAR</w:t>
            </w:r>
          </w:p>
        </w:tc>
        <w:tc>
          <w:tcPr>
            <w:tcW w:w="920" w:type="dxa"/>
            <w:vAlign w:val="bottom"/>
            <w:shd w:val="clear" w:color="auto" w:fill="F4F3F3"/>
          </w:tcPr>
          <w:p>
            <w:pPr>
              <w:jc w:val="right"/>
              <w:spacing w:after="0"/>
              <w:rPr>
                <w:sz w:val="20"/>
                <w:szCs w:val="20"/>
                <w:color w:val="auto"/>
              </w:rPr>
            </w:pPr>
            <w:r>
              <w:rPr>
                <w:rFonts w:ascii="Arial" w:cs="Arial" w:eastAsia="Arial" w:hAnsi="Arial"/>
                <w:sz w:val="16"/>
                <w:szCs w:val="16"/>
                <w:color w:val="auto"/>
              </w:rPr>
              <w:t>2/21/17</w:t>
            </w:r>
          </w:p>
        </w:tc>
        <w:tc>
          <w:tcPr>
            <w:tcW w:w="1040" w:type="dxa"/>
            <w:vAlign w:val="bottom"/>
            <w:shd w:val="clear" w:color="auto" w:fill="F4F3F3"/>
          </w:tcPr>
          <w:p>
            <w:pPr>
              <w:jc w:val="right"/>
              <w:spacing w:after="0"/>
              <w:rPr>
                <w:sz w:val="20"/>
                <w:szCs w:val="20"/>
                <w:color w:val="auto"/>
              </w:rPr>
            </w:pPr>
            <w:r>
              <w:rPr>
                <w:rFonts w:ascii="Arial" w:cs="Arial" w:eastAsia="Arial" w:hAnsi="Arial"/>
                <w:sz w:val="16"/>
                <w:szCs w:val="16"/>
                <w:color w:val="auto"/>
              </w:rPr>
              <w:t>28,912</w:t>
            </w:r>
          </w:p>
        </w:tc>
        <w:tc>
          <w:tcPr>
            <w:tcW w:w="1220" w:type="dxa"/>
            <w:vAlign w:val="bottom"/>
            <w:shd w:val="clear" w:color="auto" w:fill="F4F3F3"/>
          </w:tcPr>
          <w:p>
            <w:pPr>
              <w:jc w:val="right"/>
              <w:ind w:right="39"/>
              <w:spacing w:after="0"/>
              <w:rPr>
                <w:sz w:val="20"/>
                <w:szCs w:val="20"/>
                <w:color w:val="auto"/>
              </w:rPr>
            </w:pPr>
            <w:r>
              <w:rPr>
                <w:rFonts w:ascii="Arial" w:cs="Arial" w:eastAsia="Arial" w:hAnsi="Arial"/>
                <w:sz w:val="16"/>
                <w:szCs w:val="16"/>
                <w:color w:val="auto"/>
              </w:rPr>
              <w:t>1,805,476</w:t>
            </w:r>
          </w:p>
        </w:tc>
        <w:tc>
          <w:tcPr>
            <w:tcW w:w="1440" w:type="dxa"/>
            <w:vAlign w:val="bottom"/>
            <w:shd w:val="clear" w:color="auto" w:fill="F4F3F3"/>
          </w:tcPr>
          <w:p>
            <w:pPr>
              <w:ind w:left="120"/>
              <w:spacing w:after="0"/>
              <w:rPr>
                <w:sz w:val="20"/>
                <w:szCs w:val="20"/>
                <w:color w:val="auto"/>
              </w:rPr>
            </w:pPr>
            <w:r>
              <w:rPr>
                <w:rFonts w:ascii="Arial" w:cs="Arial" w:eastAsia="Arial" w:hAnsi="Arial"/>
                <w:sz w:val="16"/>
                <w:szCs w:val="16"/>
                <w:color w:val="auto"/>
              </w:rPr>
              <w:t>MAR RSU/PSU</w:t>
            </w:r>
          </w:p>
        </w:tc>
        <w:tc>
          <w:tcPr>
            <w:tcW w:w="900" w:type="dxa"/>
            <w:vAlign w:val="bottom"/>
            <w:shd w:val="clear" w:color="auto" w:fill="F4F3F3"/>
          </w:tcPr>
          <w:p>
            <w:pPr>
              <w:ind w:left="300"/>
              <w:spacing w:after="0"/>
              <w:rPr>
                <w:sz w:val="20"/>
                <w:szCs w:val="20"/>
                <w:color w:val="auto"/>
              </w:rPr>
            </w:pPr>
            <w:r>
              <w:rPr>
                <w:rFonts w:ascii="Arial" w:cs="Arial" w:eastAsia="Arial" w:hAnsi="Arial"/>
                <w:sz w:val="16"/>
                <w:szCs w:val="16"/>
                <w:color w:val="auto"/>
              </w:rPr>
              <w:t>2/15/17</w:t>
            </w:r>
          </w:p>
        </w:tc>
        <w:tc>
          <w:tcPr>
            <w:tcW w:w="1120" w:type="dxa"/>
            <w:vAlign w:val="bottom"/>
            <w:shd w:val="clear" w:color="auto" w:fill="F4F3F3"/>
          </w:tcPr>
          <w:p>
            <w:pPr>
              <w:jc w:val="right"/>
              <w:ind w:right="59"/>
              <w:spacing w:after="0"/>
              <w:rPr>
                <w:sz w:val="20"/>
                <w:szCs w:val="20"/>
                <w:color w:val="auto"/>
              </w:rPr>
            </w:pPr>
            <w:r>
              <w:rPr>
                <w:rFonts w:ascii="Arial" w:cs="Arial" w:eastAsia="Arial" w:hAnsi="Arial"/>
                <w:sz w:val="16"/>
                <w:szCs w:val="16"/>
                <w:color w:val="auto"/>
              </w:rPr>
              <w:t>34,675</w:t>
            </w:r>
          </w:p>
        </w:tc>
        <w:tc>
          <w:tcPr>
            <w:tcW w:w="1040" w:type="dxa"/>
            <w:vAlign w:val="bottom"/>
            <w:gridSpan w:val="2"/>
            <w:shd w:val="clear" w:color="auto" w:fill="F4F3F3"/>
          </w:tcPr>
          <w:p>
            <w:pPr>
              <w:jc w:val="right"/>
              <w:spacing w:after="0"/>
              <w:rPr>
                <w:sz w:val="20"/>
                <w:szCs w:val="20"/>
                <w:color w:val="auto"/>
              </w:rPr>
            </w:pPr>
            <w:r>
              <w:rPr>
                <w:rFonts w:ascii="Arial" w:cs="Arial" w:eastAsia="Arial" w:hAnsi="Arial"/>
                <w:sz w:val="16"/>
                <w:szCs w:val="16"/>
                <w:color w:val="auto"/>
              </w:rPr>
              <w:t>3,064,230</w:t>
            </w:r>
          </w:p>
        </w:tc>
        <w:tc>
          <w:tcPr>
            <w:tcW w:w="0" w:type="dxa"/>
            <w:vAlign w:val="bottom"/>
          </w:tcPr>
          <w:p>
            <w:pPr>
              <w:spacing w:after="0"/>
              <w:rPr>
                <w:sz w:val="1"/>
                <w:szCs w:val="1"/>
                <w:color w:val="auto"/>
              </w:rPr>
            </w:pPr>
          </w:p>
        </w:tc>
      </w:tr>
      <w:tr>
        <w:trPr>
          <w:trHeight w:val="202"/>
        </w:trPr>
        <w:tc>
          <w:tcPr>
            <w:tcW w:w="2520" w:type="dxa"/>
            <w:vAlign w:val="bottom"/>
            <w:vMerge w:val="restart"/>
            <w:shd w:val="clear" w:color="auto" w:fill="F4F3F3"/>
          </w:tcPr>
          <w:p>
            <w:pPr>
              <w:ind w:left="80"/>
              <w:spacing w:after="0"/>
              <w:rPr>
                <w:sz w:val="20"/>
                <w:szCs w:val="20"/>
                <w:color w:val="auto"/>
              </w:rPr>
            </w:pPr>
            <w:r>
              <w:rPr>
                <w:rFonts w:ascii="Arial" w:cs="Arial" w:eastAsia="Arial" w:hAnsi="Arial"/>
                <w:sz w:val="16"/>
                <w:szCs w:val="16"/>
                <w:color w:val="998C87"/>
              </w:rPr>
              <w:t>Ms. Oberg</w:t>
            </w:r>
          </w:p>
        </w:tc>
        <w:tc>
          <w:tcPr>
            <w:tcW w:w="800" w:type="dxa"/>
            <w:vAlign w:val="bottom"/>
            <w:shd w:val="clear" w:color="auto" w:fill="F4F3F3"/>
          </w:tcPr>
          <w:p>
            <w:pPr>
              <w:jc w:val="center"/>
              <w:spacing w:after="0"/>
              <w:rPr>
                <w:sz w:val="20"/>
                <w:szCs w:val="20"/>
                <w:color w:val="auto"/>
              </w:rPr>
            </w:pPr>
            <w:r>
              <w:rPr>
                <w:rFonts w:ascii="Arial" w:cs="Arial" w:eastAsia="Arial" w:hAnsi="Arial"/>
                <w:sz w:val="16"/>
                <w:szCs w:val="16"/>
                <w:color w:val="auto"/>
              </w:rPr>
              <w:t>MAR SAR</w:t>
            </w:r>
          </w:p>
        </w:tc>
        <w:tc>
          <w:tcPr>
            <w:tcW w:w="920" w:type="dxa"/>
            <w:vAlign w:val="bottom"/>
            <w:shd w:val="clear" w:color="auto" w:fill="F4F3F3"/>
          </w:tcPr>
          <w:p>
            <w:pPr>
              <w:jc w:val="right"/>
              <w:spacing w:after="0"/>
              <w:rPr>
                <w:sz w:val="20"/>
                <w:szCs w:val="20"/>
                <w:color w:val="auto"/>
              </w:rPr>
            </w:pPr>
            <w:r>
              <w:rPr>
                <w:rFonts w:ascii="Arial" w:cs="Arial" w:eastAsia="Arial" w:hAnsi="Arial"/>
                <w:sz w:val="16"/>
                <w:szCs w:val="16"/>
                <w:color w:val="auto"/>
              </w:rPr>
              <w:t>12/7/17</w:t>
            </w:r>
          </w:p>
        </w:tc>
        <w:tc>
          <w:tcPr>
            <w:tcW w:w="1040" w:type="dxa"/>
            <w:vAlign w:val="bottom"/>
            <w:shd w:val="clear" w:color="auto" w:fill="F4F3F3"/>
          </w:tcPr>
          <w:p>
            <w:pPr>
              <w:jc w:val="right"/>
              <w:spacing w:after="0"/>
              <w:rPr>
                <w:sz w:val="20"/>
                <w:szCs w:val="20"/>
                <w:color w:val="auto"/>
              </w:rPr>
            </w:pPr>
            <w:r>
              <w:rPr>
                <w:rFonts w:ascii="Arial" w:cs="Arial" w:eastAsia="Arial" w:hAnsi="Arial"/>
                <w:sz w:val="16"/>
                <w:szCs w:val="16"/>
                <w:color w:val="auto"/>
              </w:rPr>
              <w:t>5,000</w:t>
            </w:r>
          </w:p>
        </w:tc>
        <w:tc>
          <w:tcPr>
            <w:tcW w:w="1220" w:type="dxa"/>
            <w:vAlign w:val="bottom"/>
            <w:shd w:val="clear" w:color="auto" w:fill="F4F3F3"/>
          </w:tcPr>
          <w:p>
            <w:pPr>
              <w:jc w:val="right"/>
              <w:ind w:right="39"/>
              <w:spacing w:after="0"/>
              <w:rPr>
                <w:sz w:val="20"/>
                <w:szCs w:val="20"/>
                <w:color w:val="auto"/>
              </w:rPr>
            </w:pPr>
            <w:r>
              <w:rPr>
                <w:rFonts w:ascii="Arial" w:cs="Arial" w:eastAsia="Arial" w:hAnsi="Arial"/>
                <w:sz w:val="16"/>
                <w:szCs w:val="16"/>
                <w:color w:val="auto"/>
              </w:rPr>
              <w:t>511,777</w:t>
            </w:r>
          </w:p>
        </w:tc>
        <w:tc>
          <w:tcPr>
            <w:tcW w:w="1440" w:type="dxa"/>
            <w:vAlign w:val="bottom"/>
            <w:vMerge w:val="restart"/>
            <w:shd w:val="clear" w:color="auto" w:fill="F4F3F3"/>
          </w:tcPr>
          <w:p>
            <w:pPr>
              <w:ind w:left="120"/>
              <w:spacing w:after="0"/>
              <w:rPr>
                <w:sz w:val="20"/>
                <w:szCs w:val="20"/>
                <w:color w:val="auto"/>
              </w:rPr>
            </w:pPr>
            <w:r>
              <w:rPr>
                <w:rFonts w:ascii="Arial" w:cs="Arial" w:eastAsia="Arial" w:hAnsi="Arial"/>
                <w:sz w:val="16"/>
                <w:szCs w:val="16"/>
                <w:color w:val="auto"/>
              </w:rPr>
              <w:t>MAR RSU</w:t>
            </w:r>
          </w:p>
        </w:tc>
        <w:tc>
          <w:tcPr>
            <w:tcW w:w="900" w:type="dxa"/>
            <w:vAlign w:val="bottom"/>
            <w:vMerge w:val="restart"/>
            <w:shd w:val="clear" w:color="auto" w:fill="F4F3F3"/>
          </w:tcPr>
          <w:p>
            <w:pPr>
              <w:ind w:left="300"/>
              <w:spacing w:after="0"/>
              <w:rPr>
                <w:sz w:val="20"/>
                <w:szCs w:val="20"/>
                <w:color w:val="auto"/>
              </w:rPr>
            </w:pPr>
            <w:r>
              <w:rPr>
                <w:rFonts w:ascii="Arial" w:cs="Arial" w:eastAsia="Arial" w:hAnsi="Arial"/>
                <w:sz w:val="16"/>
                <w:szCs w:val="16"/>
                <w:color w:val="auto"/>
              </w:rPr>
              <w:t>2/15/17</w:t>
            </w:r>
          </w:p>
        </w:tc>
        <w:tc>
          <w:tcPr>
            <w:tcW w:w="1120" w:type="dxa"/>
            <w:vAlign w:val="bottom"/>
            <w:vMerge w:val="restart"/>
            <w:shd w:val="clear" w:color="auto" w:fill="F4F3F3"/>
          </w:tcPr>
          <w:p>
            <w:pPr>
              <w:jc w:val="right"/>
              <w:ind w:right="59"/>
              <w:spacing w:after="0"/>
              <w:rPr>
                <w:sz w:val="20"/>
                <w:szCs w:val="20"/>
                <w:color w:val="auto"/>
              </w:rPr>
            </w:pPr>
            <w:r>
              <w:rPr>
                <w:rFonts w:ascii="Arial" w:cs="Arial" w:eastAsia="Arial" w:hAnsi="Arial"/>
                <w:sz w:val="16"/>
                <w:szCs w:val="16"/>
                <w:color w:val="auto"/>
              </w:rPr>
              <w:t>5,866</w:t>
            </w:r>
          </w:p>
        </w:tc>
        <w:tc>
          <w:tcPr>
            <w:tcW w:w="1040" w:type="dxa"/>
            <w:vAlign w:val="bottom"/>
            <w:gridSpan w:val="2"/>
            <w:vMerge w:val="restart"/>
            <w:shd w:val="clear" w:color="auto" w:fill="F4F3F3"/>
          </w:tcPr>
          <w:p>
            <w:pPr>
              <w:jc w:val="right"/>
              <w:spacing w:after="0"/>
              <w:rPr>
                <w:sz w:val="20"/>
                <w:szCs w:val="20"/>
                <w:color w:val="auto"/>
              </w:rPr>
            </w:pPr>
            <w:r>
              <w:rPr>
                <w:rFonts w:ascii="Arial" w:cs="Arial" w:eastAsia="Arial" w:hAnsi="Arial"/>
                <w:sz w:val="16"/>
                <w:szCs w:val="16"/>
                <w:color w:val="auto"/>
              </w:rPr>
              <w:t>518,378</w:t>
            </w:r>
          </w:p>
        </w:tc>
        <w:tc>
          <w:tcPr>
            <w:tcW w:w="0" w:type="dxa"/>
            <w:vAlign w:val="bottom"/>
          </w:tcPr>
          <w:p>
            <w:pPr>
              <w:spacing w:after="0"/>
              <w:rPr>
                <w:sz w:val="1"/>
                <w:szCs w:val="1"/>
                <w:color w:val="auto"/>
              </w:rPr>
            </w:pPr>
          </w:p>
        </w:tc>
      </w:tr>
      <w:tr>
        <w:trPr>
          <w:trHeight w:val="202"/>
        </w:trPr>
        <w:tc>
          <w:tcPr>
            <w:tcW w:w="2520" w:type="dxa"/>
            <w:vAlign w:val="bottom"/>
            <w:vMerge w:val="continue"/>
            <w:shd w:val="clear" w:color="auto" w:fill="F4F3F3"/>
          </w:tcPr>
          <w:p>
            <w:pPr>
              <w:spacing w:after="0"/>
              <w:rPr>
                <w:sz w:val="17"/>
                <w:szCs w:val="17"/>
                <w:color w:val="auto"/>
              </w:rPr>
            </w:pPr>
          </w:p>
        </w:tc>
        <w:tc>
          <w:tcPr>
            <w:tcW w:w="800" w:type="dxa"/>
            <w:vAlign w:val="bottom"/>
            <w:shd w:val="clear" w:color="auto" w:fill="F4F3F3"/>
          </w:tcPr>
          <w:p>
            <w:pPr>
              <w:spacing w:after="0"/>
              <w:rPr>
                <w:sz w:val="17"/>
                <w:szCs w:val="17"/>
                <w:color w:val="auto"/>
              </w:rPr>
            </w:pPr>
          </w:p>
        </w:tc>
        <w:tc>
          <w:tcPr>
            <w:tcW w:w="920" w:type="dxa"/>
            <w:vAlign w:val="bottom"/>
            <w:shd w:val="clear" w:color="auto" w:fill="F4F3F3"/>
          </w:tcPr>
          <w:p>
            <w:pPr>
              <w:spacing w:after="0"/>
              <w:rPr>
                <w:sz w:val="17"/>
                <w:szCs w:val="17"/>
                <w:color w:val="auto"/>
              </w:rPr>
            </w:pPr>
          </w:p>
        </w:tc>
        <w:tc>
          <w:tcPr>
            <w:tcW w:w="1040" w:type="dxa"/>
            <w:vAlign w:val="bottom"/>
            <w:shd w:val="clear" w:color="auto" w:fill="F4F3F3"/>
          </w:tcPr>
          <w:p>
            <w:pPr>
              <w:spacing w:after="0"/>
              <w:rPr>
                <w:sz w:val="17"/>
                <w:szCs w:val="17"/>
                <w:color w:val="auto"/>
              </w:rPr>
            </w:pPr>
          </w:p>
        </w:tc>
        <w:tc>
          <w:tcPr>
            <w:tcW w:w="1220" w:type="dxa"/>
            <w:vAlign w:val="bottom"/>
            <w:shd w:val="clear" w:color="auto" w:fill="F4F3F3"/>
          </w:tcPr>
          <w:p>
            <w:pPr>
              <w:spacing w:after="0"/>
              <w:rPr>
                <w:sz w:val="17"/>
                <w:szCs w:val="17"/>
                <w:color w:val="auto"/>
              </w:rPr>
            </w:pPr>
          </w:p>
        </w:tc>
        <w:tc>
          <w:tcPr>
            <w:tcW w:w="1440" w:type="dxa"/>
            <w:vAlign w:val="bottom"/>
            <w:vMerge w:val="continue"/>
            <w:shd w:val="clear" w:color="auto" w:fill="F4F3F3"/>
          </w:tcPr>
          <w:p>
            <w:pPr>
              <w:spacing w:after="0"/>
              <w:rPr>
                <w:sz w:val="17"/>
                <w:szCs w:val="17"/>
                <w:color w:val="auto"/>
              </w:rPr>
            </w:pPr>
          </w:p>
        </w:tc>
        <w:tc>
          <w:tcPr>
            <w:tcW w:w="900" w:type="dxa"/>
            <w:vAlign w:val="bottom"/>
            <w:vMerge w:val="continue"/>
            <w:shd w:val="clear" w:color="auto" w:fill="F4F3F3"/>
          </w:tcPr>
          <w:p>
            <w:pPr>
              <w:spacing w:after="0"/>
              <w:rPr>
                <w:sz w:val="17"/>
                <w:szCs w:val="17"/>
                <w:color w:val="auto"/>
              </w:rPr>
            </w:pPr>
          </w:p>
        </w:tc>
        <w:tc>
          <w:tcPr>
            <w:tcW w:w="1120" w:type="dxa"/>
            <w:vAlign w:val="bottom"/>
            <w:vMerge w:val="continue"/>
            <w:shd w:val="clear" w:color="auto" w:fill="F4F3F3"/>
          </w:tcPr>
          <w:p>
            <w:pPr>
              <w:spacing w:after="0"/>
              <w:rPr>
                <w:sz w:val="17"/>
                <w:szCs w:val="17"/>
                <w:color w:val="auto"/>
              </w:rPr>
            </w:pPr>
          </w:p>
        </w:tc>
        <w:tc>
          <w:tcPr>
            <w:tcW w:w="1040" w:type="dxa"/>
            <w:vAlign w:val="bottom"/>
            <w:gridSpan w:val="2"/>
            <w:vMerge w:val="continue"/>
            <w:shd w:val="clear" w:color="auto" w:fill="F4F3F3"/>
          </w:tcPr>
          <w:p>
            <w:pPr>
              <w:spacing w:after="0"/>
              <w:rPr>
                <w:sz w:val="17"/>
                <w:szCs w:val="17"/>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420" w:right="380" w:hanging="210"/>
        <w:spacing w:after="0" w:line="187" w:lineRule="auto"/>
        <w:tabs>
          <w:tab w:leader="none" w:pos="420" w:val="left"/>
        </w:tabs>
        <w:numPr>
          <w:ilvl w:val="0"/>
          <w:numId w:val="114"/>
        </w:numPr>
        <w:rPr>
          <w:rFonts w:ascii="Arial" w:cs="Arial" w:eastAsia="Arial" w:hAnsi="Arial"/>
          <w:sz w:val="24"/>
          <w:szCs w:val="24"/>
          <w:color w:val="333333"/>
          <w:vertAlign w:val="superscript"/>
        </w:rPr>
      </w:pPr>
      <w:r>
        <w:rPr>
          <w:rFonts w:ascii="Arial" w:cs="Arial" w:eastAsia="Arial" w:hAnsi="Arial"/>
          <w:sz w:val="14"/>
          <w:szCs w:val="14"/>
          <w:color w:val="333333"/>
        </w:rPr>
        <w:t>For SARs that were exercised, the number of shares in this column reflects the nominal number of shares that were subject to SARs. The number of shares actually delivered under the SARs was lower and represented the value realized on exercise divided by the average market value at exercise.</w:t>
      </w:r>
    </w:p>
    <w:p>
      <w:pPr>
        <w:spacing w:after="0" w:line="1" w:lineRule="exact"/>
        <w:rPr>
          <w:rFonts w:ascii="Arial" w:cs="Arial" w:eastAsia="Arial" w:hAnsi="Arial"/>
          <w:sz w:val="24"/>
          <w:szCs w:val="24"/>
          <w:color w:val="333333"/>
          <w:vertAlign w:val="superscript"/>
        </w:rPr>
      </w:pPr>
    </w:p>
    <w:p>
      <w:pPr>
        <w:ind w:left="420" w:hanging="210"/>
        <w:spacing w:after="0" w:line="187" w:lineRule="auto"/>
        <w:tabs>
          <w:tab w:leader="none" w:pos="420" w:val="left"/>
        </w:tabs>
        <w:numPr>
          <w:ilvl w:val="0"/>
          <w:numId w:val="114"/>
        </w:numPr>
        <w:rPr>
          <w:rFonts w:ascii="Arial" w:cs="Arial" w:eastAsia="Arial" w:hAnsi="Arial"/>
          <w:sz w:val="18"/>
          <w:szCs w:val="18"/>
          <w:color w:val="333333"/>
          <w:vertAlign w:val="superscript"/>
        </w:rPr>
      </w:pPr>
      <w:r>
        <w:rPr>
          <w:rFonts w:ascii="Arial" w:cs="Arial" w:eastAsia="Arial" w:hAnsi="Arial"/>
          <w:sz w:val="11"/>
          <w:szCs w:val="11"/>
          <w:color w:val="333333"/>
        </w:rPr>
        <w:t>The value realized upon exercise is based on the current trading price at the time of exercise.</w:t>
      </w:r>
    </w:p>
    <w:p>
      <w:pPr>
        <w:ind w:left="420" w:hanging="210"/>
        <w:spacing w:after="0" w:line="183" w:lineRule="auto"/>
        <w:tabs>
          <w:tab w:leader="none" w:pos="420" w:val="left"/>
        </w:tabs>
        <w:numPr>
          <w:ilvl w:val="0"/>
          <w:numId w:val="114"/>
        </w:numPr>
        <w:rPr>
          <w:rFonts w:ascii="Arial" w:cs="Arial" w:eastAsia="Arial" w:hAnsi="Arial"/>
          <w:sz w:val="20"/>
          <w:szCs w:val="20"/>
          <w:color w:val="333333"/>
          <w:vertAlign w:val="superscript"/>
        </w:rPr>
      </w:pPr>
      <w:r>
        <w:rPr>
          <w:rFonts w:ascii="Arial" w:cs="Arial" w:eastAsia="Arial" w:hAnsi="Arial"/>
          <w:sz w:val="12"/>
          <w:szCs w:val="12"/>
          <w:color w:val="333333"/>
        </w:rPr>
        <w:t>The value realized upon vesting is based on the average of the high and low stock price on the vesting date.</w:t>
      </w:r>
    </w:p>
    <w:p>
      <w:pPr>
        <w:spacing w:after="0" w:line="84" w:lineRule="exact"/>
        <w:rPr>
          <w:sz w:val="20"/>
          <w:szCs w:val="20"/>
          <w:color w:val="auto"/>
        </w:rPr>
      </w:pPr>
    </w:p>
    <w:p>
      <w:pPr>
        <w:ind w:left="220" w:right="200"/>
        <w:spacing w:after="0" w:line="247" w:lineRule="auto"/>
        <w:rPr>
          <w:sz w:val="20"/>
          <w:szCs w:val="20"/>
          <w:color w:val="auto"/>
        </w:rPr>
      </w:pPr>
      <w:r>
        <w:rPr>
          <w:rFonts w:ascii="Arial" w:cs="Arial" w:eastAsia="Arial" w:hAnsi="Arial"/>
          <w:sz w:val="17"/>
          <w:szCs w:val="17"/>
          <w:color w:val="auto"/>
        </w:rPr>
        <w:t>The following tables include additional information regarding the value realized by the NEOs in 2017 on the exercise or vesting of Marriott stock awards reported in the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142240</wp:posOffset>
            </wp:positionV>
            <wp:extent cx="6989445" cy="19361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89445" cy="1936115"/>
                    </a:xfrm>
                    <a:prstGeom prst="rect">
                      <a:avLst/>
                    </a:prstGeom>
                    <a:noFill/>
                  </pic:spPr>
                </pic:pic>
              </a:graphicData>
            </a:graphic>
          </wp:anchor>
        </w:drawing>
      </w:r>
    </w:p>
    <w:p>
      <w:pPr>
        <w:spacing w:after="0" w:line="204" w:lineRule="exact"/>
        <w:rPr>
          <w:sz w:val="20"/>
          <w:szCs w:val="20"/>
          <w:color w:val="auto"/>
        </w:rPr>
      </w:pPr>
    </w:p>
    <w:tbl>
      <w:tblPr>
        <w:tblLayout w:type="fixed"/>
        <w:tblInd w:w="220" w:type="dxa"/>
        <w:tblCellMar>
          <w:top w:w="0" w:type="dxa"/>
          <w:left w:w="0" w:type="dxa"/>
          <w:bottom w:w="0" w:type="dxa"/>
          <w:right w:w="0" w:type="dxa"/>
        </w:tblCellMar>
      </w:tblPr>
      <w:tr>
        <w:trPr>
          <w:trHeight w:val="229"/>
        </w:trPr>
        <w:tc>
          <w:tcPr>
            <w:tcW w:w="3180" w:type="dxa"/>
            <w:vAlign w:val="bottom"/>
            <w:shd w:val="clear" w:color="auto" w:fill="998C87"/>
          </w:tcPr>
          <w:p>
            <w:pPr>
              <w:spacing w:after="0"/>
              <w:rPr>
                <w:sz w:val="19"/>
                <w:szCs w:val="19"/>
                <w:color w:val="auto"/>
              </w:rPr>
            </w:pPr>
          </w:p>
        </w:tc>
        <w:tc>
          <w:tcPr>
            <w:tcW w:w="935" w:type="dxa"/>
            <w:vAlign w:val="bottom"/>
            <w:shd w:val="clear" w:color="auto" w:fill="998C87"/>
          </w:tcPr>
          <w:p>
            <w:pPr>
              <w:spacing w:after="0"/>
              <w:rPr>
                <w:sz w:val="19"/>
                <w:szCs w:val="19"/>
                <w:color w:val="auto"/>
              </w:rPr>
            </w:pPr>
          </w:p>
        </w:tc>
        <w:tc>
          <w:tcPr>
            <w:tcW w:w="985" w:type="dxa"/>
            <w:vAlign w:val="bottom"/>
            <w:shd w:val="clear" w:color="auto" w:fill="998C87"/>
          </w:tcPr>
          <w:p>
            <w:pPr>
              <w:spacing w:after="0"/>
              <w:rPr>
                <w:sz w:val="19"/>
                <w:szCs w:val="19"/>
                <w:color w:val="auto"/>
              </w:rPr>
            </w:pPr>
          </w:p>
        </w:tc>
        <w:tc>
          <w:tcPr>
            <w:tcW w:w="940" w:type="dxa"/>
            <w:vAlign w:val="bottom"/>
            <w:shd w:val="clear" w:color="auto" w:fill="998C87"/>
          </w:tcPr>
          <w:p>
            <w:pPr>
              <w:spacing w:after="0"/>
              <w:rPr>
                <w:sz w:val="19"/>
                <w:szCs w:val="19"/>
                <w:color w:val="auto"/>
              </w:rPr>
            </w:pPr>
          </w:p>
        </w:tc>
        <w:tc>
          <w:tcPr>
            <w:tcW w:w="1840" w:type="dxa"/>
            <w:vAlign w:val="bottom"/>
            <w:gridSpan w:val="2"/>
            <w:shd w:val="clear" w:color="auto" w:fill="998C87"/>
          </w:tcPr>
          <w:p>
            <w:pPr>
              <w:jc w:val="right"/>
              <w:spacing w:after="0"/>
              <w:rPr>
                <w:sz w:val="20"/>
                <w:szCs w:val="20"/>
                <w:color w:val="auto"/>
              </w:rPr>
            </w:pPr>
            <w:r>
              <w:rPr>
                <w:rFonts w:ascii="Arial" w:cs="Arial" w:eastAsia="Arial" w:hAnsi="Arial"/>
                <w:sz w:val="16"/>
                <w:szCs w:val="16"/>
                <w:b w:val="1"/>
                <w:bCs w:val="1"/>
                <w:color w:val="FFFFFF"/>
              </w:rPr>
              <w:t>2017 SAR Exercises</w:t>
            </w:r>
          </w:p>
        </w:tc>
        <w:tc>
          <w:tcPr>
            <w:tcW w:w="820" w:type="dxa"/>
            <w:vAlign w:val="bottom"/>
            <w:shd w:val="clear" w:color="auto" w:fill="998C87"/>
          </w:tcPr>
          <w:p>
            <w:pPr>
              <w:spacing w:after="0"/>
              <w:rPr>
                <w:sz w:val="19"/>
                <w:szCs w:val="19"/>
                <w:color w:val="auto"/>
              </w:rPr>
            </w:pPr>
          </w:p>
        </w:tc>
        <w:tc>
          <w:tcPr>
            <w:tcW w:w="1180" w:type="dxa"/>
            <w:vAlign w:val="bottom"/>
            <w:shd w:val="clear" w:color="auto" w:fill="998C87"/>
          </w:tcPr>
          <w:p>
            <w:pPr>
              <w:spacing w:after="0"/>
              <w:rPr>
                <w:sz w:val="19"/>
                <w:szCs w:val="19"/>
                <w:color w:val="auto"/>
              </w:rPr>
            </w:pPr>
          </w:p>
        </w:tc>
        <w:tc>
          <w:tcPr>
            <w:tcW w:w="1120" w:type="dxa"/>
            <w:vAlign w:val="bottom"/>
            <w:shd w:val="clear" w:color="auto" w:fill="998C87"/>
          </w:tcPr>
          <w:p>
            <w:pPr>
              <w:spacing w:after="0"/>
              <w:rPr>
                <w:sz w:val="19"/>
                <w:szCs w:val="19"/>
                <w:color w:val="auto"/>
              </w:rPr>
            </w:pPr>
          </w:p>
        </w:tc>
      </w:tr>
      <w:tr>
        <w:trPr>
          <w:trHeight w:val="182"/>
        </w:trPr>
        <w:tc>
          <w:tcPr>
            <w:tcW w:w="3180" w:type="dxa"/>
            <w:vAlign w:val="bottom"/>
            <w:shd w:val="clear" w:color="auto" w:fill="998C87"/>
          </w:tcPr>
          <w:p>
            <w:pPr>
              <w:spacing w:after="0"/>
              <w:rPr>
                <w:sz w:val="15"/>
                <w:szCs w:val="15"/>
                <w:color w:val="auto"/>
              </w:rPr>
            </w:pPr>
          </w:p>
        </w:tc>
        <w:tc>
          <w:tcPr>
            <w:tcW w:w="935" w:type="dxa"/>
            <w:vAlign w:val="bottom"/>
            <w:shd w:val="clear" w:color="auto" w:fill="998C87"/>
          </w:tcPr>
          <w:p>
            <w:pPr>
              <w:spacing w:after="0"/>
              <w:rPr>
                <w:sz w:val="15"/>
                <w:szCs w:val="15"/>
                <w:color w:val="auto"/>
              </w:rPr>
            </w:pPr>
          </w:p>
        </w:tc>
        <w:tc>
          <w:tcPr>
            <w:tcW w:w="985" w:type="dxa"/>
            <w:vAlign w:val="bottom"/>
            <w:shd w:val="clear" w:color="auto" w:fill="998C87"/>
          </w:tcPr>
          <w:p>
            <w:pPr>
              <w:spacing w:after="0"/>
              <w:rPr>
                <w:sz w:val="15"/>
                <w:szCs w:val="15"/>
                <w:color w:val="auto"/>
              </w:rPr>
            </w:pPr>
          </w:p>
        </w:tc>
        <w:tc>
          <w:tcPr>
            <w:tcW w:w="940" w:type="dxa"/>
            <w:vAlign w:val="bottom"/>
            <w:shd w:val="clear" w:color="auto" w:fill="998C87"/>
          </w:tcPr>
          <w:p>
            <w:pPr>
              <w:spacing w:after="0"/>
              <w:rPr>
                <w:sz w:val="15"/>
                <w:szCs w:val="15"/>
                <w:color w:val="auto"/>
              </w:rPr>
            </w:pPr>
          </w:p>
        </w:tc>
        <w:tc>
          <w:tcPr>
            <w:tcW w:w="940" w:type="dxa"/>
            <w:vAlign w:val="bottom"/>
            <w:shd w:val="clear" w:color="auto" w:fill="998C87"/>
          </w:tcPr>
          <w:p>
            <w:pPr>
              <w:spacing w:after="0"/>
              <w:rPr>
                <w:sz w:val="15"/>
                <w:szCs w:val="15"/>
                <w:color w:val="auto"/>
              </w:rPr>
            </w:pPr>
          </w:p>
        </w:tc>
        <w:tc>
          <w:tcPr>
            <w:tcW w:w="900" w:type="dxa"/>
            <w:vAlign w:val="bottom"/>
            <w:shd w:val="clear" w:color="auto" w:fill="998C87"/>
          </w:tcPr>
          <w:p>
            <w:pPr>
              <w:spacing w:after="0"/>
              <w:rPr>
                <w:sz w:val="15"/>
                <w:szCs w:val="15"/>
                <w:color w:val="auto"/>
              </w:rPr>
            </w:pPr>
          </w:p>
        </w:tc>
        <w:tc>
          <w:tcPr>
            <w:tcW w:w="820" w:type="dxa"/>
            <w:vAlign w:val="bottom"/>
            <w:shd w:val="clear" w:color="auto" w:fill="998C87"/>
          </w:tcPr>
          <w:p>
            <w:pPr>
              <w:spacing w:after="0"/>
              <w:rPr>
                <w:sz w:val="15"/>
                <w:szCs w:val="15"/>
                <w:color w:val="auto"/>
              </w:rPr>
            </w:pPr>
          </w:p>
        </w:tc>
        <w:tc>
          <w:tcPr>
            <w:tcW w:w="1180" w:type="dxa"/>
            <w:vAlign w:val="bottom"/>
            <w:shd w:val="clear" w:color="auto" w:fill="998C87"/>
          </w:tcPr>
          <w:p>
            <w:pPr>
              <w:jc w:val="center"/>
              <w:spacing w:after="0" w:line="182" w:lineRule="exact"/>
              <w:rPr>
                <w:sz w:val="20"/>
                <w:szCs w:val="20"/>
                <w:color w:val="auto"/>
              </w:rPr>
            </w:pPr>
            <w:r>
              <w:rPr>
                <w:rFonts w:ascii="Arial" w:cs="Arial" w:eastAsia="Arial" w:hAnsi="Arial"/>
                <w:sz w:val="16"/>
                <w:szCs w:val="16"/>
                <w:b w:val="1"/>
                <w:bCs w:val="1"/>
                <w:color w:val="FFFFFF"/>
              </w:rPr>
              <w:t>Stock Price</w:t>
            </w:r>
          </w:p>
        </w:tc>
        <w:tc>
          <w:tcPr>
            <w:tcW w:w="1120" w:type="dxa"/>
            <w:vAlign w:val="bottom"/>
            <w:shd w:val="clear" w:color="auto" w:fill="998C87"/>
          </w:tcPr>
          <w:p>
            <w:pPr>
              <w:spacing w:after="0"/>
              <w:rPr>
                <w:sz w:val="15"/>
                <w:szCs w:val="15"/>
                <w:color w:val="auto"/>
              </w:rPr>
            </w:pPr>
          </w:p>
        </w:tc>
      </w:tr>
      <w:tr>
        <w:trPr>
          <w:trHeight w:val="189"/>
        </w:trPr>
        <w:tc>
          <w:tcPr>
            <w:tcW w:w="3180" w:type="dxa"/>
            <w:vAlign w:val="bottom"/>
            <w:shd w:val="clear" w:color="auto" w:fill="998C87"/>
          </w:tcPr>
          <w:p>
            <w:pPr>
              <w:spacing w:after="0"/>
              <w:rPr>
                <w:sz w:val="16"/>
                <w:szCs w:val="16"/>
                <w:color w:val="auto"/>
              </w:rPr>
            </w:pPr>
          </w:p>
        </w:tc>
        <w:tc>
          <w:tcPr>
            <w:tcW w:w="935" w:type="dxa"/>
            <w:vAlign w:val="bottom"/>
            <w:shd w:val="clear" w:color="auto" w:fill="998C87"/>
          </w:tcPr>
          <w:p>
            <w:pPr>
              <w:spacing w:after="0"/>
              <w:rPr>
                <w:sz w:val="16"/>
                <w:szCs w:val="16"/>
                <w:color w:val="auto"/>
              </w:rPr>
            </w:pPr>
          </w:p>
        </w:tc>
        <w:tc>
          <w:tcPr>
            <w:tcW w:w="985" w:type="dxa"/>
            <w:vAlign w:val="bottom"/>
            <w:shd w:val="clear" w:color="auto" w:fill="998C87"/>
          </w:tcPr>
          <w:p>
            <w:pPr>
              <w:spacing w:after="0"/>
              <w:rPr>
                <w:sz w:val="16"/>
                <w:szCs w:val="16"/>
                <w:color w:val="auto"/>
              </w:rPr>
            </w:pPr>
          </w:p>
        </w:tc>
        <w:tc>
          <w:tcPr>
            <w:tcW w:w="940" w:type="dxa"/>
            <w:vAlign w:val="bottom"/>
            <w:shd w:val="clear" w:color="auto" w:fill="998C87"/>
          </w:tcPr>
          <w:p>
            <w:pPr>
              <w:spacing w:after="0"/>
              <w:rPr>
                <w:sz w:val="16"/>
                <w:szCs w:val="16"/>
                <w:color w:val="auto"/>
              </w:rPr>
            </w:pPr>
          </w:p>
        </w:tc>
        <w:tc>
          <w:tcPr>
            <w:tcW w:w="940" w:type="dxa"/>
            <w:vAlign w:val="bottom"/>
            <w:shd w:val="clear" w:color="auto" w:fill="998C87"/>
          </w:tcPr>
          <w:p>
            <w:pPr>
              <w:spacing w:after="0"/>
              <w:rPr>
                <w:sz w:val="16"/>
                <w:szCs w:val="16"/>
                <w:color w:val="auto"/>
              </w:rPr>
            </w:pPr>
          </w:p>
        </w:tc>
        <w:tc>
          <w:tcPr>
            <w:tcW w:w="900" w:type="dxa"/>
            <w:vAlign w:val="bottom"/>
            <w:shd w:val="clear" w:color="auto" w:fill="998C87"/>
          </w:tcPr>
          <w:p>
            <w:pPr>
              <w:spacing w:after="0"/>
              <w:rPr>
                <w:sz w:val="16"/>
                <w:szCs w:val="16"/>
                <w:color w:val="auto"/>
              </w:rPr>
            </w:pPr>
          </w:p>
        </w:tc>
        <w:tc>
          <w:tcPr>
            <w:tcW w:w="820" w:type="dxa"/>
            <w:vAlign w:val="bottom"/>
            <w:shd w:val="clear" w:color="auto" w:fill="998C87"/>
          </w:tcPr>
          <w:p>
            <w:pPr>
              <w:jc w:val="center"/>
              <w:ind w:right="56"/>
              <w:spacing w:after="0"/>
              <w:rPr>
                <w:sz w:val="20"/>
                <w:szCs w:val="20"/>
                <w:color w:val="auto"/>
              </w:rPr>
            </w:pPr>
            <w:r>
              <w:rPr>
                <w:rFonts w:ascii="Arial" w:cs="Arial" w:eastAsia="Arial" w:hAnsi="Arial"/>
                <w:sz w:val="16"/>
                <w:szCs w:val="16"/>
                <w:b w:val="1"/>
                <w:bCs w:val="1"/>
                <w:color w:val="FFFFFF"/>
              </w:rPr>
              <w:t>Average</w:t>
            </w:r>
          </w:p>
        </w:tc>
        <w:tc>
          <w:tcPr>
            <w:tcW w:w="118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Increase from</w:t>
            </w:r>
          </w:p>
        </w:tc>
        <w:tc>
          <w:tcPr>
            <w:tcW w:w="112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w w:val="98"/>
              </w:rPr>
              <w:t>Value</w:t>
            </w:r>
          </w:p>
        </w:tc>
      </w:tr>
      <w:tr>
        <w:trPr>
          <w:trHeight w:val="189"/>
        </w:trPr>
        <w:tc>
          <w:tcPr>
            <w:tcW w:w="3180" w:type="dxa"/>
            <w:vAlign w:val="bottom"/>
            <w:shd w:val="clear" w:color="auto" w:fill="998C87"/>
          </w:tcPr>
          <w:p>
            <w:pPr>
              <w:spacing w:after="0"/>
              <w:rPr>
                <w:sz w:val="16"/>
                <w:szCs w:val="16"/>
                <w:color w:val="auto"/>
              </w:rPr>
            </w:pPr>
          </w:p>
        </w:tc>
        <w:tc>
          <w:tcPr>
            <w:tcW w:w="935" w:type="dxa"/>
            <w:vAlign w:val="bottom"/>
            <w:shd w:val="clear" w:color="auto" w:fill="998C87"/>
          </w:tcPr>
          <w:p>
            <w:pPr>
              <w:spacing w:after="0"/>
              <w:rPr>
                <w:sz w:val="16"/>
                <w:szCs w:val="16"/>
                <w:color w:val="auto"/>
              </w:rPr>
            </w:pPr>
          </w:p>
        </w:tc>
        <w:tc>
          <w:tcPr>
            <w:tcW w:w="985" w:type="dxa"/>
            <w:vAlign w:val="bottom"/>
            <w:shd w:val="clear" w:color="auto" w:fill="998C87"/>
          </w:tcPr>
          <w:p>
            <w:pPr>
              <w:spacing w:after="0"/>
              <w:rPr>
                <w:sz w:val="16"/>
                <w:szCs w:val="16"/>
                <w:color w:val="auto"/>
              </w:rPr>
            </w:pPr>
          </w:p>
        </w:tc>
        <w:tc>
          <w:tcPr>
            <w:tcW w:w="940" w:type="dxa"/>
            <w:vAlign w:val="bottom"/>
            <w:shd w:val="clear" w:color="auto" w:fill="998C87"/>
          </w:tcPr>
          <w:p>
            <w:pPr>
              <w:spacing w:after="0"/>
              <w:rPr>
                <w:sz w:val="16"/>
                <w:szCs w:val="16"/>
                <w:color w:val="auto"/>
              </w:rPr>
            </w:pPr>
          </w:p>
        </w:tc>
        <w:tc>
          <w:tcPr>
            <w:tcW w:w="9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w w:val="99"/>
              </w:rPr>
              <w:t>Number of</w:t>
            </w:r>
          </w:p>
        </w:tc>
        <w:tc>
          <w:tcPr>
            <w:tcW w:w="900" w:type="dxa"/>
            <w:vAlign w:val="bottom"/>
            <w:shd w:val="clear" w:color="auto" w:fill="998C87"/>
          </w:tcPr>
          <w:p>
            <w:pPr>
              <w:spacing w:after="0"/>
              <w:rPr>
                <w:sz w:val="16"/>
                <w:szCs w:val="16"/>
                <w:color w:val="auto"/>
              </w:rPr>
            </w:pPr>
          </w:p>
        </w:tc>
        <w:tc>
          <w:tcPr>
            <w:tcW w:w="820" w:type="dxa"/>
            <w:vAlign w:val="bottom"/>
            <w:shd w:val="clear" w:color="auto" w:fill="998C87"/>
          </w:tcPr>
          <w:p>
            <w:pPr>
              <w:jc w:val="center"/>
              <w:ind w:right="56"/>
              <w:spacing w:after="0"/>
              <w:rPr>
                <w:sz w:val="20"/>
                <w:szCs w:val="20"/>
                <w:color w:val="auto"/>
              </w:rPr>
            </w:pPr>
            <w:r>
              <w:rPr>
                <w:rFonts w:ascii="Arial" w:cs="Arial" w:eastAsia="Arial" w:hAnsi="Arial"/>
                <w:sz w:val="16"/>
                <w:szCs w:val="16"/>
                <w:b w:val="1"/>
                <w:bCs w:val="1"/>
                <w:color w:val="FFFFFF"/>
              </w:rPr>
              <w:t>Market</w:t>
            </w:r>
          </w:p>
        </w:tc>
        <w:tc>
          <w:tcPr>
            <w:tcW w:w="118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Grant to</w:t>
            </w:r>
          </w:p>
        </w:tc>
        <w:tc>
          <w:tcPr>
            <w:tcW w:w="112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Realized</w:t>
            </w:r>
          </w:p>
        </w:tc>
      </w:tr>
      <w:tr>
        <w:trPr>
          <w:trHeight w:val="189"/>
        </w:trPr>
        <w:tc>
          <w:tcPr>
            <w:tcW w:w="3180" w:type="dxa"/>
            <w:vAlign w:val="bottom"/>
            <w:shd w:val="clear" w:color="auto" w:fill="998C87"/>
          </w:tcPr>
          <w:p>
            <w:pPr>
              <w:spacing w:after="0"/>
              <w:rPr>
                <w:sz w:val="16"/>
                <w:szCs w:val="16"/>
                <w:color w:val="auto"/>
              </w:rPr>
            </w:pPr>
          </w:p>
        </w:tc>
        <w:tc>
          <w:tcPr>
            <w:tcW w:w="935" w:type="dxa"/>
            <w:vAlign w:val="bottom"/>
            <w:shd w:val="clear" w:color="auto" w:fill="998C87"/>
          </w:tcPr>
          <w:p>
            <w:pPr>
              <w:jc w:val="right"/>
              <w:ind w:right="190"/>
              <w:spacing w:after="0"/>
              <w:rPr>
                <w:sz w:val="20"/>
                <w:szCs w:val="20"/>
                <w:color w:val="auto"/>
              </w:rPr>
            </w:pPr>
            <w:r>
              <w:rPr>
                <w:rFonts w:ascii="Arial" w:cs="Arial" w:eastAsia="Arial" w:hAnsi="Arial"/>
                <w:sz w:val="16"/>
                <w:szCs w:val="16"/>
                <w:b w:val="1"/>
                <w:bCs w:val="1"/>
                <w:color w:val="FFFFFF"/>
              </w:rPr>
              <w:t>Grant</w:t>
            </w:r>
          </w:p>
        </w:tc>
        <w:tc>
          <w:tcPr>
            <w:tcW w:w="985" w:type="dxa"/>
            <w:vAlign w:val="bottom"/>
            <w:shd w:val="clear" w:color="auto" w:fill="998C87"/>
          </w:tcPr>
          <w:p>
            <w:pPr>
              <w:ind w:left="225"/>
              <w:spacing w:after="0"/>
              <w:rPr>
                <w:sz w:val="20"/>
                <w:szCs w:val="20"/>
                <w:color w:val="auto"/>
              </w:rPr>
            </w:pPr>
            <w:r>
              <w:rPr>
                <w:rFonts w:ascii="Arial" w:cs="Arial" w:eastAsia="Arial" w:hAnsi="Arial"/>
                <w:sz w:val="16"/>
                <w:szCs w:val="16"/>
                <w:b w:val="1"/>
                <w:bCs w:val="1"/>
                <w:color w:val="FFFFFF"/>
              </w:rPr>
              <w:t>Grant</w:t>
            </w:r>
          </w:p>
        </w:tc>
        <w:tc>
          <w:tcPr>
            <w:tcW w:w="940" w:type="dxa"/>
            <w:vAlign w:val="bottom"/>
            <w:shd w:val="clear" w:color="auto" w:fill="998C87"/>
          </w:tcPr>
          <w:p>
            <w:pPr>
              <w:jc w:val="right"/>
              <w:ind w:right="75"/>
              <w:spacing w:after="0"/>
              <w:rPr>
                <w:sz w:val="20"/>
                <w:szCs w:val="20"/>
                <w:color w:val="auto"/>
              </w:rPr>
            </w:pPr>
            <w:r>
              <w:rPr>
                <w:rFonts w:ascii="Arial" w:cs="Arial" w:eastAsia="Arial" w:hAnsi="Arial"/>
                <w:sz w:val="16"/>
                <w:szCs w:val="16"/>
                <w:b w:val="1"/>
                <w:bCs w:val="1"/>
                <w:color w:val="FFFFFF"/>
              </w:rPr>
              <w:t>Exercise</w:t>
            </w:r>
          </w:p>
        </w:tc>
        <w:tc>
          <w:tcPr>
            <w:tcW w:w="9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Shares</w:t>
            </w:r>
          </w:p>
        </w:tc>
        <w:tc>
          <w:tcPr>
            <w:tcW w:w="900" w:type="dxa"/>
            <w:vAlign w:val="bottom"/>
            <w:shd w:val="clear" w:color="auto" w:fill="998C87"/>
          </w:tcPr>
          <w:p>
            <w:pPr>
              <w:jc w:val="right"/>
              <w:ind w:right="115"/>
              <w:spacing w:after="0"/>
              <w:rPr>
                <w:sz w:val="20"/>
                <w:szCs w:val="20"/>
                <w:color w:val="auto"/>
              </w:rPr>
            </w:pPr>
            <w:r>
              <w:rPr>
                <w:rFonts w:ascii="Arial" w:cs="Arial" w:eastAsia="Arial" w:hAnsi="Arial"/>
                <w:sz w:val="16"/>
                <w:szCs w:val="16"/>
                <w:b w:val="1"/>
                <w:bCs w:val="1"/>
                <w:color w:val="FFFFFF"/>
              </w:rPr>
              <w:t>Exercise</w:t>
            </w:r>
          </w:p>
        </w:tc>
        <w:tc>
          <w:tcPr>
            <w:tcW w:w="820" w:type="dxa"/>
            <w:vAlign w:val="bottom"/>
            <w:shd w:val="clear" w:color="auto" w:fill="998C87"/>
          </w:tcPr>
          <w:p>
            <w:pPr>
              <w:jc w:val="center"/>
              <w:ind w:right="56"/>
              <w:spacing w:after="0"/>
              <w:rPr>
                <w:sz w:val="20"/>
                <w:szCs w:val="20"/>
                <w:color w:val="auto"/>
              </w:rPr>
            </w:pPr>
            <w:r>
              <w:rPr>
                <w:rFonts w:ascii="Arial" w:cs="Arial" w:eastAsia="Arial" w:hAnsi="Arial"/>
                <w:sz w:val="16"/>
                <w:szCs w:val="16"/>
                <w:b w:val="1"/>
                <w:bCs w:val="1"/>
                <w:color w:val="FFFFFF"/>
                <w:w w:val="97"/>
              </w:rPr>
              <w:t>Value at</w:t>
            </w:r>
          </w:p>
        </w:tc>
        <w:tc>
          <w:tcPr>
            <w:tcW w:w="118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Exercise</w:t>
            </w:r>
          </w:p>
        </w:tc>
        <w:tc>
          <w:tcPr>
            <w:tcW w:w="112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Upon</w:t>
            </w:r>
          </w:p>
        </w:tc>
      </w:tr>
      <w:tr>
        <w:trPr>
          <w:trHeight w:val="236"/>
        </w:trPr>
        <w:tc>
          <w:tcPr>
            <w:tcW w:w="3180" w:type="dxa"/>
            <w:vAlign w:val="bottom"/>
            <w:shd w:val="clear" w:color="auto" w:fill="998C87"/>
          </w:tcPr>
          <w:p>
            <w:pPr>
              <w:ind w:left="160"/>
              <w:spacing w:after="0"/>
              <w:rPr>
                <w:sz w:val="20"/>
                <w:szCs w:val="20"/>
                <w:color w:val="auto"/>
              </w:rPr>
            </w:pPr>
            <w:r>
              <w:rPr>
                <w:rFonts w:ascii="Arial" w:cs="Arial" w:eastAsia="Arial" w:hAnsi="Arial"/>
                <w:sz w:val="16"/>
                <w:szCs w:val="16"/>
                <w:b w:val="1"/>
                <w:bCs w:val="1"/>
                <w:color w:val="FFFFFF"/>
              </w:rPr>
              <w:t>Name</w:t>
            </w:r>
          </w:p>
        </w:tc>
        <w:tc>
          <w:tcPr>
            <w:tcW w:w="935" w:type="dxa"/>
            <w:vAlign w:val="bottom"/>
            <w:shd w:val="clear" w:color="auto" w:fill="998C87"/>
          </w:tcPr>
          <w:p>
            <w:pPr>
              <w:jc w:val="right"/>
              <w:ind w:right="230"/>
              <w:spacing w:after="0"/>
              <w:rPr>
                <w:sz w:val="20"/>
                <w:szCs w:val="20"/>
                <w:color w:val="auto"/>
              </w:rPr>
            </w:pPr>
            <w:r>
              <w:rPr>
                <w:rFonts w:ascii="Arial" w:cs="Arial" w:eastAsia="Arial" w:hAnsi="Arial"/>
                <w:sz w:val="16"/>
                <w:szCs w:val="16"/>
                <w:b w:val="1"/>
                <w:bCs w:val="1"/>
                <w:color w:val="FFFFFF"/>
              </w:rPr>
              <w:t>Date</w:t>
            </w:r>
          </w:p>
        </w:tc>
        <w:tc>
          <w:tcPr>
            <w:tcW w:w="985" w:type="dxa"/>
            <w:vAlign w:val="bottom"/>
            <w:shd w:val="clear" w:color="auto" w:fill="998C87"/>
          </w:tcPr>
          <w:p>
            <w:pPr>
              <w:ind w:left="245"/>
              <w:spacing w:after="0"/>
              <w:rPr>
                <w:sz w:val="20"/>
                <w:szCs w:val="20"/>
                <w:color w:val="auto"/>
              </w:rPr>
            </w:pPr>
            <w:r>
              <w:rPr>
                <w:rFonts w:ascii="Arial" w:cs="Arial" w:eastAsia="Arial" w:hAnsi="Arial"/>
                <w:sz w:val="16"/>
                <w:szCs w:val="16"/>
                <w:b w:val="1"/>
                <w:bCs w:val="1"/>
                <w:color w:val="FFFFFF"/>
              </w:rPr>
              <w:t>Term</w:t>
            </w:r>
          </w:p>
        </w:tc>
        <w:tc>
          <w:tcPr>
            <w:tcW w:w="940" w:type="dxa"/>
            <w:vAlign w:val="bottom"/>
            <w:shd w:val="clear" w:color="auto" w:fill="998C87"/>
          </w:tcPr>
          <w:p>
            <w:pPr>
              <w:jc w:val="right"/>
              <w:ind w:right="235"/>
              <w:spacing w:after="0"/>
              <w:rPr>
                <w:sz w:val="20"/>
                <w:szCs w:val="20"/>
                <w:color w:val="auto"/>
              </w:rPr>
            </w:pPr>
            <w:r>
              <w:rPr>
                <w:rFonts w:ascii="Arial" w:cs="Arial" w:eastAsia="Arial" w:hAnsi="Arial"/>
                <w:sz w:val="16"/>
                <w:szCs w:val="16"/>
                <w:b w:val="1"/>
                <w:bCs w:val="1"/>
                <w:color w:val="FFFFFF"/>
              </w:rPr>
              <w:t>Date</w:t>
            </w:r>
          </w:p>
        </w:tc>
        <w:tc>
          <w:tcPr>
            <w:tcW w:w="9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Exercised</w:t>
            </w:r>
          </w:p>
        </w:tc>
        <w:tc>
          <w:tcPr>
            <w:tcW w:w="1720" w:type="dxa"/>
            <w:vAlign w:val="bottom"/>
            <w:gridSpan w:val="2"/>
            <w:shd w:val="clear" w:color="auto" w:fill="998C87"/>
          </w:tcPr>
          <w:p>
            <w:pPr>
              <w:jc w:val="right"/>
              <w:spacing w:after="0"/>
              <w:rPr>
                <w:sz w:val="20"/>
                <w:szCs w:val="20"/>
                <w:color w:val="auto"/>
              </w:rPr>
            </w:pPr>
            <w:r>
              <w:rPr>
                <w:rFonts w:ascii="Arial" w:cs="Arial" w:eastAsia="Arial" w:hAnsi="Arial"/>
                <w:sz w:val="16"/>
                <w:szCs w:val="16"/>
                <w:b w:val="1"/>
                <w:bCs w:val="1"/>
                <w:color w:val="FFFFFF"/>
              </w:rPr>
              <w:t>Price ($) Exercise ($)</w:t>
            </w:r>
          </w:p>
        </w:tc>
        <w:tc>
          <w:tcPr>
            <w:tcW w:w="118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w w:val="99"/>
              </w:rPr>
              <w:t>Date (%)</w:t>
            </w:r>
          </w:p>
        </w:tc>
        <w:tc>
          <w:tcPr>
            <w:tcW w:w="112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Exercise ($)</w:t>
            </w:r>
          </w:p>
        </w:tc>
      </w:tr>
      <w:tr>
        <w:trPr>
          <w:trHeight w:val="188"/>
        </w:trPr>
        <w:tc>
          <w:tcPr>
            <w:tcW w:w="3180" w:type="dxa"/>
            <w:vAlign w:val="bottom"/>
            <w:shd w:val="clear" w:color="auto" w:fill="F4F3F3"/>
          </w:tcPr>
          <w:p>
            <w:pPr>
              <w:ind w:left="160"/>
              <w:spacing w:after="0" w:line="188" w:lineRule="exact"/>
              <w:rPr>
                <w:sz w:val="20"/>
                <w:szCs w:val="20"/>
                <w:color w:val="auto"/>
              </w:rPr>
            </w:pPr>
            <w:r>
              <w:rPr>
                <w:rFonts w:ascii="Arial" w:cs="Arial" w:eastAsia="Arial" w:hAnsi="Arial"/>
                <w:sz w:val="17"/>
                <w:szCs w:val="17"/>
                <w:color w:val="998C87"/>
              </w:rPr>
              <w:t>Mr. Marriott</w:t>
            </w:r>
          </w:p>
        </w:tc>
        <w:tc>
          <w:tcPr>
            <w:tcW w:w="935" w:type="dxa"/>
            <w:vAlign w:val="bottom"/>
            <w:shd w:val="clear" w:color="auto" w:fill="F4F3F3"/>
          </w:tcPr>
          <w:p>
            <w:pPr>
              <w:jc w:val="right"/>
              <w:ind w:right="50"/>
              <w:spacing w:after="0" w:line="188" w:lineRule="exact"/>
              <w:rPr>
                <w:sz w:val="20"/>
                <w:szCs w:val="20"/>
                <w:color w:val="auto"/>
              </w:rPr>
            </w:pPr>
            <w:r>
              <w:rPr>
                <w:rFonts w:ascii="Arial" w:cs="Arial" w:eastAsia="Arial" w:hAnsi="Arial"/>
                <w:sz w:val="17"/>
                <w:szCs w:val="17"/>
                <w:color w:val="auto"/>
              </w:rPr>
              <w:t>2/19/08</w:t>
            </w:r>
          </w:p>
        </w:tc>
        <w:tc>
          <w:tcPr>
            <w:tcW w:w="985" w:type="dxa"/>
            <w:vAlign w:val="bottom"/>
            <w:shd w:val="clear" w:color="auto" w:fill="F4F3F3"/>
          </w:tcPr>
          <w:p>
            <w:pPr>
              <w:ind w:left="205"/>
              <w:spacing w:after="0" w:line="188" w:lineRule="exact"/>
              <w:rPr>
                <w:sz w:val="20"/>
                <w:szCs w:val="20"/>
                <w:color w:val="auto"/>
              </w:rPr>
            </w:pPr>
            <w:r>
              <w:rPr>
                <w:rFonts w:ascii="Arial" w:cs="Arial" w:eastAsia="Arial" w:hAnsi="Arial"/>
                <w:sz w:val="17"/>
                <w:szCs w:val="17"/>
                <w:color w:val="auto"/>
              </w:rPr>
              <w:t>10 years</w:t>
            </w:r>
          </w:p>
        </w:tc>
        <w:tc>
          <w:tcPr>
            <w:tcW w:w="940" w:type="dxa"/>
            <w:vAlign w:val="bottom"/>
            <w:shd w:val="clear" w:color="auto" w:fill="F4F3F3"/>
          </w:tcPr>
          <w:p>
            <w:pPr>
              <w:jc w:val="right"/>
              <w:spacing w:after="0" w:line="188" w:lineRule="exact"/>
              <w:rPr>
                <w:sz w:val="20"/>
                <w:szCs w:val="20"/>
                <w:color w:val="auto"/>
              </w:rPr>
            </w:pPr>
            <w:r>
              <w:rPr>
                <w:rFonts w:ascii="Arial" w:cs="Arial" w:eastAsia="Arial" w:hAnsi="Arial"/>
                <w:sz w:val="17"/>
                <w:szCs w:val="17"/>
                <w:color w:val="auto"/>
              </w:rPr>
              <w:t>2/27/17</w:t>
            </w:r>
          </w:p>
        </w:tc>
        <w:tc>
          <w:tcPr>
            <w:tcW w:w="940" w:type="dxa"/>
            <w:vAlign w:val="bottom"/>
            <w:shd w:val="clear" w:color="auto" w:fill="F4F3F3"/>
          </w:tcPr>
          <w:p>
            <w:pPr>
              <w:jc w:val="right"/>
              <w:spacing w:after="0" w:line="188" w:lineRule="exact"/>
              <w:rPr>
                <w:sz w:val="20"/>
                <w:szCs w:val="20"/>
                <w:color w:val="auto"/>
              </w:rPr>
            </w:pPr>
            <w:r>
              <w:rPr>
                <w:rFonts w:ascii="Arial" w:cs="Arial" w:eastAsia="Arial" w:hAnsi="Arial"/>
                <w:sz w:val="17"/>
                <w:szCs w:val="17"/>
                <w:color w:val="auto"/>
              </w:rPr>
              <w:t>112,000</w:t>
            </w:r>
          </w:p>
        </w:tc>
        <w:tc>
          <w:tcPr>
            <w:tcW w:w="900" w:type="dxa"/>
            <w:vAlign w:val="bottom"/>
            <w:shd w:val="clear" w:color="auto" w:fill="F4F3F3"/>
          </w:tcPr>
          <w:p>
            <w:pPr>
              <w:jc w:val="right"/>
              <w:ind w:right="155"/>
              <w:spacing w:after="0" w:line="188" w:lineRule="exact"/>
              <w:rPr>
                <w:sz w:val="20"/>
                <w:szCs w:val="20"/>
                <w:color w:val="auto"/>
              </w:rPr>
            </w:pPr>
            <w:r>
              <w:rPr>
                <w:rFonts w:ascii="Arial" w:cs="Arial" w:eastAsia="Arial" w:hAnsi="Arial"/>
                <w:sz w:val="17"/>
                <w:szCs w:val="17"/>
                <w:color w:val="auto"/>
              </w:rPr>
              <w:t>33.50</w:t>
            </w:r>
          </w:p>
        </w:tc>
        <w:tc>
          <w:tcPr>
            <w:tcW w:w="820" w:type="dxa"/>
            <w:vAlign w:val="bottom"/>
            <w:shd w:val="clear" w:color="auto" w:fill="F4F3F3"/>
          </w:tcPr>
          <w:p>
            <w:pPr>
              <w:jc w:val="right"/>
              <w:spacing w:after="0" w:line="188" w:lineRule="exact"/>
              <w:rPr>
                <w:sz w:val="20"/>
                <w:szCs w:val="20"/>
                <w:color w:val="auto"/>
              </w:rPr>
            </w:pPr>
            <w:r>
              <w:rPr>
                <w:rFonts w:ascii="Arial" w:cs="Arial" w:eastAsia="Arial" w:hAnsi="Arial"/>
                <w:sz w:val="17"/>
                <w:szCs w:val="17"/>
                <w:color w:val="auto"/>
              </w:rPr>
              <w:t>87.31</w:t>
            </w:r>
          </w:p>
        </w:tc>
        <w:tc>
          <w:tcPr>
            <w:tcW w:w="1180" w:type="dxa"/>
            <w:vAlign w:val="bottom"/>
            <w:shd w:val="clear" w:color="auto" w:fill="F4F3F3"/>
          </w:tcPr>
          <w:p>
            <w:pPr>
              <w:jc w:val="right"/>
              <w:ind w:right="76"/>
              <w:spacing w:after="0" w:line="188" w:lineRule="exact"/>
              <w:rPr>
                <w:sz w:val="20"/>
                <w:szCs w:val="20"/>
                <w:color w:val="auto"/>
              </w:rPr>
            </w:pPr>
            <w:r>
              <w:rPr>
                <w:rFonts w:ascii="Arial" w:cs="Arial" w:eastAsia="Arial" w:hAnsi="Arial"/>
                <w:sz w:val="17"/>
                <w:szCs w:val="17"/>
                <w:color w:val="auto"/>
              </w:rPr>
              <w:t>161</w:t>
            </w:r>
          </w:p>
        </w:tc>
        <w:tc>
          <w:tcPr>
            <w:tcW w:w="1120" w:type="dxa"/>
            <w:vAlign w:val="bottom"/>
            <w:shd w:val="clear" w:color="auto" w:fill="F4F3F3"/>
          </w:tcPr>
          <w:p>
            <w:pPr>
              <w:jc w:val="right"/>
              <w:spacing w:after="0" w:line="188" w:lineRule="exact"/>
              <w:rPr>
                <w:sz w:val="20"/>
                <w:szCs w:val="20"/>
                <w:color w:val="auto"/>
              </w:rPr>
            </w:pPr>
            <w:r>
              <w:rPr>
                <w:rFonts w:ascii="Arial" w:cs="Arial" w:eastAsia="Arial" w:hAnsi="Arial"/>
                <w:sz w:val="17"/>
                <w:szCs w:val="17"/>
                <w:color w:val="auto"/>
              </w:rPr>
              <w:t>6,026,877</w:t>
            </w:r>
          </w:p>
        </w:tc>
      </w:tr>
      <w:tr>
        <w:trPr>
          <w:trHeight w:val="189"/>
        </w:trPr>
        <w:tc>
          <w:tcPr>
            <w:tcW w:w="3180" w:type="dxa"/>
            <w:vAlign w:val="bottom"/>
            <w:shd w:val="clear" w:color="auto" w:fill="F4F3F3"/>
          </w:tcPr>
          <w:p>
            <w:pPr>
              <w:spacing w:after="0"/>
              <w:rPr>
                <w:sz w:val="16"/>
                <w:szCs w:val="16"/>
                <w:color w:val="auto"/>
              </w:rPr>
            </w:pPr>
          </w:p>
        </w:tc>
        <w:tc>
          <w:tcPr>
            <w:tcW w:w="935" w:type="dxa"/>
            <w:vAlign w:val="bottom"/>
            <w:shd w:val="clear" w:color="auto" w:fill="F4F3F3"/>
          </w:tcPr>
          <w:p>
            <w:pPr>
              <w:jc w:val="right"/>
              <w:ind w:right="50"/>
              <w:spacing w:after="0" w:line="189" w:lineRule="exact"/>
              <w:rPr>
                <w:sz w:val="20"/>
                <w:szCs w:val="20"/>
                <w:color w:val="auto"/>
              </w:rPr>
            </w:pPr>
            <w:r>
              <w:rPr>
                <w:rFonts w:ascii="Arial" w:cs="Arial" w:eastAsia="Arial" w:hAnsi="Arial"/>
                <w:sz w:val="17"/>
                <w:szCs w:val="17"/>
                <w:color w:val="auto"/>
              </w:rPr>
              <w:t>2/19/08</w:t>
            </w:r>
          </w:p>
        </w:tc>
        <w:tc>
          <w:tcPr>
            <w:tcW w:w="985" w:type="dxa"/>
            <w:vAlign w:val="bottom"/>
            <w:shd w:val="clear" w:color="auto" w:fill="F4F3F3"/>
          </w:tcPr>
          <w:p>
            <w:pPr>
              <w:ind w:left="205"/>
              <w:spacing w:after="0" w:line="189" w:lineRule="exact"/>
              <w:rPr>
                <w:sz w:val="20"/>
                <w:szCs w:val="20"/>
                <w:color w:val="auto"/>
              </w:rPr>
            </w:pPr>
            <w:r>
              <w:rPr>
                <w:rFonts w:ascii="Arial" w:cs="Arial" w:eastAsia="Arial" w:hAnsi="Arial"/>
                <w:sz w:val="17"/>
                <w:szCs w:val="17"/>
                <w:color w:val="auto"/>
              </w:rPr>
              <w:t>10 years</w:t>
            </w:r>
          </w:p>
        </w:tc>
        <w:tc>
          <w:tcPr>
            <w:tcW w:w="94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3/23/17</w:t>
            </w:r>
          </w:p>
        </w:tc>
        <w:tc>
          <w:tcPr>
            <w:tcW w:w="94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112,000</w:t>
            </w:r>
          </w:p>
        </w:tc>
        <w:tc>
          <w:tcPr>
            <w:tcW w:w="900" w:type="dxa"/>
            <w:vAlign w:val="bottom"/>
            <w:shd w:val="clear" w:color="auto" w:fill="F4F3F3"/>
          </w:tcPr>
          <w:p>
            <w:pPr>
              <w:jc w:val="right"/>
              <w:ind w:right="155"/>
              <w:spacing w:after="0" w:line="189" w:lineRule="exact"/>
              <w:rPr>
                <w:sz w:val="20"/>
                <w:szCs w:val="20"/>
                <w:color w:val="auto"/>
              </w:rPr>
            </w:pPr>
            <w:r>
              <w:rPr>
                <w:rFonts w:ascii="Arial" w:cs="Arial" w:eastAsia="Arial" w:hAnsi="Arial"/>
                <w:sz w:val="17"/>
                <w:szCs w:val="17"/>
                <w:color w:val="auto"/>
              </w:rPr>
              <w:t>33.50</w:t>
            </w:r>
          </w:p>
        </w:tc>
        <w:tc>
          <w:tcPr>
            <w:tcW w:w="82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92.42</w:t>
            </w:r>
          </w:p>
        </w:tc>
        <w:tc>
          <w:tcPr>
            <w:tcW w:w="1180" w:type="dxa"/>
            <w:vAlign w:val="bottom"/>
            <w:shd w:val="clear" w:color="auto" w:fill="F4F3F3"/>
          </w:tcPr>
          <w:p>
            <w:pPr>
              <w:jc w:val="right"/>
              <w:ind w:right="76"/>
              <w:spacing w:after="0" w:line="189" w:lineRule="exact"/>
              <w:rPr>
                <w:sz w:val="20"/>
                <w:szCs w:val="20"/>
                <w:color w:val="auto"/>
              </w:rPr>
            </w:pPr>
            <w:r>
              <w:rPr>
                <w:rFonts w:ascii="Arial" w:cs="Arial" w:eastAsia="Arial" w:hAnsi="Arial"/>
                <w:sz w:val="17"/>
                <w:szCs w:val="17"/>
                <w:color w:val="auto"/>
              </w:rPr>
              <w:t>176</w:t>
            </w:r>
          </w:p>
        </w:tc>
        <w:tc>
          <w:tcPr>
            <w:tcW w:w="112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6,599,197</w:t>
            </w:r>
          </w:p>
        </w:tc>
      </w:tr>
      <w:tr>
        <w:trPr>
          <w:trHeight w:val="189"/>
        </w:trPr>
        <w:tc>
          <w:tcPr>
            <w:tcW w:w="3180" w:type="dxa"/>
            <w:vAlign w:val="bottom"/>
            <w:shd w:val="clear" w:color="auto" w:fill="F4F3F3"/>
          </w:tcPr>
          <w:p>
            <w:pPr>
              <w:spacing w:after="0"/>
              <w:rPr>
                <w:sz w:val="16"/>
                <w:szCs w:val="16"/>
                <w:color w:val="auto"/>
              </w:rPr>
            </w:pPr>
          </w:p>
        </w:tc>
        <w:tc>
          <w:tcPr>
            <w:tcW w:w="935" w:type="dxa"/>
            <w:vAlign w:val="bottom"/>
            <w:shd w:val="clear" w:color="auto" w:fill="F4F3F3"/>
          </w:tcPr>
          <w:p>
            <w:pPr>
              <w:jc w:val="right"/>
              <w:ind w:right="50"/>
              <w:spacing w:after="0" w:line="189" w:lineRule="exact"/>
              <w:rPr>
                <w:sz w:val="20"/>
                <w:szCs w:val="20"/>
                <w:color w:val="auto"/>
              </w:rPr>
            </w:pPr>
            <w:r>
              <w:rPr>
                <w:rFonts w:ascii="Arial" w:cs="Arial" w:eastAsia="Arial" w:hAnsi="Arial"/>
                <w:sz w:val="17"/>
                <w:szCs w:val="17"/>
                <w:color w:val="auto"/>
              </w:rPr>
              <w:t>2/19/08</w:t>
            </w:r>
          </w:p>
        </w:tc>
        <w:tc>
          <w:tcPr>
            <w:tcW w:w="985" w:type="dxa"/>
            <w:vAlign w:val="bottom"/>
            <w:shd w:val="clear" w:color="auto" w:fill="F4F3F3"/>
          </w:tcPr>
          <w:p>
            <w:pPr>
              <w:ind w:left="205"/>
              <w:spacing w:after="0" w:line="189" w:lineRule="exact"/>
              <w:rPr>
                <w:sz w:val="20"/>
                <w:szCs w:val="20"/>
                <w:color w:val="auto"/>
              </w:rPr>
            </w:pPr>
            <w:r>
              <w:rPr>
                <w:rFonts w:ascii="Arial" w:cs="Arial" w:eastAsia="Arial" w:hAnsi="Arial"/>
                <w:sz w:val="17"/>
                <w:szCs w:val="17"/>
                <w:color w:val="auto"/>
              </w:rPr>
              <w:t>10 years</w:t>
            </w:r>
          </w:p>
        </w:tc>
        <w:tc>
          <w:tcPr>
            <w:tcW w:w="94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9/5/17</w:t>
            </w:r>
          </w:p>
        </w:tc>
        <w:tc>
          <w:tcPr>
            <w:tcW w:w="94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31,467</w:t>
            </w:r>
          </w:p>
        </w:tc>
        <w:tc>
          <w:tcPr>
            <w:tcW w:w="900" w:type="dxa"/>
            <w:vAlign w:val="bottom"/>
            <w:shd w:val="clear" w:color="auto" w:fill="F4F3F3"/>
          </w:tcPr>
          <w:p>
            <w:pPr>
              <w:jc w:val="right"/>
              <w:ind w:right="155"/>
              <w:spacing w:after="0" w:line="189" w:lineRule="exact"/>
              <w:rPr>
                <w:sz w:val="20"/>
                <w:szCs w:val="20"/>
                <w:color w:val="auto"/>
              </w:rPr>
            </w:pPr>
            <w:r>
              <w:rPr>
                <w:rFonts w:ascii="Arial" w:cs="Arial" w:eastAsia="Arial" w:hAnsi="Arial"/>
                <w:sz w:val="17"/>
                <w:szCs w:val="17"/>
                <w:color w:val="auto"/>
              </w:rPr>
              <w:t>33.50</w:t>
            </w:r>
          </w:p>
        </w:tc>
        <w:tc>
          <w:tcPr>
            <w:tcW w:w="82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102.00</w:t>
            </w:r>
          </w:p>
        </w:tc>
        <w:tc>
          <w:tcPr>
            <w:tcW w:w="1180" w:type="dxa"/>
            <w:vAlign w:val="bottom"/>
            <w:shd w:val="clear" w:color="auto" w:fill="F4F3F3"/>
          </w:tcPr>
          <w:p>
            <w:pPr>
              <w:jc w:val="right"/>
              <w:ind w:right="76"/>
              <w:spacing w:after="0" w:line="189" w:lineRule="exact"/>
              <w:rPr>
                <w:sz w:val="20"/>
                <w:szCs w:val="20"/>
                <w:color w:val="auto"/>
              </w:rPr>
            </w:pPr>
            <w:r>
              <w:rPr>
                <w:rFonts w:ascii="Arial" w:cs="Arial" w:eastAsia="Arial" w:hAnsi="Arial"/>
                <w:sz w:val="17"/>
                <w:szCs w:val="17"/>
                <w:color w:val="auto"/>
              </w:rPr>
              <w:t>204</w:t>
            </w:r>
          </w:p>
        </w:tc>
        <w:tc>
          <w:tcPr>
            <w:tcW w:w="112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2,155,534</w:t>
            </w:r>
          </w:p>
        </w:tc>
      </w:tr>
      <w:tr>
        <w:trPr>
          <w:trHeight w:val="231"/>
        </w:trPr>
        <w:tc>
          <w:tcPr>
            <w:tcW w:w="3180" w:type="dxa"/>
            <w:vAlign w:val="bottom"/>
            <w:shd w:val="clear" w:color="auto" w:fill="F4F3F3"/>
          </w:tcPr>
          <w:p>
            <w:pPr>
              <w:spacing w:after="0"/>
              <w:rPr>
                <w:sz w:val="20"/>
                <w:szCs w:val="20"/>
                <w:color w:val="auto"/>
              </w:rPr>
            </w:pPr>
          </w:p>
        </w:tc>
        <w:tc>
          <w:tcPr>
            <w:tcW w:w="935" w:type="dxa"/>
            <w:vAlign w:val="bottom"/>
            <w:shd w:val="clear" w:color="auto" w:fill="F4F3F3"/>
          </w:tcPr>
          <w:p>
            <w:pPr>
              <w:jc w:val="right"/>
              <w:ind w:right="50"/>
              <w:spacing w:after="0"/>
              <w:rPr>
                <w:sz w:val="20"/>
                <w:szCs w:val="20"/>
                <w:color w:val="auto"/>
              </w:rPr>
            </w:pPr>
            <w:r>
              <w:rPr>
                <w:rFonts w:ascii="Arial" w:cs="Arial" w:eastAsia="Arial" w:hAnsi="Arial"/>
                <w:sz w:val="17"/>
                <w:szCs w:val="17"/>
                <w:color w:val="auto"/>
              </w:rPr>
              <w:t>2/19/08</w:t>
            </w:r>
          </w:p>
        </w:tc>
        <w:tc>
          <w:tcPr>
            <w:tcW w:w="985" w:type="dxa"/>
            <w:vAlign w:val="bottom"/>
            <w:shd w:val="clear" w:color="auto" w:fill="F4F3F3"/>
          </w:tcPr>
          <w:p>
            <w:pPr>
              <w:ind w:left="205"/>
              <w:spacing w:after="0"/>
              <w:rPr>
                <w:sz w:val="20"/>
                <w:szCs w:val="20"/>
                <w:color w:val="auto"/>
              </w:rPr>
            </w:pPr>
            <w:r>
              <w:rPr>
                <w:rFonts w:ascii="Arial" w:cs="Arial" w:eastAsia="Arial" w:hAnsi="Arial"/>
                <w:sz w:val="17"/>
                <w:szCs w:val="17"/>
                <w:color w:val="auto"/>
              </w:rPr>
              <w:t>10 years</w:t>
            </w:r>
          </w:p>
        </w:tc>
        <w:tc>
          <w:tcPr>
            <w:tcW w:w="940" w:type="dxa"/>
            <w:vAlign w:val="bottom"/>
            <w:shd w:val="clear" w:color="auto" w:fill="F4F3F3"/>
          </w:tcPr>
          <w:p>
            <w:pPr>
              <w:jc w:val="right"/>
              <w:spacing w:after="0"/>
              <w:rPr>
                <w:sz w:val="20"/>
                <w:szCs w:val="20"/>
                <w:color w:val="auto"/>
              </w:rPr>
            </w:pPr>
            <w:r>
              <w:rPr>
                <w:rFonts w:ascii="Arial" w:cs="Arial" w:eastAsia="Arial" w:hAnsi="Arial"/>
                <w:sz w:val="17"/>
                <w:szCs w:val="17"/>
                <w:color w:val="auto"/>
              </w:rPr>
              <w:t>9/6/17</w:t>
            </w:r>
          </w:p>
        </w:tc>
        <w:tc>
          <w:tcPr>
            <w:tcW w:w="940" w:type="dxa"/>
            <w:vAlign w:val="bottom"/>
            <w:shd w:val="clear" w:color="auto" w:fill="F4F3F3"/>
          </w:tcPr>
          <w:p>
            <w:pPr>
              <w:jc w:val="right"/>
              <w:spacing w:after="0"/>
              <w:rPr>
                <w:sz w:val="20"/>
                <w:szCs w:val="20"/>
                <w:color w:val="auto"/>
              </w:rPr>
            </w:pPr>
            <w:r>
              <w:rPr>
                <w:rFonts w:ascii="Arial" w:cs="Arial" w:eastAsia="Arial" w:hAnsi="Arial"/>
                <w:sz w:val="17"/>
                <w:szCs w:val="17"/>
                <w:color w:val="auto"/>
              </w:rPr>
              <w:t>80,000</w:t>
            </w:r>
          </w:p>
        </w:tc>
        <w:tc>
          <w:tcPr>
            <w:tcW w:w="900" w:type="dxa"/>
            <w:vAlign w:val="bottom"/>
            <w:shd w:val="clear" w:color="auto" w:fill="F4F3F3"/>
          </w:tcPr>
          <w:p>
            <w:pPr>
              <w:jc w:val="right"/>
              <w:ind w:right="155"/>
              <w:spacing w:after="0"/>
              <w:rPr>
                <w:sz w:val="20"/>
                <w:szCs w:val="20"/>
                <w:color w:val="auto"/>
              </w:rPr>
            </w:pPr>
            <w:r>
              <w:rPr>
                <w:rFonts w:ascii="Arial" w:cs="Arial" w:eastAsia="Arial" w:hAnsi="Arial"/>
                <w:sz w:val="17"/>
                <w:szCs w:val="17"/>
                <w:color w:val="auto"/>
              </w:rPr>
              <w:t>33.50</w:t>
            </w:r>
          </w:p>
        </w:tc>
        <w:tc>
          <w:tcPr>
            <w:tcW w:w="820" w:type="dxa"/>
            <w:vAlign w:val="bottom"/>
            <w:shd w:val="clear" w:color="auto" w:fill="F4F3F3"/>
          </w:tcPr>
          <w:p>
            <w:pPr>
              <w:jc w:val="right"/>
              <w:spacing w:after="0"/>
              <w:rPr>
                <w:sz w:val="20"/>
                <w:szCs w:val="20"/>
                <w:color w:val="auto"/>
              </w:rPr>
            </w:pPr>
            <w:r>
              <w:rPr>
                <w:rFonts w:ascii="Arial" w:cs="Arial" w:eastAsia="Arial" w:hAnsi="Arial"/>
                <w:sz w:val="17"/>
                <w:szCs w:val="17"/>
                <w:color w:val="auto"/>
              </w:rPr>
              <w:t>101.87</w:t>
            </w:r>
          </w:p>
        </w:tc>
        <w:tc>
          <w:tcPr>
            <w:tcW w:w="1180" w:type="dxa"/>
            <w:vAlign w:val="bottom"/>
            <w:shd w:val="clear" w:color="auto" w:fill="F4F3F3"/>
          </w:tcPr>
          <w:p>
            <w:pPr>
              <w:jc w:val="right"/>
              <w:ind w:right="76"/>
              <w:spacing w:after="0"/>
              <w:rPr>
                <w:sz w:val="20"/>
                <w:szCs w:val="20"/>
                <w:color w:val="auto"/>
              </w:rPr>
            </w:pPr>
            <w:r>
              <w:rPr>
                <w:rFonts w:ascii="Arial" w:cs="Arial" w:eastAsia="Arial" w:hAnsi="Arial"/>
                <w:sz w:val="17"/>
                <w:szCs w:val="17"/>
                <w:color w:val="auto"/>
              </w:rPr>
              <w:t>204</w:t>
            </w:r>
          </w:p>
        </w:tc>
        <w:tc>
          <w:tcPr>
            <w:tcW w:w="1120" w:type="dxa"/>
            <w:vAlign w:val="bottom"/>
            <w:shd w:val="clear" w:color="auto" w:fill="F4F3F3"/>
          </w:tcPr>
          <w:p>
            <w:pPr>
              <w:jc w:val="right"/>
              <w:spacing w:after="0"/>
              <w:rPr>
                <w:sz w:val="20"/>
                <w:szCs w:val="20"/>
                <w:color w:val="auto"/>
              </w:rPr>
            </w:pPr>
            <w:r>
              <w:rPr>
                <w:rFonts w:ascii="Arial" w:cs="Arial" w:eastAsia="Arial" w:hAnsi="Arial"/>
                <w:sz w:val="17"/>
                <w:szCs w:val="17"/>
                <w:color w:val="auto"/>
              </w:rPr>
              <w:t>5,469,312</w:t>
            </w:r>
          </w:p>
        </w:tc>
      </w:tr>
      <w:tr>
        <w:trPr>
          <w:trHeight w:val="216"/>
        </w:trPr>
        <w:tc>
          <w:tcPr>
            <w:tcW w:w="3180" w:type="dxa"/>
            <w:vAlign w:val="bottom"/>
            <w:shd w:val="clear" w:color="auto" w:fill="F4F3F3"/>
          </w:tcPr>
          <w:p>
            <w:pPr>
              <w:ind w:left="160"/>
              <w:spacing w:after="0"/>
              <w:rPr>
                <w:sz w:val="20"/>
                <w:szCs w:val="20"/>
                <w:color w:val="auto"/>
              </w:rPr>
            </w:pPr>
            <w:r>
              <w:rPr>
                <w:rFonts w:ascii="Arial" w:cs="Arial" w:eastAsia="Arial" w:hAnsi="Arial"/>
                <w:sz w:val="17"/>
                <w:szCs w:val="17"/>
                <w:color w:val="998C87"/>
              </w:rPr>
              <w:t>Mr. Sorenson</w:t>
            </w:r>
          </w:p>
        </w:tc>
        <w:tc>
          <w:tcPr>
            <w:tcW w:w="935" w:type="dxa"/>
            <w:vAlign w:val="bottom"/>
            <w:shd w:val="clear" w:color="auto" w:fill="F4F3F3"/>
          </w:tcPr>
          <w:p>
            <w:pPr>
              <w:jc w:val="right"/>
              <w:ind w:right="50"/>
              <w:spacing w:after="0"/>
              <w:rPr>
                <w:sz w:val="20"/>
                <w:szCs w:val="20"/>
                <w:color w:val="auto"/>
              </w:rPr>
            </w:pPr>
            <w:r>
              <w:rPr>
                <w:rFonts w:ascii="Arial" w:cs="Arial" w:eastAsia="Arial" w:hAnsi="Arial"/>
                <w:sz w:val="17"/>
                <w:szCs w:val="17"/>
                <w:color w:val="auto"/>
              </w:rPr>
              <w:t>2/19/08</w:t>
            </w:r>
          </w:p>
        </w:tc>
        <w:tc>
          <w:tcPr>
            <w:tcW w:w="985" w:type="dxa"/>
            <w:vAlign w:val="bottom"/>
            <w:shd w:val="clear" w:color="auto" w:fill="F4F3F3"/>
          </w:tcPr>
          <w:p>
            <w:pPr>
              <w:ind w:left="205"/>
              <w:spacing w:after="0"/>
              <w:rPr>
                <w:sz w:val="20"/>
                <w:szCs w:val="20"/>
                <w:color w:val="auto"/>
              </w:rPr>
            </w:pPr>
            <w:r>
              <w:rPr>
                <w:rFonts w:ascii="Arial" w:cs="Arial" w:eastAsia="Arial" w:hAnsi="Arial"/>
                <w:sz w:val="17"/>
                <w:szCs w:val="17"/>
                <w:color w:val="auto"/>
              </w:rPr>
              <w:t>10 years</w:t>
            </w:r>
          </w:p>
        </w:tc>
        <w:tc>
          <w:tcPr>
            <w:tcW w:w="940" w:type="dxa"/>
            <w:vAlign w:val="bottom"/>
            <w:shd w:val="clear" w:color="auto" w:fill="F4F3F3"/>
          </w:tcPr>
          <w:p>
            <w:pPr>
              <w:jc w:val="right"/>
              <w:spacing w:after="0"/>
              <w:rPr>
                <w:sz w:val="20"/>
                <w:szCs w:val="20"/>
                <w:color w:val="auto"/>
              </w:rPr>
            </w:pPr>
            <w:r>
              <w:rPr>
                <w:rFonts w:ascii="Arial" w:cs="Arial" w:eastAsia="Arial" w:hAnsi="Arial"/>
                <w:sz w:val="17"/>
                <w:szCs w:val="17"/>
                <w:color w:val="auto"/>
              </w:rPr>
              <w:t>5/26/17</w:t>
            </w:r>
          </w:p>
        </w:tc>
        <w:tc>
          <w:tcPr>
            <w:tcW w:w="940" w:type="dxa"/>
            <w:vAlign w:val="bottom"/>
            <w:shd w:val="clear" w:color="auto" w:fill="F4F3F3"/>
          </w:tcPr>
          <w:p>
            <w:pPr>
              <w:jc w:val="right"/>
              <w:spacing w:after="0"/>
              <w:rPr>
                <w:sz w:val="20"/>
                <w:szCs w:val="20"/>
                <w:color w:val="auto"/>
              </w:rPr>
            </w:pPr>
            <w:r>
              <w:rPr>
                <w:rFonts w:ascii="Arial" w:cs="Arial" w:eastAsia="Arial" w:hAnsi="Arial"/>
                <w:sz w:val="17"/>
                <w:szCs w:val="17"/>
                <w:color w:val="auto"/>
              </w:rPr>
              <w:t>143,916</w:t>
            </w:r>
          </w:p>
        </w:tc>
        <w:tc>
          <w:tcPr>
            <w:tcW w:w="900" w:type="dxa"/>
            <w:vAlign w:val="bottom"/>
            <w:shd w:val="clear" w:color="auto" w:fill="F4F3F3"/>
          </w:tcPr>
          <w:p>
            <w:pPr>
              <w:jc w:val="right"/>
              <w:ind w:right="155"/>
              <w:spacing w:after="0"/>
              <w:rPr>
                <w:sz w:val="20"/>
                <w:szCs w:val="20"/>
                <w:color w:val="auto"/>
              </w:rPr>
            </w:pPr>
            <w:r>
              <w:rPr>
                <w:rFonts w:ascii="Arial" w:cs="Arial" w:eastAsia="Arial" w:hAnsi="Arial"/>
                <w:sz w:val="17"/>
                <w:szCs w:val="17"/>
                <w:color w:val="auto"/>
              </w:rPr>
              <w:t>33.50</w:t>
            </w:r>
          </w:p>
        </w:tc>
        <w:tc>
          <w:tcPr>
            <w:tcW w:w="820" w:type="dxa"/>
            <w:vAlign w:val="bottom"/>
            <w:shd w:val="clear" w:color="auto" w:fill="F4F3F3"/>
          </w:tcPr>
          <w:p>
            <w:pPr>
              <w:jc w:val="right"/>
              <w:spacing w:after="0"/>
              <w:rPr>
                <w:sz w:val="20"/>
                <w:szCs w:val="20"/>
                <w:color w:val="auto"/>
              </w:rPr>
            </w:pPr>
            <w:r>
              <w:rPr>
                <w:rFonts w:ascii="Arial" w:cs="Arial" w:eastAsia="Arial" w:hAnsi="Arial"/>
                <w:sz w:val="17"/>
                <w:szCs w:val="17"/>
                <w:color w:val="auto"/>
              </w:rPr>
              <w:t>107.16</w:t>
            </w:r>
          </w:p>
        </w:tc>
        <w:tc>
          <w:tcPr>
            <w:tcW w:w="1180" w:type="dxa"/>
            <w:vAlign w:val="bottom"/>
            <w:shd w:val="clear" w:color="auto" w:fill="F4F3F3"/>
          </w:tcPr>
          <w:p>
            <w:pPr>
              <w:jc w:val="right"/>
              <w:ind w:right="76"/>
              <w:spacing w:after="0"/>
              <w:rPr>
                <w:sz w:val="20"/>
                <w:szCs w:val="20"/>
                <w:color w:val="auto"/>
              </w:rPr>
            </w:pPr>
            <w:r>
              <w:rPr>
                <w:rFonts w:ascii="Arial" w:cs="Arial" w:eastAsia="Arial" w:hAnsi="Arial"/>
                <w:sz w:val="17"/>
                <w:szCs w:val="17"/>
                <w:color w:val="auto"/>
              </w:rPr>
              <w:t>220</w:t>
            </w:r>
          </w:p>
        </w:tc>
        <w:tc>
          <w:tcPr>
            <w:tcW w:w="1120" w:type="dxa"/>
            <w:vAlign w:val="bottom"/>
            <w:shd w:val="clear" w:color="auto" w:fill="F4F3F3"/>
          </w:tcPr>
          <w:p>
            <w:pPr>
              <w:jc w:val="right"/>
              <w:spacing w:after="0"/>
              <w:rPr>
                <w:sz w:val="20"/>
                <w:szCs w:val="20"/>
                <w:color w:val="auto"/>
              </w:rPr>
            </w:pPr>
            <w:r>
              <w:rPr>
                <w:rFonts w:ascii="Arial" w:cs="Arial" w:eastAsia="Arial" w:hAnsi="Arial"/>
                <w:sz w:val="17"/>
                <w:szCs w:val="17"/>
                <w:color w:val="auto"/>
              </w:rPr>
              <w:t>10,601,054</w:t>
            </w:r>
          </w:p>
        </w:tc>
      </w:tr>
      <w:tr>
        <w:trPr>
          <w:trHeight w:val="174"/>
        </w:trPr>
        <w:tc>
          <w:tcPr>
            <w:tcW w:w="3180" w:type="dxa"/>
            <w:vAlign w:val="bottom"/>
            <w:shd w:val="clear" w:color="auto" w:fill="F4F3F3"/>
          </w:tcPr>
          <w:p>
            <w:pPr>
              <w:ind w:left="160"/>
              <w:spacing w:after="0" w:line="174" w:lineRule="exact"/>
              <w:rPr>
                <w:sz w:val="20"/>
                <w:szCs w:val="20"/>
                <w:color w:val="auto"/>
              </w:rPr>
            </w:pPr>
            <w:r>
              <w:rPr>
                <w:rFonts w:ascii="Arial" w:cs="Arial" w:eastAsia="Arial" w:hAnsi="Arial"/>
                <w:sz w:val="17"/>
                <w:szCs w:val="17"/>
                <w:color w:val="998C87"/>
              </w:rPr>
              <w:t>Ms. Linnartz</w:t>
            </w:r>
          </w:p>
        </w:tc>
        <w:tc>
          <w:tcPr>
            <w:tcW w:w="935" w:type="dxa"/>
            <w:vAlign w:val="bottom"/>
            <w:shd w:val="clear" w:color="auto" w:fill="F4F3F3"/>
          </w:tcPr>
          <w:p>
            <w:pPr>
              <w:jc w:val="right"/>
              <w:ind w:right="50"/>
              <w:spacing w:after="0" w:line="174" w:lineRule="exact"/>
              <w:rPr>
                <w:sz w:val="20"/>
                <w:szCs w:val="20"/>
                <w:color w:val="auto"/>
              </w:rPr>
            </w:pPr>
            <w:r>
              <w:rPr>
                <w:rFonts w:ascii="Arial" w:cs="Arial" w:eastAsia="Arial" w:hAnsi="Arial"/>
                <w:sz w:val="17"/>
                <w:szCs w:val="17"/>
                <w:color w:val="auto"/>
              </w:rPr>
              <w:t>2/21/12</w:t>
            </w:r>
          </w:p>
        </w:tc>
        <w:tc>
          <w:tcPr>
            <w:tcW w:w="985" w:type="dxa"/>
            <w:vAlign w:val="bottom"/>
            <w:shd w:val="clear" w:color="auto" w:fill="F4F3F3"/>
          </w:tcPr>
          <w:p>
            <w:pPr>
              <w:ind w:left="205"/>
              <w:spacing w:after="0" w:line="174" w:lineRule="exact"/>
              <w:rPr>
                <w:sz w:val="20"/>
                <w:szCs w:val="20"/>
                <w:color w:val="auto"/>
              </w:rPr>
            </w:pPr>
            <w:r>
              <w:rPr>
                <w:rFonts w:ascii="Arial" w:cs="Arial" w:eastAsia="Arial" w:hAnsi="Arial"/>
                <w:sz w:val="17"/>
                <w:szCs w:val="17"/>
                <w:color w:val="auto"/>
              </w:rPr>
              <w:t>10 years</w:t>
            </w:r>
          </w:p>
        </w:tc>
        <w:tc>
          <w:tcPr>
            <w:tcW w:w="940" w:type="dxa"/>
            <w:vAlign w:val="bottom"/>
            <w:shd w:val="clear" w:color="auto" w:fill="F4F3F3"/>
          </w:tcPr>
          <w:p>
            <w:pPr>
              <w:jc w:val="right"/>
              <w:spacing w:after="0" w:line="174" w:lineRule="exact"/>
              <w:rPr>
                <w:sz w:val="20"/>
                <w:szCs w:val="20"/>
                <w:color w:val="auto"/>
              </w:rPr>
            </w:pPr>
            <w:r>
              <w:rPr>
                <w:rFonts w:ascii="Arial" w:cs="Arial" w:eastAsia="Arial" w:hAnsi="Arial"/>
                <w:sz w:val="17"/>
                <w:szCs w:val="17"/>
                <w:color w:val="auto"/>
              </w:rPr>
              <w:t>3/23/17</w:t>
            </w:r>
          </w:p>
        </w:tc>
        <w:tc>
          <w:tcPr>
            <w:tcW w:w="940" w:type="dxa"/>
            <w:vAlign w:val="bottom"/>
            <w:shd w:val="clear" w:color="auto" w:fill="F4F3F3"/>
          </w:tcPr>
          <w:p>
            <w:pPr>
              <w:jc w:val="right"/>
              <w:spacing w:after="0" w:line="174" w:lineRule="exact"/>
              <w:rPr>
                <w:sz w:val="20"/>
                <w:szCs w:val="20"/>
                <w:color w:val="auto"/>
              </w:rPr>
            </w:pPr>
            <w:r>
              <w:rPr>
                <w:rFonts w:ascii="Arial" w:cs="Arial" w:eastAsia="Arial" w:hAnsi="Arial"/>
                <w:sz w:val="17"/>
                <w:szCs w:val="17"/>
                <w:color w:val="auto"/>
              </w:rPr>
              <w:t>27,978</w:t>
            </w:r>
          </w:p>
        </w:tc>
        <w:tc>
          <w:tcPr>
            <w:tcW w:w="900" w:type="dxa"/>
            <w:vAlign w:val="bottom"/>
            <w:shd w:val="clear" w:color="auto" w:fill="F4F3F3"/>
          </w:tcPr>
          <w:p>
            <w:pPr>
              <w:jc w:val="right"/>
              <w:ind w:right="155"/>
              <w:spacing w:after="0" w:line="174" w:lineRule="exact"/>
              <w:rPr>
                <w:sz w:val="20"/>
                <w:szCs w:val="20"/>
                <w:color w:val="auto"/>
              </w:rPr>
            </w:pPr>
            <w:r>
              <w:rPr>
                <w:rFonts w:ascii="Arial" w:cs="Arial" w:eastAsia="Arial" w:hAnsi="Arial"/>
                <w:sz w:val="17"/>
                <w:szCs w:val="17"/>
                <w:color w:val="auto"/>
              </w:rPr>
              <w:t>34.67</w:t>
            </w:r>
          </w:p>
        </w:tc>
        <w:tc>
          <w:tcPr>
            <w:tcW w:w="820" w:type="dxa"/>
            <w:vAlign w:val="bottom"/>
            <w:shd w:val="clear" w:color="auto" w:fill="F4F3F3"/>
          </w:tcPr>
          <w:p>
            <w:pPr>
              <w:jc w:val="right"/>
              <w:spacing w:after="0" w:line="174" w:lineRule="exact"/>
              <w:rPr>
                <w:sz w:val="20"/>
                <w:szCs w:val="20"/>
                <w:color w:val="auto"/>
              </w:rPr>
            </w:pPr>
            <w:r>
              <w:rPr>
                <w:rFonts w:ascii="Arial" w:cs="Arial" w:eastAsia="Arial" w:hAnsi="Arial"/>
                <w:sz w:val="17"/>
                <w:szCs w:val="17"/>
                <w:color w:val="auto"/>
              </w:rPr>
              <w:t>93.08</w:t>
            </w:r>
          </w:p>
        </w:tc>
        <w:tc>
          <w:tcPr>
            <w:tcW w:w="1180" w:type="dxa"/>
            <w:vAlign w:val="bottom"/>
            <w:shd w:val="clear" w:color="auto" w:fill="F4F3F3"/>
          </w:tcPr>
          <w:p>
            <w:pPr>
              <w:jc w:val="right"/>
              <w:ind w:right="76"/>
              <w:spacing w:after="0" w:line="174" w:lineRule="exact"/>
              <w:rPr>
                <w:sz w:val="20"/>
                <w:szCs w:val="20"/>
                <w:color w:val="auto"/>
              </w:rPr>
            </w:pPr>
            <w:r>
              <w:rPr>
                <w:rFonts w:ascii="Arial" w:cs="Arial" w:eastAsia="Arial" w:hAnsi="Arial"/>
                <w:sz w:val="17"/>
                <w:szCs w:val="17"/>
                <w:color w:val="auto"/>
              </w:rPr>
              <w:t>168</w:t>
            </w:r>
          </w:p>
        </w:tc>
        <w:tc>
          <w:tcPr>
            <w:tcW w:w="1120" w:type="dxa"/>
            <w:vAlign w:val="bottom"/>
            <w:shd w:val="clear" w:color="auto" w:fill="F4F3F3"/>
          </w:tcPr>
          <w:p>
            <w:pPr>
              <w:jc w:val="right"/>
              <w:spacing w:after="0" w:line="174" w:lineRule="exact"/>
              <w:rPr>
                <w:sz w:val="20"/>
                <w:szCs w:val="20"/>
                <w:color w:val="auto"/>
              </w:rPr>
            </w:pPr>
            <w:r>
              <w:rPr>
                <w:rFonts w:ascii="Arial" w:cs="Arial" w:eastAsia="Arial" w:hAnsi="Arial"/>
                <w:sz w:val="17"/>
                <w:szCs w:val="17"/>
                <w:color w:val="auto"/>
              </w:rPr>
              <w:t>1,634,195</w:t>
            </w:r>
          </w:p>
        </w:tc>
      </w:tr>
      <w:tr>
        <w:trPr>
          <w:trHeight w:val="231"/>
        </w:trPr>
        <w:tc>
          <w:tcPr>
            <w:tcW w:w="3180" w:type="dxa"/>
            <w:vAlign w:val="bottom"/>
            <w:shd w:val="clear" w:color="auto" w:fill="F4F3F3"/>
          </w:tcPr>
          <w:p>
            <w:pPr>
              <w:spacing w:after="0"/>
              <w:rPr>
                <w:sz w:val="20"/>
                <w:szCs w:val="20"/>
                <w:color w:val="auto"/>
              </w:rPr>
            </w:pPr>
          </w:p>
        </w:tc>
        <w:tc>
          <w:tcPr>
            <w:tcW w:w="935" w:type="dxa"/>
            <w:vAlign w:val="bottom"/>
            <w:shd w:val="clear" w:color="auto" w:fill="F4F3F3"/>
          </w:tcPr>
          <w:p>
            <w:pPr>
              <w:jc w:val="right"/>
              <w:ind w:right="50"/>
              <w:spacing w:after="0"/>
              <w:rPr>
                <w:sz w:val="20"/>
                <w:szCs w:val="20"/>
                <w:color w:val="auto"/>
              </w:rPr>
            </w:pPr>
            <w:r>
              <w:rPr>
                <w:rFonts w:ascii="Arial" w:cs="Arial" w:eastAsia="Arial" w:hAnsi="Arial"/>
                <w:sz w:val="17"/>
                <w:szCs w:val="17"/>
                <w:color w:val="auto"/>
              </w:rPr>
              <w:t>2/24/14</w:t>
            </w:r>
          </w:p>
        </w:tc>
        <w:tc>
          <w:tcPr>
            <w:tcW w:w="985" w:type="dxa"/>
            <w:vAlign w:val="bottom"/>
            <w:shd w:val="clear" w:color="auto" w:fill="F4F3F3"/>
          </w:tcPr>
          <w:p>
            <w:pPr>
              <w:ind w:left="205"/>
              <w:spacing w:after="0"/>
              <w:rPr>
                <w:sz w:val="20"/>
                <w:szCs w:val="20"/>
                <w:color w:val="auto"/>
              </w:rPr>
            </w:pPr>
            <w:r>
              <w:rPr>
                <w:rFonts w:ascii="Arial" w:cs="Arial" w:eastAsia="Arial" w:hAnsi="Arial"/>
                <w:sz w:val="17"/>
                <w:szCs w:val="17"/>
                <w:color w:val="auto"/>
              </w:rPr>
              <w:t>10 years</w:t>
            </w:r>
          </w:p>
        </w:tc>
        <w:tc>
          <w:tcPr>
            <w:tcW w:w="940" w:type="dxa"/>
            <w:vAlign w:val="bottom"/>
            <w:shd w:val="clear" w:color="auto" w:fill="F4F3F3"/>
          </w:tcPr>
          <w:p>
            <w:pPr>
              <w:jc w:val="right"/>
              <w:spacing w:after="0"/>
              <w:rPr>
                <w:sz w:val="20"/>
                <w:szCs w:val="20"/>
                <w:color w:val="auto"/>
              </w:rPr>
            </w:pPr>
            <w:r>
              <w:rPr>
                <w:rFonts w:ascii="Arial" w:cs="Arial" w:eastAsia="Arial" w:hAnsi="Arial"/>
                <w:sz w:val="17"/>
                <w:szCs w:val="17"/>
                <w:color w:val="auto"/>
              </w:rPr>
              <w:t>12/11/17</w:t>
            </w:r>
          </w:p>
        </w:tc>
        <w:tc>
          <w:tcPr>
            <w:tcW w:w="940" w:type="dxa"/>
            <w:vAlign w:val="bottom"/>
            <w:shd w:val="clear" w:color="auto" w:fill="F4F3F3"/>
          </w:tcPr>
          <w:p>
            <w:pPr>
              <w:jc w:val="right"/>
              <w:spacing w:after="0"/>
              <w:rPr>
                <w:sz w:val="20"/>
                <w:szCs w:val="20"/>
                <w:color w:val="auto"/>
              </w:rPr>
            </w:pPr>
            <w:r>
              <w:rPr>
                <w:rFonts w:ascii="Arial" w:cs="Arial" w:eastAsia="Arial" w:hAnsi="Arial"/>
                <w:sz w:val="17"/>
                <w:szCs w:val="17"/>
                <w:color w:val="auto"/>
              </w:rPr>
              <w:t>17,763</w:t>
            </w:r>
          </w:p>
        </w:tc>
        <w:tc>
          <w:tcPr>
            <w:tcW w:w="900" w:type="dxa"/>
            <w:vAlign w:val="bottom"/>
            <w:shd w:val="clear" w:color="auto" w:fill="F4F3F3"/>
          </w:tcPr>
          <w:p>
            <w:pPr>
              <w:jc w:val="right"/>
              <w:ind w:right="155"/>
              <w:spacing w:after="0"/>
              <w:rPr>
                <w:sz w:val="20"/>
                <w:szCs w:val="20"/>
                <w:color w:val="auto"/>
              </w:rPr>
            </w:pPr>
            <w:r>
              <w:rPr>
                <w:rFonts w:ascii="Arial" w:cs="Arial" w:eastAsia="Arial" w:hAnsi="Arial"/>
                <w:sz w:val="17"/>
                <w:szCs w:val="17"/>
                <w:color w:val="auto"/>
              </w:rPr>
              <w:t>53.25</w:t>
            </w:r>
          </w:p>
        </w:tc>
        <w:tc>
          <w:tcPr>
            <w:tcW w:w="820" w:type="dxa"/>
            <w:vAlign w:val="bottom"/>
            <w:shd w:val="clear" w:color="auto" w:fill="F4F3F3"/>
          </w:tcPr>
          <w:p>
            <w:pPr>
              <w:jc w:val="right"/>
              <w:spacing w:after="0"/>
              <w:rPr>
                <w:sz w:val="20"/>
                <w:szCs w:val="20"/>
                <w:color w:val="auto"/>
              </w:rPr>
            </w:pPr>
            <w:r>
              <w:rPr>
                <w:rFonts w:ascii="Arial" w:cs="Arial" w:eastAsia="Arial" w:hAnsi="Arial"/>
                <w:sz w:val="17"/>
                <w:szCs w:val="17"/>
                <w:color w:val="auto"/>
              </w:rPr>
              <w:t>128.70</w:t>
            </w:r>
          </w:p>
        </w:tc>
        <w:tc>
          <w:tcPr>
            <w:tcW w:w="1180" w:type="dxa"/>
            <w:vAlign w:val="bottom"/>
            <w:shd w:val="clear" w:color="auto" w:fill="F4F3F3"/>
          </w:tcPr>
          <w:p>
            <w:pPr>
              <w:jc w:val="right"/>
              <w:ind w:right="76"/>
              <w:spacing w:after="0"/>
              <w:rPr>
                <w:sz w:val="20"/>
                <w:szCs w:val="20"/>
                <w:color w:val="auto"/>
              </w:rPr>
            </w:pPr>
            <w:r>
              <w:rPr>
                <w:rFonts w:ascii="Arial" w:cs="Arial" w:eastAsia="Arial" w:hAnsi="Arial"/>
                <w:sz w:val="17"/>
                <w:szCs w:val="17"/>
                <w:color w:val="auto"/>
              </w:rPr>
              <w:t>142</w:t>
            </w:r>
          </w:p>
        </w:tc>
        <w:tc>
          <w:tcPr>
            <w:tcW w:w="1120" w:type="dxa"/>
            <w:vAlign w:val="bottom"/>
            <w:shd w:val="clear" w:color="auto" w:fill="F4F3F3"/>
          </w:tcPr>
          <w:p>
            <w:pPr>
              <w:jc w:val="right"/>
              <w:spacing w:after="0"/>
              <w:rPr>
                <w:sz w:val="20"/>
                <w:szCs w:val="20"/>
                <w:color w:val="auto"/>
              </w:rPr>
            </w:pPr>
            <w:r>
              <w:rPr>
                <w:rFonts w:ascii="Arial" w:cs="Arial" w:eastAsia="Arial" w:hAnsi="Arial"/>
                <w:sz w:val="17"/>
                <w:szCs w:val="17"/>
                <w:color w:val="auto"/>
              </w:rPr>
              <w:t>1,340,218</w:t>
            </w:r>
          </w:p>
        </w:tc>
      </w:tr>
      <w:tr>
        <w:trPr>
          <w:trHeight w:val="174"/>
        </w:trPr>
        <w:tc>
          <w:tcPr>
            <w:tcW w:w="3180" w:type="dxa"/>
            <w:vAlign w:val="bottom"/>
            <w:shd w:val="clear" w:color="auto" w:fill="F4F3F3"/>
          </w:tcPr>
          <w:p>
            <w:pPr>
              <w:ind w:left="160"/>
              <w:spacing w:after="0" w:line="174" w:lineRule="exact"/>
              <w:rPr>
                <w:sz w:val="20"/>
                <w:szCs w:val="20"/>
                <w:color w:val="auto"/>
              </w:rPr>
            </w:pPr>
            <w:r>
              <w:rPr>
                <w:rFonts w:ascii="Arial" w:cs="Arial" w:eastAsia="Arial" w:hAnsi="Arial"/>
                <w:sz w:val="17"/>
                <w:szCs w:val="17"/>
                <w:color w:val="998C87"/>
              </w:rPr>
              <w:t>Mr. Grissen</w:t>
            </w:r>
          </w:p>
        </w:tc>
        <w:tc>
          <w:tcPr>
            <w:tcW w:w="935" w:type="dxa"/>
            <w:vAlign w:val="bottom"/>
            <w:shd w:val="clear" w:color="auto" w:fill="F4F3F3"/>
          </w:tcPr>
          <w:p>
            <w:pPr>
              <w:jc w:val="right"/>
              <w:ind w:right="50"/>
              <w:spacing w:after="0" w:line="174" w:lineRule="exact"/>
              <w:rPr>
                <w:sz w:val="20"/>
                <w:szCs w:val="20"/>
                <w:color w:val="auto"/>
              </w:rPr>
            </w:pPr>
            <w:r>
              <w:rPr>
                <w:rFonts w:ascii="Arial" w:cs="Arial" w:eastAsia="Arial" w:hAnsi="Arial"/>
                <w:sz w:val="17"/>
                <w:szCs w:val="17"/>
                <w:color w:val="auto"/>
              </w:rPr>
              <w:t>8/7/08</w:t>
            </w:r>
          </w:p>
        </w:tc>
        <w:tc>
          <w:tcPr>
            <w:tcW w:w="985" w:type="dxa"/>
            <w:vAlign w:val="bottom"/>
            <w:shd w:val="clear" w:color="auto" w:fill="F4F3F3"/>
          </w:tcPr>
          <w:p>
            <w:pPr>
              <w:ind w:left="205"/>
              <w:spacing w:after="0" w:line="174" w:lineRule="exact"/>
              <w:rPr>
                <w:sz w:val="20"/>
                <w:szCs w:val="20"/>
                <w:color w:val="auto"/>
              </w:rPr>
            </w:pPr>
            <w:r>
              <w:rPr>
                <w:rFonts w:ascii="Arial" w:cs="Arial" w:eastAsia="Arial" w:hAnsi="Arial"/>
                <w:sz w:val="17"/>
                <w:szCs w:val="17"/>
                <w:color w:val="auto"/>
              </w:rPr>
              <w:t>10 years</w:t>
            </w:r>
          </w:p>
        </w:tc>
        <w:tc>
          <w:tcPr>
            <w:tcW w:w="940" w:type="dxa"/>
            <w:vAlign w:val="bottom"/>
            <w:shd w:val="clear" w:color="auto" w:fill="F4F3F3"/>
          </w:tcPr>
          <w:p>
            <w:pPr>
              <w:jc w:val="right"/>
              <w:spacing w:after="0" w:line="174" w:lineRule="exact"/>
              <w:rPr>
                <w:sz w:val="20"/>
                <w:szCs w:val="20"/>
                <w:color w:val="auto"/>
              </w:rPr>
            </w:pPr>
            <w:r>
              <w:rPr>
                <w:rFonts w:ascii="Arial" w:cs="Arial" w:eastAsia="Arial" w:hAnsi="Arial"/>
                <w:sz w:val="17"/>
                <w:szCs w:val="17"/>
                <w:color w:val="auto"/>
              </w:rPr>
              <w:t>2/21/17</w:t>
            </w:r>
          </w:p>
        </w:tc>
        <w:tc>
          <w:tcPr>
            <w:tcW w:w="940" w:type="dxa"/>
            <w:vAlign w:val="bottom"/>
            <w:shd w:val="clear" w:color="auto" w:fill="F4F3F3"/>
          </w:tcPr>
          <w:p>
            <w:pPr>
              <w:jc w:val="right"/>
              <w:spacing w:after="0" w:line="174" w:lineRule="exact"/>
              <w:rPr>
                <w:sz w:val="20"/>
                <w:szCs w:val="20"/>
                <w:color w:val="auto"/>
              </w:rPr>
            </w:pPr>
            <w:r>
              <w:rPr>
                <w:rFonts w:ascii="Arial" w:cs="Arial" w:eastAsia="Arial" w:hAnsi="Arial"/>
                <w:sz w:val="17"/>
                <w:szCs w:val="17"/>
                <w:color w:val="auto"/>
              </w:rPr>
              <w:t>28,912</w:t>
            </w:r>
          </w:p>
        </w:tc>
        <w:tc>
          <w:tcPr>
            <w:tcW w:w="900" w:type="dxa"/>
            <w:vAlign w:val="bottom"/>
            <w:shd w:val="clear" w:color="auto" w:fill="F4F3F3"/>
          </w:tcPr>
          <w:p>
            <w:pPr>
              <w:jc w:val="right"/>
              <w:ind w:right="155"/>
              <w:spacing w:after="0" w:line="174" w:lineRule="exact"/>
              <w:rPr>
                <w:sz w:val="20"/>
                <w:szCs w:val="20"/>
                <w:color w:val="auto"/>
              </w:rPr>
            </w:pPr>
            <w:r>
              <w:rPr>
                <w:rFonts w:ascii="Arial" w:cs="Arial" w:eastAsia="Arial" w:hAnsi="Arial"/>
                <w:sz w:val="17"/>
                <w:szCs w:val="17"/>
                <w:color w:val="auto"/>
              </w:rPr>
              <w:t>25.88</w:t>
            </w:r>
          </w:p>
        </w:tc>
        <w:tc>
          <w:tcPr>
            <w:tcW w:w="820" w:type="dxa"/>
            <w:vAlign w:val="bottom"/>
            <w:shd w:val="clear" w:color="auto" w:fill="F4F3F3"/>
          </w:tcPr>
          <w:p>
            <w:pPr>
              <w:jc w:val="right"/>
              <w:spacing w:after="0" w:line="174" w:lineRule="exact"/>
              <w:rPr>
                <w:sz w:val="20"/>
                <w:szCs w:val="20"/>
                <w:color w:val="auto"/>
              </w:rPr>
            </w:pPr>
            <w:r>
              <w:rPr>
                <w:rFonts w:ascii="Arial" w:cs="Arial" w:eastAsia="Arial" w:hAnsi="Arial"/>
                <w:sz w:val="17"/>
                <w:szCs w:val="17"/>
                <w:color w:val="auto"/>
              </w:rPr>
              <w:t>88.33</w:t>
            </w:r>
          </w:p>
        </w:tc>
        <w:tc>
          <w:tcPr>
            <w:tcW w:w="1180" w:type="dxa"/>
            <w:vAlign w:val="bottom"/>
            <w:shd w:val="clear" w:color="auto" w:fill="F4F3F3"/>
          </w:tcPr>
          <w:p>
            <w:pPr>
              <w:jc w:val="right"/>
              <w:ind w:right="76"/>
              <w:spacing w:after="0" w:line="174" w:lineRule="exact"/>
              <w:rPr>
                <w:sz w:val="20"/>
                <w:szCs w:val="20"/>
                <w:color w:val="auto"/>
              </w:rPr>
            </w:pPr>
            <w:r>
              <w:rPr>
                <w:rFonts w:ascii="Arial" w:cs="Arial" w:eastAsia="Arial" w:hAnsi="Arial"/>
                <w:sz w:val="17"/>
                <w:szCs w:val="17"/>
                <w:color w:val="auto"/>
              </w:rPr>
              <w:t>241</w:t>
            </w:r>
          </w:p>
        </w:tc>
        <w:tc>
          <w:tcPr>
            <w:tcW w:w="1120" w:type="dxa"/>
            <w:vAlign w:val="bottom"/>
            <w:shd w:val="clear" w:color="auto" w:fill="F4F3F3"/>
          </w:tcPr>
          <w:p>
            <w:pPr>
              <w:jc w:val="right"/>
              <w:spacing w:after="0" w:line="174" w:lineRule="exact"/>
              <w:rPr>
                <w:sz w:val="20"/>
                <w:szCs w:val="20"/>
                <w:color w:val="auto"/>
              </w:rPr>
            </w:pPr>
            <w:r>
              <w:rPr>
                <w:rFonts w:ascii="Arial" w:cs="Arial" w:eastAsia="Arial" w:hAnsi="Arial"/>
                <w:sz w:val="17"/>
                <w:szCs w:val="17"/>
                <w:color w:val="auto"/>
              </w:rPr>
              <w:t>1,805,476</w:t>
            </w:r>
          </w:p>
        </w:tc>
      </w:tr>
      <w:tr>
        <w:trPr>
          <w:trHeight w:val="231"/>
        </w:trPr>
        <w:tc>
          <w:tcPr>
            <w:tcW w:w="3180" w:type="dxa"/>
            <w:vAlign w:val="bottom"/>
            <w:shd w:val="clear" w:color="auto" w:fill="F4F3F3"/>
          </w:tcPr>
          <w:p>
            <w:pPr>
              <w:spacing w:after="0"/>
              <w:rPr>
                <w:sz w:val="20"/>
                <w:szCs w:val="20"/>
                <w:color w:val="auto"/>
              </w:rPr>
            </w:pPr>
          </w:p>
        </w:tc>
        <w:tc>
          <w:tcPr>
            <w:tcW w:w="935" w:type="dxa"/>
            <w:vAlign w:val="bottom"/>
            <w:shd w:val="clear" w:color="auto" w:fill="F4F3F3"/>
          </w:tcPr>
          <w:p>
            <w:pPr>
              <w:jc w:val="right"/>
              <w:ind w:right="50"/>
              <w:spacing w:after="0"/>
              <w:rPr>
                <w:sz w:val="20"/>
                <w:szCs w:val="20"/>
                <w:color w:val="auto"/>
              </w:rPr>
            </w:pPr>
            <w:r>
              <w:rPr>
                <w:rFonts w:ascii="Arial" w:cs="Arial" w:eastAsia="Arial" w:hAnsi="Arial"/>
                <w:sz w:val="17"/>
                <w:szCs w:val="17"/>
                <w:color w:val="auto"/>
              </w:rPr>
              <w:t>2/16/10</w:t>
            </w:r>
          </w:p>
        </w:tc>
        <w:tc>
          <w:tcPr>
            <w:tcW w:w="985" w:type="dxa"/>
            <w:vAlign w:val="bottom"/>
            <w:shd w:val="clear" w:color="auto" w:fill="F4F3F3"/>
          </w:tcPr>
          <w:p>
            <w:pPr>
              <w:ind w:left="205"/>
              <w:spacing w:after="0"/>
              <w:rPr>
                <w:sz w:val="20"/>
                <w:szCs w:val="20"/>
                <w:color w:val="auto"/>
              </w:rPr>
            </w:pPr>
            <w:r>
              <w:rPr>
                <w:rFonts w:ascii="Arial" w:cs="Arial" w:eastAsia="Arial" w:hAnsi="Arial"/>
                <w:sz w:val="17"/>
                <w:szCs w:val="17"/>
                <w:color w:val="auto"/>
              </w:rPr>
              <w:t>10 years</w:t>
            </w:r>
          </w:p>
        </w:tc>
        <w:tc>
          <w:tcPr>
            <w:tcW w:w="940" w:type="dxa"/>
            <w:vAlign w:val="bottom"/>
            <w:shd w:val="clear" w:color="auto" w:fill="F4F3F3"/>
          </w:tcPr>
          <w:p>
            <w:pPr>
              <w:jc w:val="right"/>
              <w:spacing w:after="0"/>
              <w:rPr>
                <w:sz w:val="20"/>
                <w:szCs w:val="20"/>
                <w:color w:val="auto"/>
              </w:rPr>
            </w:pPr>
            <w:r>
              <w:rPr>
                <w:rFonts w:ascii="Arial" w:cs="Arial" w:eastAsia="Arial" w:hAnsi="Arial"/>
                <w:sz w:val="17"/>
                <w:szCs w:val="17"/>
                <w:color w:val="auto"/>
              </w:rPr>
              <w:t>12/7/17</w:t>
            </w:r>
          </w:p>
        </w:tc>
        <w:tc>
          <w:tcPr>
            <w:tcW w:w="940" w:type="dxa"/>
            <w:vAlign w:val="bottom"/>
            <w:shd w:val="clear" w:color="auto" w:fill="F4F3F3"/>
          </w:tcPr>
          <w:p>
            <w:pPr>
              <w:jc w:val="right"/>
              <w:spacing w:after="0"/>
              <w:rPr>
                <w:sz w:val="20"/>
                <w:szCs w:val="20"/>
                <w:color w:val="auto"/>
              </w:rPr>
            </w:pPr>
            <w:r>
              <w:rPr>
                <w:rFonts w:ascii="Arial" w:cs="Arial" w:eastAsia="Arial" w:hAnsi="Arial"/>
                <w:sz w:val="17"/>
                <w:szCs w:val="17"/>
                <w:color w:val="auto"/>
              </w:rPr>
              <w:t>5,000</w:t>
            </w:r>
          </w:p>
        </w:tc>
        <w:tc>
          <w:tcPr>
            <w:tcW w:w="900" w:type="dxa"/>
            <w:vAlign w:val="bottom"/>
            <w:shd w:val="clear" w:color="auto" w:fill="F4F3F3"/>
          </w:tcPr>
          <w:p>
            <w:pPr>
              <w:jc w:val="right"/>
              <w:ind w:right="155"/>
              <w:spacing w:after="0"/>
              <w:rPr>
                <w:sz w:val="20"/>
                <w:szCs w:val="20"/>
                <w:color w:val="auto"/>
              </w:rPr>
            </w:pPr>
            <w:r>
              <w:rPr>
                <w:rFonts w:ascii="Arial" w:cs="Arial" w:eastAsia="Arial" w:hAnsi="Arial"/>
                <w:sz w:val="17"/>
                <w:szCs w:val="17"/>
                <w:color w:val="auto"/>
              </w:rPr>
              <w:t>25.44</w:t>
            </w:r>
          </w:p>
        </w:tc>
        <w:tc>
          <w:tcPr>
            <w:tcW w:w="820" w:type="dxa"/>
            <w:vAlign w:val="bottom"/>
            <w:shd w:val="clear" w:color="auto" w:fill="F4F3F3"/>
          </w:tcPr>
          <w:p>
            <w:pPr>
              <w:jc w:val="right"/>
              <w:spacing w:after="0"/>
              <w:rPr>
                <w:sz w:val="20"/>
                <w:szCs w:val="20"/>
                <w:color w:val="auto"/>
              </w:rPr>
            </w:pPr>
            <w:r>
              <w:rPr>
                <w:rFonts w:ascii="Arial" w:cs="Arial" w:eastAsia="Arial" w:hAnsi="Arial"/>
                <w:sz w:val="17"/>
                <w:szCs w:val="17"/>
                <w:color w:val="auto"/>
              </w:rPr>
              <w:t>127.80</w:t>
            </w:r>
          </w:p>
        </w:tc>
        <w:tc>
          <w:tcPr>
            <w:tcW w:w="1180" w:type="dxa"/>
            <w:vAlign w:val="bottom"/>
            <w:shd w:val="clear" w:color="auto" w:fill="F4F3F3"/>
          </w:tcPr>
          <w:p>
            <w:pPr>
              <w:jc w:val="right"/>
              <w:ind w:right="76"/>
              <w:spacing w:after="0"/>
              <w:rPr>
                <w:sz w:val="20"/>
                <w:szCs w:val="20"/>
                <w:color w:val="auto"/>
              </w:rPr>
            </w:pPr>
            <w:r>
              <w:rPr>
                <w:rFonts w:ascii="Arial" w:cs="Arial" w:eastAsia="Arial" w:hAnsi="Arial"/>
                <w:sz w:val="17"/>
                <w:szCs w:val="17"/>
                <w:color w:val="auto"/>
              </w:rPr>
              <w:t>402</w:t>
            </w:r>
          </w:p>
        </w:tc>
        <w:tc>
          <w:tcPr>
            <w:tcW w:w="1120" w:type="dxa"/>
            <w:vAlign w:val="bottom"/>
            <w:shd w:val="clear" w:color="auto" w:fill="F4F3F3"/>
          </w:tcPr>
          <w:p>
            <w:pPr>
              <w:jc w:val="right"/>
              <w:spacing w:after="0"/>
              <w:rPr>
                <w:sz w:val="20"/>
                <w:szCs w:val="20"/>
                <w:color w:val="auto"/>
              </w:rPr>
            </w:pPr>
            <w:r>
              <w:rPr>
                <w:rFonts w:ascii="Arial" w:cs="Arial" w:eastAsia="Arial" w:hAnsi="Arial"/>
                <w:sz w:val="17"/>
                <w:szCs w:val="17"/>
                <w:color w:val="auto"/>
              </w:rPr>
              <w:t>511,777</w:t>
            </w:r>
          </w:p>
        </w:tc>
      </w:tr>
    </w:tbl>
    <w:p>
      <w:pPr>
        <w:spacing w:after="0" w:line="138" w:lineRule="exact"/>
        <w:rPr>
          <w:sz w:val="20"/>
          <w:szCs w:val="20"/>
          <w:color w:val="auto"/>
        </w:rPr>
      </w:pPr>
    </w:p>
    <w:p>
      <w:pPr>
        <w:ind w:left="540" w:hanging="330"/>
        <w:spacing w:after="0"/>
        <w:tabs>
          <w:tab w:leader="none" w:pos="540" w:val="left"/>
        </w:tabs>
        <w:numPr>
          <w:ilvl w:val="0"/>
          <w:numId w:val="115"/>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20"/>
          </w:cols>
          <w:pgMar w:left="240" w:top="455" w:right="4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ind w:left="8660"/>
        <w:spacing w:after="0"/>
        <w:rPr>
          <w:sz w:val="20"/>
          <w:szCs w:val="20"/>
          <w:color w:val="auto"/>
        </w:rPr>
      </w:pPr>
      <w:r>
        <w:rPr>
          <w:rFonts w:ascii="Arial" w:cs="Arial" w:eastAsia="Arial" w:hAnsi="Arial"/>
          <w:sz w:val="15"/>
          <w:szCs w:val="15"/>
          <w:color w:val="7F7F7F"/>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36061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89445" cy="3606165"/>
                    </a:xfrm>
                    <a:prstGeom prst="rect">
                      <a:avLst/>
                    </a:prstGeom>
                    <a:noFill/>
                  </pic:spPr>
                </pic:pic>
              </a:graphicData>
            </a:graphic>
          </wp:anchor>
        </w:drawing>
      </w:r>
    </w:p>
    <w:p>
      <w:pPr>
        <w:spacing w:after="0" w:line="249" w:lineRule="exact"/>
        <w:rPr>
          <w:sz w:val="20"/>
          <w:szCs w:val="20"/>
          <w:color w:val="auto"/>
        </w:rPr>
      </w:pPr>
    </w:p>
    <w:tbl>
      <w:tblPr>
        <w:tblLayout w:type="fixed"/>
        <w:tblInd w:w="220" w:type="dxa"/>
        <w:tblCellMar>
          <w:top w:w="0" w:type="dxa"/>
          <w:left w:w="0" w:type="dxa"/>
          <w:bottom w:w="0" w:type="dxa"/>
          <w:right w:w="0" w:type="dxa"/>
        </w:tblCellMar>
      </w:tblPr>
      <w:tr>
        <w:trPr>
          <w:trHeight w:val="229"/>
        </w:trPr>
        <w:tc>
          <w:tcPr>
            <w:tcW w:w="3180" w:type="dxa"/>
            <w:vAlign w:val="bottom"/>
            <w:shd w:val="clear" w:color="auto" w:fill="998C87"/>
          </w:tcPr>
          <w:p>
            <w:pPr>
              <w:spacing w:after="0"/>
              <w:rPr>
                <w:sz w:val="19"/>
                <w:szCs w:val="19"/>
                <w:color w:val="auto"/>
              </w:rPr>
            </w:pPr>
          </w:p>
        </w:tc>
        <w:tc>
          <w:tcPr>
            <w:tcW w:w="1080" w:type="dxa"/>
            <w:vAlign w:val="bottom"/>
            <w:shd w:val="clear" w:color="auto" w:fill="998C87"/>
          </w:tcPr>
          <w:p>
            <w:pPr>
              <w:spacing w:after="0"/>
              <w:rPr>
                <w:sz w:val="19"/>
                <w:szCs w:val="19"/>
                <w:color w:val="auto"/>
              </w:rPr>
            </w:pPr>
          </w:p>
        </w:tc>
        <w:tc>
          <w:tcPr>
            <w:tcW w:w="5220" w:type="dxa"/>
            <w:vAlign w:val="bottom"/>
            <w:gridSpan w:val="5"/>
            <w:shd w:val="clear" w:color="auto" w:fill="998C87"/>
          </w:tcPr>
          <w:p>
            <w:pPr>
              <w:jc w:val="right"/>
              <w:ind w:right="196"/>
              <w:spacing w:after="0"/>
              <w:rPr>
                <w:sz w:val="20"/>
                <w:szCs w:val="20"/>
                <w:color w:val="auto"/>
              </w:rPr>
            </w:pPr>
            <w:r>
              <w:rPr>
                <w:rFonts w:ascii="Arial" w:cs="Arial" w:eastAsia="Arial" w:hAnsi="Arial"/>
                <w:sz w:val="16"/>
                <w:szCs w:val="16"/>
                <w:b w:val="1"/>
                <w:bCs w:val="1"/>
                <w:color w:val="FFFFFF"/>
              </w:rPr>
              <w:t>2017 Restricted/Performance Stock Unit Award Vesting</w:t>
            </w:r>
          </w:p>
        </w:tc>
        <w:tc>
          <w:tcPr>
            <w:tcW w:w="1520" w:type="dxa"/>
            <w:vAlign w:val="bottom"/>
            <w:shd w:val="clear" w:color="auto" w:fill="998C87"/>
          </w:tcPr>
          <w:p>
            <w:pPr>
              <w:spacing w:after="0"/>
              <w:rPr>
                <w:sz w:val="19"/>
                <w:szCs w:val="19"/>
                <w:color w:val="auto"/>
              </w:rPr>
            </w:pPr>
          </w:p>
        </w:tc>
      </w:tr>
      <w:tr>
        <w:trPr>
          <w:trHeight w:val="182"/>
        </w:trPr>
        <w:tc>
          <w:tcPr>
            <w:tcW w:w="3180" w:type="dxa"/>
            <w:vAlign w:val="bottom"/>
            <w:shd w:val="clear" w:color="auto" w:fill="998C87"/>
          </w:tcPr>
          <w:p>
            <w:pPr>
              <w:spacing w:after="0"/>
              <w:rPr>
                <w:sz w:val="15"/>
                <w:szCs w:val="15"/>
                <w:color w:val="auto"/>
              </w:rPr>
            </w:pPr>
          </w:p>
        </w:tc>
        <w:tc>
          <w:tcPr>
            <w:tcW w:w="1080" w:type="dxa"/>
            <w:vAlign w:val="bottom"/>
            <w:shd w:val="clear" w:color="auto" w:fill="998C87"/>
          </w:tcPr>
          <w:p>
            <w:pPr>
              <w:spacing w:after="0"/>
              <w:rPr>
                <w:sz w:val="15"/>
                <w:szCs w:val="15"/>
                <w:color w:val="auto"/>
              </w:rPr>
            </w:pPr>
          </w:p>
        </w:tc>
        <w:tc>
          <w:tcPr>
            <w:tcW w:w="1080" w:type="dxa"/>
            <w:vAlign w:val="bottom"/>
            <w:shd w:val="clear" w:color="auto" w:fill="998C87"/>
          </w:tcPr>
          <w:p>
            <w:pPr>
              <w:spacing w:after="0"/>
              <w:rPr>
                <w:sz w:val="15"/>
                <w:szCs w:val="15"/>
                <w:color w:val="auto"/>
              </w:rPr>
            </w:pPr>
          </w:p>
        </w:tc>
        <w:tc>
          <w:tcPr>
            <w:tcW w:w="1080" w:type="dxa"/>
            <w:vAlign w:val="bottom"/>
            <w:shd w:val="clear" w:color="auto" w:fill="998C87"/>
          </w:tcPr>
          <w:p>
            <w:pPr>
              <w:spacing w:after="0"/>
              <w:rPr>
                <w:sz w:val="15"/>
                <w:szCs w:val="15"/>
                <w:color w:val="auto"/>
              </w:rPr>
            </w:pPr>
          </w:p>
        </w:tc>
        <w:tc>
          <w:tcPr>
            <w:tcW w:w="900" w:type="dxa"/>
            <w:vAlign w:val="bottom"/>
            <w:shd w:val="clear" w:color="auto" w:fill="998C87"/>
          </w:tcPr>
          <w:p>
            <w:pPr>
              <w:spacing w:after="0"/>
              <w:rPr>
                <w:sz w:val="15"/>
                <w:szCs w:val="15"/>
                <w:color w:val="auto"/>
              </w:rPr>
            </w:pPr>
          </w:p>
        </w:tc>
        <w:tc>
          <w:tcPr>
            <w:tcW w:w="1040" w:type="dxa"/>
            <w:vAlign w:val="bottom"/>
            <w:shd w:val="clear" w:color="auto" w:fill="998C87"/>
          </w:tcPr>
          <w:p>
            <w:pPr>
              <w:spacing w:after="0"/>
              <w:rPr>
                <w:sz w:val="15"/>
                <w:szCs w:val="15"/>
                <w:color w:val="auto"/>
              </w:rPr>
            </w:pPr>
          </w:p>
        </w:tc>
        <w:tc>
          <w:tcPr>
            <w:tcW w:w="1120" w:type="dxa"/>
            <w:vAlign w:val="bottom"/>
            <w:shd w:val="clear" w:color="auto" w:fill="998C87"/>
          </w:tcPr>
          <w:p>
            <w:pPr>
              <w:jc w:val="center"/>
              <w:spacing w:after="0" w:line="182" w:lineRule="exact"/>
              <w:rPr>
                <w:sz w:val="20"/>
                <w:szCs w:val="20"/>
                <w:color w:val="auto"/>
              </w:rPr>
            </w:pPr>
            <w:r>
              <w:rPr>
                <w:rFonts w:ascii="Arial" w:cs="Arial" w:eastAsia="Arial" w:hAnsi="Arial"/>
                <w:sz w:val="16"/>
                <w:szCs w:val="16"/>
                <w:b w:val="1"/>
                <w:bCs w:val="1"/>
                <w:color w:val="FFFFFF"/>
              </w:rPr>
              <w:t>Stock Price</w:t>
            </w:r>
          </w:p>
        </w:tc>
        <w:tc>
          <w:tcPr>
            <w:tcW w:w="1520" w:type="dxa"/>
            <w:vAlign w:val="bottom"/>
            <w:shd w:val="clear" w:color="auto" w:fill="998C87"/>
          </w:tcPr>
          <w:p>
            <w:pPr>
              <w:spacing w:after="0"/>
              <w:rPr>
                <w:sz w:val="15"/>
                <w:szCs w:val="15"/>
                <w:color w:val="auto"/>
              </w:rPr>
            </w:pPr>
          </w:p>
        </w:tc>
      </w:tr>
      <w:tr>
        <w:trPr>
          <w:trHeight w:val="189"/>
        </w:trPr>
        <w:tc>
          <w:tcPr>
            <w:tcW w:w="3180" w:type="dxa"/>
            <w:vAlign w:val="bottom"/>
            <w:shd w:val="clear" w:color="auto" w:fill="998C87"/>
          </w:tcPr>
          <w:p>
            <w:pPr>
              <w:spacing w:after="0"/>
              <w:rPr>
                <w:sz w:val="16"/>
                <w:szCs w:val="16"/>
                <w:color w:val="auto"/>
              </w:rPr>
            </w:pPr>
          </w:p>
        </w:tc>
        <w:tc>
          <w:tcPr>
            <w:tcW w:w="1080" w:type="dxa"/>
            <w:vAlign w:val="bottom"/>
            <w:shd w:val="clear" w:color="auto" w:fill="998C87"/>
          </w:tcPr>
          <w:p>
            <w:pPr>
              <w:spacing w:after="0"/>
              <w:rPr>
                <w:sz w:val="16"/>
                <w:szCs w:val="16"/>
                <w:color w:val="auto"/>
              </w:rPr>
            </w:pPr>
          </w:p>
        </w:tc>
        <w:tc>
          <w:tcPr>
            <w:tcW w:w="1080" w:type="dxa"/>
            <w:vAlign w:val="bottom"/>
            <w:shd w:val="clear" w:color="auto" w:fill="998C87"/>
          </w:tcPr>
          <w:p>
            <w:pPr>
              <w:spacing w:after="0"/>
              <w:rPr>
                <w:sz w:val="16"/>
                <w:szCs w:val="16"/>
                <w:color w:val="auto"/>
              </w:rPr>
            </w:pPr>
          </w:p>
        </w:tc>
        <w:tc>
          <w:tcPr>
            <w:tcW w:w="1080" w:type="dxa"/>
            <w:vAlign w:val="bottom"/>
            <w:shd w:val="clear" w:color="auto" w:fill="998C87"/>
          </w:tcPr>
          <w:p>
            <w:pPr>
              <w:spacing w:after="0"/>
              <w:rPr>
                <w:sz w:val="16"/>
                <w:szCs w:val="16"/>
                <w:color w:val="auto"/>
              </w:rPr>
            </w:pPr>
          </w:p>
        </w:tc>
        <w:tc>
          <w:tcPr>
            <w:tcW w:w="900" w:type="dxa"/>
            <w:vAlign w:val="bottom"/>
            <w:shd w:val="clear" w:color="auto" w:fill="998C87"/>
          </w:tcPr>
          <w:p>
            <w:pPr>
              <w:spacing w:after="0"/>
              <w:rPr>
                <w:sz w:val="16"/>
                <w:szCs w:val="16"/>
                <w:color w:val="auto"/>
              </w:rPr>
            </w:pPr>
          </w:p>
        </w:tc>
        <w:tc>
          <w:tcPr>
            <w:tcW w:w="1040" w:type="dxa"/>
            <w:vAlign w:val="bottom"/>
            <w:shd w:val="clear" w:color="auto" w:fill="998C87"/>
          </w:tcPr>
          <w:p>
            <w:pPr>
              <w:spacing w:after="0"/>
              <w:rPr>
                <w:sz w:val="16"/>
                <w:szCs w:val="16"/>
                <w:color w:val="auto"/>
              </w:rPr>
            </w:pPr>
          </w:p>
        </w:tc>
        <w:tc>
          <w:tcPr>
            <w:tcW w:w="112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Increase/</w:t>
            </w:r>
          </w:p>
        </w:tc>
        <w:tc>
          <w:tcPr>
            <w:tcW w:w="1520" w:type="dxa"/>
            <w:vAlign w:val="bottom"/>
            <w:shd w:val="clear" w:color="auto" w:fill="998C87"/>
          </w:tcPr>
          <w:p>
            <w:pPr>
              <w:spacing w:after="0"/>
              <w:rPr>
                <w:sz w:val="16"/>
                <w:szCs w:val="16"/>
                <w:color w:val="auto"/>
              </w:rPr>
            </w:pPr>
          </w:p>
        </w:tc>
      </w:tr>
      <w:tr>
        <w:trPr>
          <w:trHeight w:val="189"/>
        </w:trPr>
        <w:tc>
          <w:tcPr>
            <w:tcW w:w="3180" w:type="dxa"/>
            <w:vAlign w:val="bottom"/>
            <w:shd w:val="clear" w:color="auto" w:fill="998C87"/>
          </w:tcPr>
          <w:p>
            <w:pPr>
              <w:spacing w:after="0"/>
              <w:rPr>
                <w:sz w:val="16"/>
                <w:szCs w:val="16"/>
                <w:color w:val="auto"/>
              </w:rPr>
            </w:pPr>
          </w:p>
        </w:tc>
        <w:tc>
          <w:tcPr>
            <w:tcW w:w="1080" w:type="dxa"/>
            <w:vAlign w:val="bottom"/>
            <w:shd w:val="clear" w:color="auto" w:fill="998C87"/>
          </w:tcPr>
          <w:p>
            <w:pPr>
              <w:spacing w:after="0"/>
              <w:rPr>
                <w:sz w:val="16"/>
                <w:szCs w:val="16"/>
                <w:color w:val="auto"/>
              </w:rPr>
            </w:pPr>
          </w:p>
        </w:tc>
        <w:tc>
          <w:tcPr>
            <w:tcW w:w="1080" w:type="dxa"/>
            <w:vAlign w:val="bottom"/>
            <w:shd w:val="clear" w:color="auto" w:fill="998C87"/>
          </w:tcPr>
          <w:p>
            <w:pPr>
              <w:spacing w:after="0"/>
              <w:rPr>
                <w:sz w:val="16"/>
                <w:szCs w:val="16"/>
                <w:color w:val="auto"/>
              </w:rPr>
            </w:pPr>
          </w:p>
        </w:tc>
        <w:tc>
          <w:tcPr>
            <w:tcW w:w="1080" w:type="dxa"/>
            <w:vAlign w:val="bottom"/>
            <w:shd w:val="clear" w:color="auto" w:fill="998C87"/>
          </w:tcPr>
          <w:p>
            <w:pPr>
              <w:spacing w:after="0"/>
              <w:rPr>
                <w:sz w:val="16"/>
                <w:szCs w:val="16"/>
                <w:color w:val="auto"/>
              </w:rPr>
            </w:pPr>
          </w:p>
        </w:tc>
        <w:tc>
          <w:tcPr>
            <w:tcW w:w="90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Average</w:t>
            </w:r>
          </w:p>
        </w:tc>
        <w:tc>
          <w:tcPr>
            <w:tcW w:w="10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Average</w:t>
            </w:r>
          </w:p>
        </w:tc>
        <w:tc>
          <w:tcPr>
            <w:tcW w:w="112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Decrease</w:t>
            </w:r>
          </w:p>
        </w:tc>
        <w:tc>
          <w:tcPr>
            <w:tcW w:w="1520" w:type="dxa"/>
            <w:vAlign w:val="bottom"/>
            <w:shd w:val="clear" w:color="auto" w:fill="998C87"/>
          </w:tcPr>
          <w:p>
            <w:pPr>
              <w:spacing w:after="0"/>
              <w:rPr>
                <w:sz w:val="16"/>
                <w:szCs w:val="16"/>
                <w:color w:val="auto"/>
              </w:rPr>
            </w:pPr>
          </w:p>
        </w:tc>
      </w:tr>
      <w:tr>
        <w:trPr>
          <w:trHeight w:val="189"/>
        </w:trPr>
        <w:tc>
          <w:tcPr>
            <w:tcW w:w="3180" w:type="dxa"/>
            <w:vAlign w:val="bottom"/>
            <w:shd w:val="clear" w:color="auto" w:fill="998C87"/>
          </w:tcPr>
          <w:p>
            <w:pPr>
              <w:spacing w:after="0"/>
              <w:rPr>
                <w:sz w:val="16"/>
                <w:szCs w:val="16"/>
                <w:color w:val="auto"/>
              </w:rPr>
            </w:pPr>
          </w:p>
        </w:tc>
        <w:tc>
          <w:tcPr>
            <w:tcW w:w="1080" w:type="dxa"/>
            <w:vAlign w:val="bottom"/>
            <w:shd w:val="clear" w:color="auto" w:fill="998C87"/>
          </w:tcPr>
          <w:p>
            <w:pPr>
              <w:spacing w:after="0"/>
              <w:rPr>
                <w:sz w:val="16"/>
                <w:szCs w:val="16"/>
                <w:color w:val="auto"/>
              </w:rPr>
            </w:pPr>
          </w:p>
        </w:tc>
        <w:tc>
          <w:tcPr>
            <w:tcW w:w="1080" w:type="dxa"/>
            <w:vAlign w:val="bottom"/>
            <w:shd w:val="clear" w:color="auto" w:fill="998C87"/>
          </w:tcPr>
          <w:p>
            <w:pPr>
              <w:spacing w:after="0"/>
              <w:rPr>
                <w:sz w:val="16"/>
                <w:szCs w:val="16"/>
                <w:color w:val="auto"/>
              </w:rPr>
            </w:pPr>
          </w:p>
        </w:tc>
        <w:tc>
          <w:tcPr>
            <w:tcW w:w="108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w w:val="99"/>
              </w:rPr>
              <w:t>Number of</w:t>
            </w:r>
          </w:p>
        </w:tc>
        <w:tc>
          <w:tcPr>
            <w:tcW w:w="90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Market</w:t>
            </w:r>
          </w:p>
        </w:tc>
        <w:tc>
          <w:tcPr>
            <w:tcW w:w="10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Market</w:t>
            </w:r>
          </w:p>
        </w:tc>
        <w:tc>
          <w:tcPr>
            <w:tcW w:w="112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from Grant</w:t>
            </w:r>
          </w:p>
        </w:tc>
        <w:tc>
          <w:tcPr>
            <w:tcW w:w="152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Value Realized</w:t>
            </w:r>
          </w:p>
        </w:tc>
      </w:tr>
      <w:tr>
        <w:trPr>
          <w:trHeight w:val="189"/>
        </w:trPr>
        <w:tc>
          <w:tcPr>
            <w:tcW w:w="3180" w:type="dxa"/>
            <w:vAlign w:val="bottom"/>
            <w:shd w:val="clear" w:color="auto" w:fill="998C87"/>
          </w:tcPr>
          <w:p>
            <w:pPr>
              <w:spacing w:after="0"/>
              <w:rPr>
                <w:sz w:val="16"/>
                <w:szCs w:val="16"/>
                <w:color w:val="auto"/>
              </w:rPr>
            </w:pPr>
          </w:p>
        </w:tc>
        <w:tc>
          <w:tcPr>
            <w:tcW w:w="1080" w:type="dxa"/>
            <w:vAlign w:val="bottom"/>
            <w:shd w:val="clear" w:color="auto" w:fill="998C87"/>
          </w:tcPr>
          <w:p>
            <w:pPr>
              <w:jc w:val="right"/>
              <w:ind w:right="255"/>
              <w:spacing w:after="0"/>
              <w:rPr>
                <w:sz w:val="20"/>
                <w:szCs w:val="20"/>
                <w:color w:val="auto"/>
              </w:rPr>
            </w:pPr>
            <w:r>
              <w:rPr>
                <w:rFonts w:ascii="Arial" w:cs="Arial" w:eastAsia="Arial" w:hAnsi="Arial"/>
                <w:sz w:val="16"/>
                <w:szCs w:val="16"/>
                <w:b w:val="1"/>
                <w:bCs w:val="1"/>
                <w:color w:val="FFFFFF"/>
              </w:rPr>
              <w:t>Grant</w:t>
            </w:r>
          </w:p>
        </w:tc>
        <w:tc>
          <w:tcPr>
            <w:tcW w:w="1080" w:type="dxa"/>
            <w:vAlign w:val="bottom"/>
            <w:shd w:val="clear" w:color="auto" w:fill="998C87"/>
          </w:tcPr>
          <w:p>
            <w:pPr>
              <w:jc w:val="right"/>
              <w:ind w:right="175"/>
              <w:spacing w:after="0"/>
              <w:rPr>
                <w:sz w:val="20"/>
                <w:szCs w:val="20"/>
                <w:color w:val="auto"/>
              </w:rPr>
            </w:pPr>
            <w:r>
              <w:rPr>
                <w:rFonts w:ascii="Arial" w:cs="Arial" w:eastAsia="Arial" w:hAnsi="Arial"/>
                <w:sz w:val="16"/>
                <w:szCs w:val="16"/>
                <w:b w:val="1"/>
                <w:bCs w:val="1"/>
                <w:color w:val="FFFFFF"/>
              </w:rPr>
              <w:t>Vesting</w:t>
            </w:r>
          </w:p>
        </w:tc>
        <w:tc>
          <w:tcPr>
            <w:tcW w:w="108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Shares</w:t>
            </w:r>
          </w:p>
        </w:tc>
        <w:tc>
          <w:tcPr>
            <w:tcW w:w="90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w w:val="97"/>
              </w:rPr>
              <w:t>Value at</w:t>
            </w:r>
          </w:p>
        </w:tc>
        <w:tc>
          <w:tcPr>
            <w:tcW w:w="10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Value at</w:t>
            </w:r>
          </w:p>
        </w:tc>
        <w:tc>
          <w:tcPr>
            <w:tcW w:w="112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to Vesting</w:t>
            </w:r>
          </w:p>
        </w:tc>
        <w:tc>
          <w:tcPr>
            <w:tcW w:w="152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Upon</w:t>
            </w:r>
          </w:p>
        </w:tc>
      </w:tr>
      <w:tr>
        <w:trPr>
          <w:trHeight w:val="236"/>
        </w:trPr>
        <w:tc>
          <w:tcPr>
            <w:tcW w:w="3180" w:type="dxa"/>
            <w:vAlign w:val="bottom"/>
            <w:shd w:val="clear" w:color="auto" w:fill="998C87"/>
          </w:tcPr>
          <w:p>
            <w:pPr>
              <w:ind w:left="160"/>
              <w:spacing w:after="0"/>
              <w:rPr>
                <w:sz w:val="20"/>
                <w:szCs w:val="20"/>
                <w:color w:val="auto"/>
              </w:rPr>
            </w:pPr>
            <w:r>
              <w:rPr>
                <w:rFonts w:ascii="Arial" w:cs="Arial" w:eastAsia="Arial" w:hAnsi="Arial"/>
                <w:sz w:val="16"/>
                <w:szCs w:val="16"/>
                <w:b w:val="1"/>
                <w:bCs w:val="1"/>
                <w:color w:val="FFFFFF"/>
              </w:rPr>
              <w:t>Name</w:t>
            </w:r>
          </w:p>
        </w:tc>
        <w:tc>
          <w:tcPr>
            <w:tcW w:w="1080" w:type="dxa"/>
            <w:vAlign w:val="bottom"/>
            <w:shd w:val="clear" w:color="auto" w:fill="998C87"/>
          </w:tcPr>
          <w:p>
            <w:pPr>
              <w:jc w:val="right"/>
              <w:ind w:right="295"/>
              <w:spacing w:after="0"/>
              <w:rPr>
                <w:sz w:val="20"/>
                <w:szCs w:val="20"/>
                <w:color w:val="auto"/>
              </w:rPr>
            </w:pPr>
            <w:r>
              <w:rPr>
                <w:rFonts w:ascii="Arial" w:cs="Arial" w:eastAsia="Arial" w:hAnsi="Arial"/>
                <w:sz w:val="16"/>
                <w:szCs w:val="16"/>
                <w:b w:val="1"/>
                <w:bCs w:val="1"/>
                <w:color w:val="FFFFFF"/>
              </w:rPr>
              <w:t>Date</w:t>
            </w:r>
          </w:p>
        </w:tc>
        <w:tc>
          <w:tcPr>
            <w:tcW w:w="1080" w:type="dxa"/>
            <w:vAlign w:val="bottom"/>
            <w:shd w:val="clear" w:color="auto" w:fill="998C87"/>
          </w:tcPr>
          <w:p>
            <w:pPr>
              <w:jc w:val="right"/>
              <w:ind w:right="275"/>
              <w:spacing w:after="0"/>
              <w:rPr>
                <w:sz w:val="20"/>
                <w:szCs w:val="20"/>
                <w:color w:val="auto"/>
              </w:rPr>
            </w:pPr>
            <w:r>
              <w:rPr>
                <w:rFonts w:ascii="Arial" w:cs="Arial" w:eastAsia="Arial" w:hAnsi="Arial"/>
                <w:sz w:val="16"/>
                <w:szCs w:val="16"/>
                <w:b w:val="1"/>
                <w:bCs w:val="1"/>
                <w:color w:val="FFFFFF"/>
              </w:rPr>
              <w:t>Date</w:t>
            </w:r>
          </w:p>
        </w:tc>
        <w:tc>
          <w:tcPr>
            <w:tcW w:w="108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w w:val="99"/>
              </w:rPr>
              <w:t>Vested</w:t>
            </w:r>
          </w:p>
        </w:tc>
        <w:tc>
          <w:tcPr>
            <w:tcW w:w="90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Grant ($)</w:t>
            </w:r>
          </w:p>
        </w:tc>
        <w:tc>
          <w:tcPr>
            <w:tcW w:w="10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Vesting ($)</w:t>
            </w:r>
          </w:p>
        </w:tc>
        <w:tc>
          <w:tcPr>
            <w:tcW w:w="112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Date (%)</w:t>
            </w:r>
          </w:p>
        </w:tc>
        <w:tc>
          <w:tcPr>
            <w:tcW w:w="152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Vesting ($)</w:t>
            </w:r>
          </w:p>
        </w:tc>
      </w:tr>
      <w:tr>
        <w:trPr>
          <w:trHeight w:val="161"/>
        </w:trPr>
        <w:tc>
          <w:tcPr>
            <w:tcW w:w="3180" w:type="dxa"/>
            <w:vAlign w:val="bottom"/>
            <w:shd w:val="clear" w:color="auto" w:fill="F4F3F3"/>
          </w:tcPr>
          <w:p>
            <w:pPr>
              <w:ind w:left="160"/>
              <w:spacing w:after="0" w:line="161" w:lineRule="exact"/>
              <w:rPr>
                <w:sz w:val="20"/>
                <w:szCs w:val="20"/>
                <w:color w:val="auto"/>
              </w:rPr>
            </w:pPr>
            <w:r>
              <w:rPr>
                <w:rFonts w:ascii="Arial" w:cs="Arial" w:eastAsia="Arial" w:hAnsi="Arial"/>
                <w:sz w:val="17"/>
                <w:szCs w:val="17"/>
                <w:color w:val="998C87"/>
              </w:rPr>
              <w:t>Mr. Sorenson</w:t>
            </w:r>
          </w:p>
        </w:tc>
        <w:tc>
          <w:tcPr>
            <w:tcW w:w="1080" w:type="dxa"/>
            <w:vAlign w:val="bottom"/>
            <w:shd w:val="clear" w:color="auto" w:fill="F4F3F3"/>
          </w:tcPr>
          <w:p>
            <w:pPr>
              <w:jc w:val="right"/>
              <w:spacing w:after="0" w:line="161" w:lineRule="exact"/>
              <w:rPr>
                <w:sz w:val="20"/>
                <w:szCs w:val="20"/>
                <w:color w:val="auto"/>
              </w:rPr>
            </w:pPr>
            <w:r>
              <w:rPr>
                <w:rFonts w:ascii="Arial" w:cs="Arial" w:eastAsia="Arial" w:hAnsi="Arial"/>
                <w:sz w:val="17"/>
                <w:szCs w:val="17"/>
                <w:color w:val="auto"/>
              </w:rPr>
              <w:t>2/22/13</w:t>
            </w:r>
          </w:p>
        </w:tc>
        <w:tc>
          <w:tcPr>
            <w:tcW w:w="1080" w:type="dxa"/>
            <w:vAlign w:val="bottom"/>
            <w:shd w:val="clear" w:color="auto" w:fill="F4F3F3"/>
          </w:tcPr>
          <w:p>
            <w:pPr>
              <w:jc w:val="right"/>
              <w:spacing w:after="0" w:line="161" w:lineRule="exact"/>
              <w:rPr>
                <w:sz w:val="20"/>
                <w:szCs w:val="20"/>
                <w:color w:val="auto"/>
              </w:rPr>
            </w:pPr>
            <w:r>
              <w:rPr>
                <w:rFonts w:ascii="Arial" w:cs="Arial" w:eastAsia="Arial" w:hAnsi="Arial"/>
                <w:sz w:val="17"/>
                <w:szCs w:val="17"/>
                <w:color w:val="auto"/>
              </w:rPr>
              <w:t>2/15/17</w:t>
            </w:r>
          </w:p>
        </w:tc>
        <w:tc>
          <w:tcPr>
            <w:tcW w:w="1080" w:type="dxa"/>
            <w:vAlign w:val="bottom"/>
            <w:shd w:val="clear" w:color="auto" w:fill="F4F3F3"/>
          </w:tcPr>
          <w:p>
            <w:pPr>
              <w:jc w:val="right"/>
              <w:spacing w:after="0" w:line="161" w:lineRule="exact"/>
              <w:rPr>
                <w:sz w:val="20"/>
                <w:szCs w:val="20"/>
                <w:color w:val="auto"/>
              </w:rPr>
            </w:pPr>
            <w:r>
              <w:rPr>
                <w:rFonts w:ascii="Arial" w:cs="Arial" w:eastAsia="Arial" w:hAnsi="Arial"/>
                <w:sz w:val="17"/>
                <w:szCs w:val="17"/>
                <w:color w:val="auto"/>
              </w:rPr>
              <w:t>19,099</w:t>
            </w:r>
          </w:p>
        </w:tc>
        <w:tc>
          <w:tcPr>
            <w:tcW w:w="900" w:type="dxa"/>
            <w:vAlign w:val="bottom"/>
            <w:shd w:val="clear" w:color="auto" w:fill="F4F3F3"/>
          </w:tcPr>
          <w:p>
            <w:pPr>
              <w:jc w:val="right"/>
              <w:ind w:right="15"/>
              <w:spacing w:after="0" w:line="161" w:lineRule="exact"/>
              <w:rPr>
                <w:sz w:val="20"/>
                <w:szCs w:val="20"/>
                <w:color w:val="auto"/>
              </w:rPr>
            </w:pPr>
            <w:r>
              <w:rPr>
                <w:rFonts w:ascii="Arial" w:cs="Arial" w:eastAsia="Arial" w:hAnsi="Arial"/>
                <w:sz w:val="17"/>
                <w:szCs w:val="17"/>
                <w:color w:val="auto"/>
              </w:rPr>
              <w:t>39.27</w:t>
            </w:r>
          </w:p>
        </w:tc>
        <w:tc>
          <w:tcPr>
            <w:tcW w:w="1040" w:type="dxa"/>
            <w:vAlign w:val="bottom"/>
            <w:shd w:val="clear" w:color="auto" w:fill="F4F3F3"/>
          </w:tcPr>
          <w:p>
            <w:pPr>
              <w:jc w:val="right"/>
              <w:spacing w:after="0" w:line="161" w:lineRule="exact"/>
              <w:rPr>
                <w:sz w:val="20"/>
                <w:szCs w:val="20"/>
                <w:color w:val="auto"/>
              </w:rPr>
            </w:pPr>
            <w:r>
              <w:rPr>
                <w:rFonts w:ascii="Arial" w:cs="Arial" w:eastAsia="Arial" w:hAnsi="Arial"/>
                <w:sz w:val="17"/>
                <w:szCs w:val="17"/>
                <w:color w:val="auto"/>
              </w:rPr>
              <w:t>88.37</w:t>
            </w:r>
          </w:p>
        </w:tc>
        <w:tc>
          <w:tcPr>
            <w:tcW w:w="1120" w:type="dxa"/>
            <w:vAlign w:val="bottom"/>
            <w:shd w:val="clear" w:color="auto" w:fill="F4F3F3"/>
          </w:tcPr>
          <w:p>
            <w:pPr>
              <w:jc w:val="right"/>
              <w:ind w:right="76"/>
              <w:spacing w:after="0" w:line="161" w:lineRule="exact"/>
              <w:rPr>
                <w:sz w:val="20"/>
                <w:szCs w:val="20"/>
                <w:color w:val="auto"/>
              </w:rPr>
            </w:pPr>
            <w:r>
              <w:rPr>
                <w:rFonts w:ascii="Arial" w:cs="Arial" w:eastAsia="Arial" w:hAnsi="Arial"/>
                <w:sz w:val="17"/>
                <w:szCs w:val="17"/>
                <w:color w:val="auto"/>
              </w:rPr>
              <w:t>125</w:t>
            </w:r>
          </w:p>
        </w:tc>
        <w:tc>
          <w:tcPr>
            <w:tcW w:w="1520" w:type="dxa"/>
            <w:vAlign w:val="bottom"/>
            <w:shd w:val="clear" w:color="auto" w:fill="F4F3F3"/>
          </w:tcPr>
          <w:p>
            <w:pPr>
              <w:jc w:val="right"/>
              <w:spacing w:after="0" w:line="161" w:lineRule="exact"/>
              <w:rPr>
                <w:sz w:val="20"/>
                <w:szCs w:val="20"/>
                <w:color w:val="auto"/>
              </w:rPr>
            </w:pPr>
            <w:r>
              <w:rPr>
                <w:rFonts w:ascii="Arial" w:cs="Arial" w:eastAsia="Arial" w:hAnsi="Arial"/>
                <w:sz w:val="17"/>
                <w:szCs w:val="17"/>
                <w:color w:val="auto"/>
              </w:rPr>
              <w:t>1,687,779</w:t>
            </w:r>
          </w:p>
        </w:tc>
      </w:tr>
      <w:tr>
        <w:trPr>
          <w:trHeight w:val="189"/>
        </w:trPr>
        <w:tc>
          <w:tcPr>
            <w:tcW w:w="3180" w:type="dxa"/>
            <w:vAlign w:val="bottom"/>
            <w:shd w:val="clear" w:color="auto" w:fill="F4F3F3"/>
          </w:tcPr>
          <w:p>
            <w:pPr>
              <w:spacing w:after="0"/>
              <w:rPr>
                <w:sz w:val="16"/>
                <w:szCs w:val="16"/>
                <w:color w:val="auto"/>
              </w:rPr>
            </w:pPr>
          </w:p>
        </w:tc>
        <w:tc>
          <w:tcPr>
            <w:tcW w:w="108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2/24/14</w:t>
            </w:r>
          </w:p>
        </w:tc>
        <w:tc>
          <w:tcPr>
            <w:tcW w:w="108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2/15/17</w:t>
            </w:r>
          </w:p>
        </w:tc>
        <w:tc>
          <w:tcPr>
            <w:tcW w:w="108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58,756</w:t>
            </w:r>
          </w:p>
        </w:tc>
        <w:tc>
          <w:tcPr>
            <w:tcW w:w="900" w:type="dxa"/>
            <w:vAlign w:val="bottom"/>
            <w:shd w:val="clear" w:color="auto" w:fill="F4F3F3"/>
          </w:tcPr>
          <w:p>
            <w:pPr>
              <w:jc w:val="right"/>
              <w:ind w:right="15"/>
              <w:spacing w:after="0" w:line="189" w:lineRule="exact"/>
              <w:rPr>
                <w:sz w:val="20"/>
                <w:szCs w:val="20"/>
                <w:color w:val="auto"/>
              </w:rPr>
            </w:pPr>
            <w:r>
              <w:rPr>
                <w:rFonts w:ascii="Arial" w:cs="Arial" w:eastAsia="Arial" w:hAnsi="Arial"/>
                <w:sz w:val="17"/>
                <w:szCs w:val="17"/>
                <w:color w:val="auto"/>
              </w:rPr>
              <w:t>53.25</w:t>
            </w:r>
          </w:p>
        </w:tc>
        <w:tc>
          <w:tcPr>
            <w:tcW w:w="104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88.37</w:t>
            </w:r>
          </w:p>
        </w:tc>
        <w:tc>
          <w:tcPr>
            <w:tcW w:w="1120" w:type="dxa"/>
            <w:vAlign w:val="bottom"/>
            <w:shd w:val="clear" w:color="auto" w:fill="F4F3F3"/>
          </w:tcPr>
          <w:p>
            <w:pPr>
              <w:jc w:val="right"/>
              <w:ind w:right="76"/>
              <w:spacing w:after="0" w:line="189" w:lineRule="exact"/>
              <w:rPr>
                <w:sz w:val="20"/>
                <w:szCs w:val="20"/>
                <w:color w:val="auto"/>
              </w:rPr>
            </w:pPr>
            <w:r>
              <w:rPr>
                <w:rFonts w:ascii="Arial" w:cs="Arial" w:eastAsia="Arial" w:hAnsi="Arial"/>
                <w:sz w:val="17"/>
                <w:szCs w:val="17"/>
                <w:color w:val="auto"/>
              </w:rPr>
              <w:t>66</w:t>
            </w:r>
          </w:p>
        </w:tc>
        <w:tc>
          <w:tcPr>
            <w:tcW w:w="152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5,192,268</w:t>
            </w:r>
          </w:p>
        </w:tc>
      </w:tr>
      <w:tr>
        <w:trPr>
          <w:trHeight w:val="189"/>
        </w:trPr>
        <w:tc>
          <w:tcPr>
            <w:tcW w:w="3180" w:type="dxa"/>
            <w:vAlign w:val="bottom"/>
            <w:shd w:val="clear" w:color="auto" w:fill="F4F3F3"/>
          </w:tcPr>
          <w:p>
            <w:pPr>
              <w:spacing w:after="0"/>
              <w:rPr>
                <w:sz w:val="16"/>
                <w:szCs w:val="16"/>
                <w:color w:val="auto"/>
              </w:rPr>
            </w:pPr>
          </w:p>
        </w:tc>
        <w:tc>
          <w:tcPr>
            <w:tcW w:w="108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2/23/15</w:t>
            </w:r>
          </w:p>
        </w:tc>
        <w:tc>
          <w:tcPr>
            <w:tcW w:w="108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2/15/17</w:t>
            </w:r>
          </w:p>
        </w:tc>
        <w:tc>
          <w:tcPr>
            <w:tcW w:w="108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8,065</w:t>
            </w:r>
          </w:p>
        </w:tc>
        <w:tc>
          <w:tcPr>
            <w:tcW w:w="900" w:type="dxa"/>
            <w:vAlign w:val="bottom"/>
            <w:shd w:val="clear" w:color="auto" w:fill="F4F3F3"/>
          </w:tcPr>
          <w:p>
            <w:pPr>
              <w:jc w:val="right"/>
              <w:ind w:right="15"/>
              <w:spacing w:after="0" w:line="189" w:lineRule="exact"/>
              <w:rPr>
                <w:sz w:val="20"/>
                <w:szCs w:val="20"/>
                <w:color w:val="auto"/>
              </w:rPr>
            </w:pPr>
            <w:r>
              <w:rPr>
                <w:rFonts w:ascii="Arial" w:cs="Arial" w:eastAsia="Arial" w:hAnsi="Arial"/>
                <w:sz w:val="17"/>
                <w:szCs w:val="17"/>
                <w:color w:val="auto"/>
              </w:rPr>
              <w:t>82.67</w:t>
            </w:r>
          </w:p>
        </w:tc>
        <w:tc>
          <w:tcPr>
            <w:tcW w:w="104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88.37</w:t>
            </w:r>
          </w:p>
        </w:tc>
        <w:tc>
          <w:tcPr>
            <w:tcW w:w="1120" w:type="dxa"/>
            <w:vAlign w:val="bottom"/>
            <w:shd w:val="clear" w:color="auto" w:fill="F4F3F3"/>
          </w:tcPr>
          <w:p>
            <w:pPr>
              <w:jc w:val="right"/>
              <w:ind w:right="76"/>
              <w:spacing w:after="0" w:line="189" w:lineRule="exact"/>
              <w:rPr>
                <w:sz w:val="20"/>
                <w:szCs w:val="20"/>
                <w:color w:val="auto"/>
              </w:rPr>
            </w:pPr>
            <w:r>
              <w:rPr>
                <w:rFonts w:ascii="Arial" w:cs="Arial" w:eastAsia="Arial" w:hAnsi="Arial"/>
                <w:sz w:val="17"/>
                <w:szCs w:val="17"/>
                <w:color w:val="auto"/>
              </w:rPr>
              <w:t>7</w:t>
            </w:r>
          </w:p>
        </w:tc>
        <w:tc>
          <w:tcPr>
            <w:tcW w:w="152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712,704</w:t>
            </w:r>
          </w:p>
        </w:tc>
      </w:tr>
      <w:tr>
        <w:trPr>
          <w:trHeight w:val="231"/>
        </w:trPr>
        <w:tc>
          <w:tcPr>
            <w:tcW w:w="3180" w:type="dxa"/>
            <w:vAlign w:val="bottom"/>
            <w:shd w:val="clear" w:color="auto" w:fill="F4F3F3"/>
          </w:tcPr>
          <w:p>
            <w:pPr>
              <w:spacing w:after="0"/>
              <w:rPr>
                <w:sz w:val="20"/>
                <w:szCs w:val="20"/>
                <w:color w:val="auto"/>
              </w:rPr>
            </w:pPr>
          </w:p>
        </w:tc>
        <w:tc>
          <w:tcPr>
            <w:tcW w:w="1080" w:type="dxa"/>
            <w:vAlign w:val="bottom"/>
            <w:shd w:val="clear" w:color="auto" w:fill="F4F3F3"/>
          </w:tcPr>
          <w:p>
            <w:pPr>
              <w:jc w:val="right"/>
              <w:spacing w:after="0"/>
              <w:rPr>
                <w:sz w:val="20"/>
                <w:szCs w:val="20"/>
                <w:color w:val="auto"/>
              </w:rPr>
            </w:pPr>
            <w:r>
              <w:rPr>
                <w:rFonts w:ascii="Arial" w:cs="Arial" w:eastAsia="Arial" w:hAnsi="Arial"/>
                <w:sz w:val="17"/>
                <w:szCs w:val="17"/>
                <w:color w:val="auto"/>
              </w:rPr>
              <w:t>2/22/16</w:t>
            </w:r>
          </w:p>
        </w:tc>
        <w:tc>
          <w:tcPr>
            <w:tcW w:w="1080" w:type="dxa"/>
            <w:vAlign w:val="bottom"/>
            <w:shd w:val="clear" w:color="auto" w:fill="F4F3F3"/>
          </w:tcPr>
          <w:p>
            <w:pPr>
              <w:jc w:val="right"/>
              <w:spacing w:after="0"/>
              <w:rPr>
                <w:sz w:val="20"/>
                <w:szCs w:val="20"/>
                <w:color w:val="auto"/>
              </w:rPr>
            </w:pPr>
            <w:r>
              <w:rPr>
                <w:rFonts w:ascii="Arial" w:cs="Arial" w:eastAsia="Arial" w:hAnsi="Arial"/>
                <w:sz w:val="17"/>
                <w:szCs w:val="17"/>
                <w:color w:val="auto"/>
              </w:rPr>
              <w:t>2/15/17</w:t>
            </w:r>
          </w:p>
        </w:tc>
        <w:tc>
          <w:tcPr>
            <w:tcW w:w="1080" w:type="dxa"/>
            <w:vAlign w:val="bottom"/>
            <w:shd w:val="clear" w:color="auto" w:fill="F4F3F3"/>
          </w:tcPr>
          <w:p>
            <w:pPr>
              <w:jc w:val="right"/>
              <w:spacing w:after="0"/>
              <w:rPr>
                <w:sz w:val="20"/>
                <w:szCs w:val="20"/>
                <w:color w:val="auto"/>
              </w:rPr>
            </w:pPr>
            <w:r>
              <w:rPr>
                <w:rFonts w:ascii="Arial" w:cs="Arial" w:eastAsia="Arial" w:hAnsi="Arial"/>
                <w:sz w:val="17"/>
                <w:szCs w:val="17"/>
                <w:color w:val="auto"/>
              </w:rPr>
              <w:t>9,972</w:t>
            </w:r>
          </w:p>
        </w:tc>
        <w:tc>
          <w:tcPr>
            <w:tcW w:w="900" w:type="dxa"/>
            <w:vAlign w:val="bottom"/>
            <w:shd w:val="clear" w:color="auto" w:fill="F4F3F3"/>
          </w:tcPr>
          <w:p>
            <w:pPr>
              <w:jc w:val="right"/>
              <w:ind w:right="15"/>
              <w:spacing w:after="0"/>
              <w:rPr>
                <w:sz w:val="20"/>
                <w:szCs w:val="20"/>
                <w:color w:val="auto"/>
              </w:rPr>
            </w:pPr>
            <w:r>
              <w:rPr>
                <w:rFonts w:ascii="Arial" w:cs="Arial" w:eastAsia="Arial" w:hAnsi="Arial"/>
                <w:sz w:val="17"/>
                <w:szCs w:val="17"/>
                <w:color w:val="auto"/>
              </w:rPr>
              <w:t>66.86</w:t>
            </w:r>
          </w:p>
        </w:tc>
        <w:tc>
          <w:tcPr>
            <w:tcW w:w="1040" w:type="dxa"/>
            <w:vAlign w:val="bottom"/>
            <w:shd w:val="clear" w:color="auto" w:fill="F4F3F3"/>
          </w:tcPr>
          <w:p>
            <w:pPr>
              <w:jc w:val="right"/>
              <w:spacing w:after="0"/>
              <w:rPr>
                <w:sz w:val="20"/>
                <w:szCs w:val="20"/>
                <w:color w:val="auto"/>
              </w:rPr>
            </w:pPr>
            <w:r>
              <w:rPr>
                <w:rFonts w:ascii="Arial" w:cs="Arial" w:eastAsia="Arial" w:hAnsi="Arial"/>
                <w:sz w:val="17"/>
                <w:szCs w:val="17"/>
                <w:color w:val="auto"/>
              </w:rPr>
              <w:t>88.37</w:t>
            </w:r>
          </w:p>
        </w:tc>
        <w:tc>
          <w:tcPr>
            <w:tcW w:w="1120" w:type="dxa"/>
            <w:vAlign w:val="bottom"/>
            <w:shd w:val="clear" w:color="auto" w:fill="F4F3F3"/>
          </w:tcPr>
          <w:p>
            <w:pPr>
              <w:jc w:val="right"/>
              <w:ind w:right="76"/>
              <w:spacing w:after="0"/>
              <w:rPr>
                <w:sz w:val="20"/>
                <w:szCs w:val="20"/>
                <w:color w:val="auto"/>
              </w:rPr>
            </w:pPr>
            <w:r>
              <w:rPr>
                <w:rFonts w:ascii="Arial" w:cs="Arial" w:eastAsia="Arial" w:hAnsi="Arial"/>
                <w:sz w:val="17"/>
                <w:szCs w:val="17"/>
                <w:color w:val="auto"/>
              </w:rPr>
              <w:t>32</w:t>
            </w:r>
          </w:p>
        </w:tc>
        <w:tc>
          <w:tcPr>
            <w:tcW w:w="1520" w:type="dxa"/>
            <w:vAlign w:val="bottom"/>
            <w:shd w:val="clear" w:color="auto" w:fill="F4F3F3"/>
          </w:tcPr>
          <w:p>
            <w:pPr>
              <w:jc w:val="right"/>
              <w:spacing w:after="0"/>
              <w:rPr>
                <w:sz w:val="20"/>
                <w:szCs w:val="20"/>
                <w:color w:val="auto"/>
              </w:rPr>
            </w:pPr>
            <w:r>
              <w:rPr>
                <w:rFonts w:ascii="Arial" w:cs="Arial" w:eastAsia="Arial" w:hAnsi="Arial"/>
                <w:sz w:val="17"/>
                <w:szCs w:val="17"/>
                <w:color w:val="auto"/>
              </w:rPr>
              <w:t>881,226</w:t>
            </w:r>
          </w:p>
        </w:tc>
      </w:tr>
      <w:tr>
        <w:trPr>
          <w:trHeight w:val="174"/>
        </w:trPr>
        <w:tc>
          <w:tcPr>
            <w:tcW w:w="3180" w:type="dxa"/>
            <w:vAlign w:val="bottom"/>
            <w:shd w:val="clear" w:color="auto" w:fill="F4F3F3"/>
          </w:tcPr>
          <w:p>
            <w:pPr>
              <w:ind w:left="160"/>
              <w:spacing w:after="0" w:line="174" w:lineRule="exact"/>
              <w:rPr>
                <w:sz w:val="20"/>
                <w:szCs w:val="20"/>
                <w:color w:val="auto"/>
              </w:rPr>
            </w:pPr>
            <w:r>
              <w:rPr>
                <w:rFonts w:ascii="Arial" w:cs="Arial" w:eastAsia="Arial" w:hAnsi="Arial"/>
                <w:sz w:val="17"/>
                <w:szCs w:val="17"/>
                <w:color w:val="998C87"/>
              </w:rPr>
              <w:t>Mr. Capuano</w:t>
            </w:r>
          </w:p>
        </w:tc>
        <w:tc>
          <w:tcPr>
            <w:tcW w:w="1080" w:type="dxa"/>
            <w:vAlign w:val="bottom"/>
            <w:shd w:val="clear" w:color="auto" w:fill="F4F3F3"/>
          </w:tcPr>
          <w:p>
            <w:pPr>
              <w:jc w:val="right"/>
              <w:spacing w:after="0" w:line="174" w:lineRule="exact"/>
              <w:rPr>
                <w:sz w:val="20"/>
                <w:szCs w:val="20"/>
                <w:color w:val="auto"/>
              </w:rPr>
            </w:pPr>
            <w:r>
              <w:rPr>
                <w:rFonts w:ascii="Arial" w:cs="Arial" w:eastAsia="Arial" w:hAnsi="Arial"/>
                <w:sz w:val="17"/>
                <w:szCs w:val="17"/>
                <w:color w:val="auto"/>
              </w:rPr>
              <w:t>2/22/13</w:t>
            </w:r>
          </w:p>
        </w:tc>
        <w:tc>
          <w:tcPr>
            <w:tcW w:w="1080" w:type="dxa"/>
            <w:vAlign w:val="bottom"/>
            <w:shd w:val="clear" w:color="auto" w:fill="F4F3F3"/>
          </w:tcPr>
          <w:p>
            <w:pPr>
              <w:jc w:val="right"/>
              <w:spacing w:after="0" w:line="174" w:lineRule="exact"/>
              <w:rPr>
                <w:sz w:val="20"/>
                <w:szCs w:val="20"/>
                <w:color w:val="auto"/>
              </w:rPr>
            </w:pPr>
            <w:r>
              <w:rPr>
                <w:rFonts w:ascii="Arial" w:cs="Arial" w:eastAsia="Arial" w:hAnsi="Arial"/>
                <w:sz w:val="17"/>
                <w:szCs w:val="17"/>
                <w:color w:val="auto"/>
              </w:rPr>
              <w:t>2/15/17</w:t>
            </w:r>
          </w:p>
        </w:tc>
        <w:tc>
          <w:tcPr>
            <w:tcW w:w="1080" w:type="dxa"/>
            <w:vAlign w:val="bottom"/>
            <w:shd w:val="clear" w:color="auto" w:fill="F4F3F3"/>
          </w:tcPr>
          <w:p>
            <w:pPr>
              <w:jc w:val="right"/>
              <w:spacing w:after="0" w:line="174" w:lineRule="exact"/>
              <w:rPr>
                <w:sz w:val="20"/>
                <w:szCs w:val="20"/>
                <w:color w:val="auto"/>
              </w:rPr>
            </w:pPr>
            <w:r>
              <w:rPr>
                <w:rFonts w:ascii="Arial" w:cs="Arial" w:eastAsia="Arial" w:hAnsi="Arial"/>
                <w:sz w:val="17"/>
                <w:szCs w:val="17"/>
                <w:color w:val="auto"/>
              </w:rPr>
              <w:t>5,093</w:t>
            </w:r>
          </w:p>
        </w:tc>
        <w:tc>
          <w:tcPr>
            <w:tcW w:w="900" w:type="dxa"/>
            <w:vAlign w:val="bottom"/>
            <w:shd w:val="clear" w:color="auto" w:fill="F4F3F3"/>
          </w:tcPr>
          <w:p>
            <w:pPr>
              <w:jc w:val="right"/>
              <w:ind w:right="15"/>
              <w:spacing w:after="0" w:line="174" w:lineRule="exact"/>
              <w:rPr>
                <w:sz w:val="20"/>
                <w:szCs w:val="20"/>
                <w:color w:val="auto"/>
              </w:rPr>
            </w:pPr>
            <w:r>
              <w:rPr>
                <w:rFonts w:ascii="Arial" w:cs="Arial" w:eastAsia="Arial" w:hAnsi="Arial"/>
                <w:sz w:val="17"/>
                <w:szCs w:val="17"/>
                <w:color w:val="auto"/>
              </w:rPr>
              <w:t>39.27</w:t>
            </w:r>
          </w:p>
        </w:tc>
        <w:tc>
          <w:tcPr>
            <w:tcW w:w="1040" w:type="dxa"/>
            <w:vAlign w:val="bottom"/>
            <w:shd w:val="clear" w:color="auto" w:fill="F4F3F3"/>
          </w:tcPr>
          <w:p>
            <w:pPr>
              <w:jc w:val="right"/>
              <w:spacing w:after="0" w:line="174" w:lineRule="exact"/>
              <w:rPr>
                <w:sz w:val="20"/>
                <w:szCs w:val="20"/>
                <w:color w:val="auto"/>
              </w:rPr>
            </w:pPr>
            <w:r>
              <w:rPr>
                <w:rFonts w:ascii="Arial" w:cs="Arial" w:eastAsia="Arial" w:hAnsi="Arial"/>
                <w:sz w:val="17"/>
                <w:szCs w:val="17"/>
                <w:color w:val="auto"/>
              </w:rPr>
              <w:t>88.37</w:t>
            </w:r>
          </w:p>
        </w:tc>
        <w:tc>
          <w:tcPr>
            <w:tcW w:w="1120" w:type="dxa"/>
            <w:vAlign w:val="bottom"/>
            <w:shd w:val="clear" w:color="auto" w:fill="F4F3F3"/>
          </w:tcPr>
          <w:p>
            <w:pPr>
              <w:jc w:val="right"/>
              <w:ind w:right="76"/>
              <w:spacing w:after="0" w:line="174" w:lineRule="exact"/>
              <w:rPr>
                <w:sz w:val="20"/>
                <w:szCs w:val="20"/>
                <w:color w:val="auto"/>
              </w:rPr>
            </w:pPr>
            <w:r>
              <w:rPr>
                <w:rFonts w:ascii="Arial" w:cs="Arial" w:eastAsia="Arial" w:hAnsi="Arial"/>
                <w:sz w:val="17"/>
                <w:szCs w:val="17"/>
                <w:color w:val="auto"/>
              </w:rPr>
              <w:t>125</w:t>
            </w:r>
          </w:p>
        </w:tc>
        <w:tc>
          <w:tcPr>
            <w:tcW w:w="1520" w:type="dxa"/>
            <w:vAlign w:val="bottom"/>
            <w:shd w:val="clear" w:color="auto" w:fill="F4F3F3"/>
          </w:tcPr>
          <w:p>
            <w:pPr>
              <w:jc w:val="right"/>
              <w:spacing w:after="0" w:line="174" w:lineRule="exact"/>
              <w:rPr>
                <w:sz w:val="20"/>
                <w:szCs w:val="20"/>
                <w:color w:val="auto"/>
              </w:rPr>
            </w:pPr>
            <w:r>
              <w:rPr>
                <w:rFonts w:ascii="Arial" w:cs="Arial" w:eastAsia="Arial" w:hAnsi="Arial"/>
                <w:sz w:val="17"/>
                <w:szCs w:val="17"/>
                <w:color w:val="auto"/>
              </w:rPr>
              <w:t>450,068</w:t>
            </w:r>
          </w:p>
        </w:tc>
      </w:tr>
      <w:tr>
        <w:trPr>
          <w:trHeight w:val="189"/>
        </w:trPr>
        <w:tc>
          <w:tcPr>
            <w:tcW w:w="3180" w:type="dxa"/>
            <w:vAlign w:val="bottom"/>
            <w:shd w:val="clear" w:color="auto" w:fill="F4F3F3"/>
          </w:tcPr>
          <w:p>
            <w:pPr>
              <w:spacing w:after="0"/>
              <w:rPr>
                <w:sz w:val="16"/>
                <w:szCs w:val="16"/>
                <w:color w:val="auto"/>
              </w:rPr>
            </w:pPr>
          </w:p>
        </w:tc>
        <w:tc>
          <w:tcPr>
            <w:tcW w:w="108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2/24/14</w:t>
            </w:r>
          </w:p>
        </w:tc>
        <w:tc>
          <w:tcPr>
            <w:tcW w:w="108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2/15/17</w:t>
            </w:r>
          </w:p>
        </w:tc>
        <w:tc>
          <w:tcPr>
            <w:tcW w:w="108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32,497</w:t>
            </w:r>
          </w:p>
        </w:tc>
        <w:tc>
          <w:tcPr>
            <w:tcW w:w="900" w:type="dxa"/>
            <w:vAlign w:val="bottom"/>
            <w:shd w:val="clear" w:color="auto" w:fill="F4F3F3"/>
          </w:tcPr>
          <w:p>
            <w:pPr>
              <w:jc w:val="right"/>
              <w:ind w:right="15"/>
              <w:spacing w:after="0" w:line="189" w:lineRule="exact"/>
              <w:rPr>
                <w:sz w:val="20"/>
                <w:szCs w:val="20"/>
                <w:color w:val="auto"/>
              </w:rPr>
            </w:pPr>
            <w:r>
              <w:rPr>
                <w:rFonts w:ascii="Arial" w:cs="Arial" w:eastAsia="Arial" w:hAnsi="Arial"/>
                <w:sz w:val="17"/>
                <w:szCs w:val="17"/>
                <w:color w:val="auto"/>
              </w:rPr>
              <w:t>53.25</w:t>
            </w:r>
          </w:p>
        </w:tc>
        <w:tc>
          <w:tcPr>
            <w:tcW w:w="104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88.37</w:t>
            </w:r>
          </w:p>
        </w:tc>
        <w:tc>
          <w:tcPr>
            <w:tcW w:w="1120" w:type="dxa"/>
            <w:vAlign w:val="bottom"/>
            <w:shd w:val="clear" w:color="auto" w:fill="F4F3F3"/>
          </w:tcPr>
          <w:p>
            <w:pPr>
              <w:jc w:val="right"/>
              <w:ind w:right="76"/>
              <w:spacing w:after="0" w:line="189" w:lineRule="exact"/>
              <w:rPr>
                <w:sz w:val="20"/>
                <w:szCs w:val="20"/>
                <w:color w:val="auto"/>
              </w:rPr>
            </w:pPr>
            <w:r>
              <w:rPr>
                <w:rFonts w:ascii="Arial" w:cs="Arial" w:eastAsia="Arial" w:hAnsi="Arial"/>
                <w:sz w:val="17"/>
                <w:szCs w:val="17"/>
                <w:color w:val="auto"/>
              </w:rPr>
              <w:t>66</w:t>
            </w:r>
          </w:p>
        </w:tc>
        <w:tc>
          <w:tcPr>
            <w:tcW w:w="152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2,871,760</w:t>
            </w:r>
          </w:p>
        </w:tc>
      </w:tr>
      <w:tr>
        <w:trPr>
          <w:trHeight w:val="189"/>
        </w:trPr>
        <w:tc>
          <w:tcPr>
            <w:tcW w:w="3180" w:type="dxa"/>
            <w:vAlign w:val="bottom"/>
            <w:shd w:val="clear" w:color="auto" w:fill="F4F3F3"/>
          </w:tcPr>
          <w:p>
            <w:pPr>
              <w:spacing w:after="0"/>
              <w:rPr>
                <w:sz w:val="16"/>
                <w:szCs w:val="16"/>
                <w:color w:val="auto"/>
              </w:rPr>
            </w:pPr>
          </w:p>
        </w:tc>
        <w:tc>
          <w:tcPr>
            <w:tcW w:w="108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2/23/15</w:t>
            </w:r>
          </w:p>
        </w:tc>
        <w:tc>
          <w:tcPr>
            <w:tcW w:w="108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2/15/17</w:t>
            </w:r>
          </w:p>
        </w:tc>
        <w:tc>
          <w:tcPr>
            <w:tcW w:w="108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2,420</w:t>
            </w:r>
          </w:p>
        </w:tc>
        <w:tc>
          <w:tcPr>
            <w:tcW w:w="900" w:type="dxa"/>
            <w:vAlign w:val="bottom"/>
            <w:shd w:val="clear" w:color="auto" w:fill="F4F3F3"/>
          </w:tcPr>
          <w:p>
            <w:pPr>
              <w:jc w:val="right"/>
              <w:ind w:right="15"/>
              <w:spacing w:after="0" w:line="189" w:lineRule="exact"/>
              <w:rPr>
                <w:sz w:val="20"/>
                <w:szCs w:val="20"/>
                <w:color w:val="auto"/>
              </w:rPr>
            </w:pPr>
            <w:r>
              <w:rPr>
                <w:rFonts w:ascii="Arial" w:cs="Arial" w:eastAsia="Arial" w:hAnsi="Arial"/>
                <w:sz w:val="17"/>
                <w:szCs w:val="17"/>
                <w:color w:val="auto"/>
              </w:rPr>
              <w:t>82.67</w:t>
            </w:r>
          </w:p>
        </w:tc>
        <w:tc>
          <w:tcPr>
            <w:tcW w:w="104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88.37</w:t>
            </w:r>
          </w:p>
        </w:tc>
        <w:tc>
          <w:tcPr>
            <w:tcW w:w="1120" w:type="dxa"/>
            <w:vAlign w:val="bottom"/>
            <w:shd w:val="clear" w:color="auto" w:fill="F4F3F3"/>
          </w:tcPr>
          <w:p>
            <w:pPr>
              <w:jc w:val="right"/>
              <w:ind w:right="76"/>
              <w:spacing w:after="0" w:line="189" w:lineRule="exact"/>
              <w:rPr>
                <w:sz w:val="20"/>
                <w:szCs w:val="20"/>
                <w:color w:val="auto"/>
              </w:rPr>
            </w:pPr>
            <w:r>
              <w:rPr>
                <w:rFonts w:ascii="Arial" w:cs="Arial" w:eastAsia="Arial" w:hAnsi="Arial"/>
                <w:sz w:val="17"/>
                <w:szCs w:val="17"/>
                <w:color w:val="auto"/>
              </w:rPr>
              <w:t>7</w:t>
            </w:r>
          </w:p>
        </w:tc>
        <w:tc>
          <w:tcPr>
            <w:tcW w:w="152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213,855</w:t>
            </w:r>
          </w:p>
        </w:tc>
      </w:tr>
      <w:tr>
        <w:trPr>
          <w:trHeight w:val="231"/>
        </w:trPr>
        <w:tc>
          <w:tcPr>
            <w:tcW w:w="3180" w:type="dxa"/>
            <w:vAlign w:val="bottom"/>
            <w:shd w:val="clear" w:color="auto" w:fill="F4F3F3"/>
          </w:tcPr>
          <w:p>
            <w:pPr>
              <w:spacing w:after="0"/>
              <w:rPr>
                <w:sz w:val="20"/>
                <w:szCs w:val="20"/>
                <w:color w:val="auto"/>
              </w:rPr>
            </w:pPr>
          </w:p>
        </w:tc>
        <w:tc>
          <w:tcPr>
            <w:tcW w:w="1080" w:type="dxa"/>
            <w:vAlign w:val="bottom"/>
            <w:shd w:val="clear" w:color="auto" w:fill="F4F3F3"/>
          </w:tcPr>
          <w:p>
            <w:pPr>
              <w:jc w:val="right"/>
              <w:spacing w:after="0"/>
              <w:rPr>
                <w:sz w:val="20"/>
                <w:szCs w:val="20"/>
                <w:color w:val="auto"/>
              </w:rPr>
            </w:pPr>
            <w:r>
              <w:rPr>
                <w:rFonts w:ascii="Arial" w:cs="Arial" w:eastAsia="Arial" w:hAnsi="Arial"/>
                <w:sz w:val="17"/>
                <w:szCs w:val="17"/>
                <w:color w:val="auto"/>
              </w:rPr>
              <w:t>2/22/16</w:t>
            </w:r>
          </w:p>
        </w:tc>
        <w:tc>
          <w:tcPr>
            <w:tcW w:w="1080" w:type="dxa"/>
            <w:vAlign w:val="bottom"/>
            <w:shd w:val="clear" w:color="auto" w:fill="F4F3F3"/>
          </w:tcPr>
          <w:p>
            <w:pPr>
              <w:jc w:val="right"/>
              <w:spacing w:after="0"/>
              <w:rPr>
                <w:sz w:val="20"/>
                <w:szCs w:val="20"/>
                <w:color w:val="auto"/>
              </w:rPr>
            </w:pPr>
            <w:r>
              <w:rPr>
                <w:rFonts w:ascii="Arial" w:cs="Arial" w:eastAsia="Arial" w:hAnsi="Arial"/>
                <w:sz w:val="17"/>
                <w:szCs w:val="17"/>
                <w:color w:val="auto"/>
              </w:rPr>
              <w:t>2/15/17</w:t>
            </w:r>
          </w:p>
        </w:tc>
        <w:tc>
          <w:tcPr>
            <w:tcW w:w="1080" w:type="dxa"/>
            <w:vAlign w:val="bottom"/>
            <w:shd w:val="clear" w:color="auto" w:fill="F4F3F3"/>
          </w:tcPr>
          <w:p>
            <w:pPr>
              <w:jc w:val="right"/>
              <w:spacing w:after="0"/>
              <w:rPr>
                <w:sz w:val="20"/>
                <w:szCs w:val="20"/>
                <w:color w:val="auto"/>
              </w:rPr>
            </w:pPr>
            <w:r>
              <w:rPr>
                <w:rFonts w:ascii="Arial" w:cs="Arial" w:eastAsia="Arial" w:hAnsi="Arial"/>
                <w:sz w:val="17"/>
                <w:szCs w:val="17"/>
                <w:color w:val="auto"/>
              </w:rPr>
              <w:t>3,324</w:t>
            </w:r>
          </w:p>
        </w:tc>
        <w:tc>
          <w:tcPr>
            <w:tcW w:w="900" w:type="dxa"/>
            <w:vAlign w:val="bottom"/>
            <w:shd w:val="clear" w:color="auto" w:fill="F4F3F3"/>
          </w:tcPr>
          <w:p>
            <w:pPr>
              <w:jc w:val="right"/>
              <w:ind w:right="15"/>
              <w:spacing w:after="0"/>
              <w:rPr>
                <w:sz w:val="20"/>
                <w:szCs w:val="20"/>
                <w:color w:val="auto"/>
              </w:rPr>
            </w:pPr>
            <w:r>
              <w:rPr>
                <w:rFonts w:ascii="Arial" w:cs="Arial" w:eastAsia="Arial" w:hAnsi="Arial"/>
                <w:sz w:val="17"/>
                <w:szCs w:val="17"/>
                <w:color w:val="auto"/>
              </w:rPr>
              <w:t>66.86</w:t>
            </w:r>
          </w:p>
        </w:tc>
        <w:tc>
          <w:tcPr>
            <w:tcW w:w="1040" w:type="dxa"/>
            <w:vAlign w:val="bottom"/>
            <w:shd w:val="clear" w:color="auto" w:fill="F4F3F3"/>
          </w:tcPr>
          <w:p>
            <w:pPr>
              <w:jc w:val="right"/>
              <w:spacing w:after="0"/>
              <w:rPr>
                <w:sz w:val="20"/>
                <w:szCs w:val="20"/>
                <w:color w:val="auto"/>
              </w:rPr>
            </w:pPr>
            <w:r>
              <w:rPr>
                <w:rFonts w:ascii="Arial" w:cs="Arial" w:eastAsia="Arial" w:hAnsi="Arial"/>
                <w:sz w:val="17"/>
                <w:szCs w:val="17"/>
                <w:color w:val="auto"/>
              </w:rPr>
              <w:t>88.37</w:t>
            </w:r>
          </w:p>
        </w:tc>
        <w:tc>
          <w:tcPr>
            <w:tcW w:w="1120" w:type="dxa"/>
            <w:vAlign w:val="bottom"/>
            <w:shd w:val="clear" w:color="auto" w:fill="F4F3F3"/>
          </w:tcPr>
          <w:p>
            <w:pPr>
              <w:jc w:val="right"/>
              <w:ind w:right="76"/>
              <w:spacing w:after="0"/>
              <w:rPr>
                <w:sz w:val="20"/>
                <w:szCs w:val="20"/>
                <w:color w:val="auto"/>
              </w:rPr>
            </w:pPr>
            <w:r>
              <w:rPr>
                <w:rFonts w:ascii="Arial" w:cs="Arial" w:eastAsia="Arial" w:hAnsi="Arial"/>
                <w:sz w:val="17"/>
                <w:szCs w:val="17"/>
                <w:color w:val="auto"/>
              </w:rPr>
              <w:t>32</w:t>
            </w:r>
          </w:p>
        </w:tc>
        <w:tc>
          <w:tcPr>
            <w:tcW w:w="1520" w:type="dxa"/>
            <w:vAlign w:val="bottom"/>
            <w:shd w:val="clear" w:color="auto" w:fill="F4F3F3"/>
          </w:tcPr>
          <w:p>
            <w:pPr>
              <w:jc w:val="right"/>
              <w:spacing w:after="0"/>
              <w:rPr>
                <w:sz w:val="20"/>
                <w:szCs w:val="20"/>
                <w:color w:val="auto"/>
              </w:rPr>
            </w:pPr>
            <w:r>
              <w:rPr>
                <w:rFonts w:ascii="Arial" w:cs="Arial" w:eastAsia="Arial" w:hAnsi="Arial"/>
                <w:sz w:val="17"/>
                <w:szCs w:val="17"/>
                <w:color w:val="auto"/>
              </w:rPr>
              <w:t>293,742</w:t>
            </w:r>
          </w:p>
        </w:tc>
      </w:tr>
      <w:tr>
        <w:trPr>
          <w:trHeight w:val="174"/>
        </w:trPr>
        <w:tc>
          <w:tcPr>
            <w:tcW w:w="3180" w:type="dxa"/>
            <w:vAlign w:val="bottom"/>
            <w:shd w:val="clear" w:color="auto" w:fill="F4F3F3"/>
          </w:tcPr>
          <w:p>
            <w:pPr>
              <w:ind w:left="160"/>
              <w:spacing w:after="0" w:line="174" w:lineRule="exact"/>
              <w:rPr>
                <w:sz w:val="20"/>
                <w:szCs w:val="20"/>
                <w:color w:val="auto"/>
              </w:rPr>
            </w:pPr>
            <w:r>
              <w:rPr>
                <w:rFonts w:ascii="Arial" w:cs="Arial" w:eastAsia="Arial" w:hAnsi="Arial"/>
                <w:sz w:val="17"/>
                <w:szCs w:val="17"/>
                <w:color w:val="998C87"/>
              </w:rPr>
              <w:t>Ms. Linnartz</w:t>
            </w:r>
          </w:p>
        </w:tc>
        <w:tc>
          <w:tcPr>
            <w:tcW w:w="1080" w:type="dxa"/>
            <w:vAlign w:val="bottom"/>
            <w:shd w:val="clear" w:color="auto" w:fill="F4F3F3"/>
          </w:tcPr>
          <w:p>
            <w:pPr>
              <w:jc w:val="right"/>
              <w:spacing w:after="0" w:line="174" w:lineRule="exact"/>
              <w:rPr>
                <w:sz w:val="20"/>
                <w:szCs w:val="20"/>
                <w:color w:val="auto"/>
              </w:rPr>
            </w:pPr>
            <w:r>
              <w:rPr>
                <w:rFonts w:ascii="Arial" w:cs="Arial" w:eastAsia="Arial" w:hAnsi="Arial"/>
                <w:sz w:val="17"/>
                <w:szCs w:val="17"/>
                <w:color w:val="auto"/>
              </w:rPr>
              <w:t>2/22/13</w:t>
            </w:r>
          </w:p>
        </w:tc>
        <w:tc>
          <w:tcPr>
            <w:tcW w:w="1080" w:type="dxa"/>
            <w:vAlign w:val="bottom"/>
            <w:shd w:val="clear" w:color="auto" w:fill="F4F3F3"/>
          </w:tcPr>
          <w:p>
            <w:pPr>
              <w:jc w:val="right"/>
              <w:spacing w:after="0" w:line="174" w:lineRule="exact"/>
              <w:rPr>
                <w:sz w:val="20"/>
                <w:szCs w:val="20"/>
                <w:color w:val="auto"/>
              </w:rPr>
            </w:pPr>
            <w:r>
              <w:rPr>
                <w:rFonts w:ascii="Arial" w:cs="Arial" w:eastAsia="Arial" w:hAnsi="Arial"/>
                <w:sz w:val="17"/>
                <w:szCs w:val="17"/>
                <w:color w:val="auto"/>
              </w:rPr>
              <w:t>2/15/17</w:t>
            </w:r>
          </w:p>
        </w:tc>
        <w:tc>
          <w:tcPr>
            <w:tcW w:w="1080" w:type="dxa"/>
            <w:vAlign w:val="bottom"/>
            <w:shd w:val="clear" w:color="auto" w:fill="F4F3F3"/>
          </w:tcPr>
          <w:p>
            <w:pPr>
              <w:jc w:val="right"/>
              <w:spacing w:after="0" w:line="174" w:lineRule="exact"/>
              <w:rPr>
                <w:sz w:val="20"/>
                <w:szCs w:val="20"/>
                <w:color w:val="auto"/>
              </w:rPr>
            </w:pPr>
            <w:r>
              <w:rPr>
                <w:rFonts w:ascii="Arial" w:cs="Arial" w:eastAsia="Arial" w:hAnsi="Arial"/>
                <w:sz w:val="17"/>
                <w:szCs w:val="17"/>
                <w:color w:val="auto"/>
              </w:rPr>
              <w:t>3,184</w:t>
            </w:r>
          </w:p>
        </w:tc>
        <w:tc>
          <w:tcPr>
            <w:tcW w:w="900" w:type="dxa"/>
            <w:vAlign w:val="bottom"/>
            <w:shd w:val="clear" w:color="auto" w:fill="F4F3F3"/>
          </w:tcPr>
          <w:p>
            <w:pPr>
              <w:jc w:val="right"/>
              <w:ind w:right="15"/>
              <w:spacing w:after="0" w:line="174" w:lineRule="exact"/>
              <w:rPr>
                <w:sz w:val="20"/>
                <w:szCs w:val="20"/>
                <w:color w:val="auto"/>
              </w:rPr>
            </w:pPr>
            <w:r>
              <w:rPr>
                <w:rFonts w:ascii="Arial" w:cs="Arial" w:eastAsia="Arial" w:hAnsi="Arial"/>
                <w:sz w:val="17"/>
                <w:szCs w:val="17"/>
                <w:color w:val="auto"/>
              </w:rPr>
              <w:t>39.27</w:t>
            </w:r>
          </w:p>
        </w:tc>
        <w:tc>
          <w:tcPr>
            <w:tcW w:w="1040" w:type="dxa"/>
            <w:vAlign w:val="bottom"/>
            <w:shd w:val="clear" w:color="auto" w:fill="F4F3F3"/>
          </w:tcPr>
          <w:p>
            <w:pPr>
              <w:jc w:val="right"/>
              <w:spacing w:after="0" w:line="174" w:lineRule="exact"/>
              <w:rPr>
                <w:sz w:val="20"/>
                <w:szCs w:val="20"/>
                <w:color w:val="auto"/>
              </w:rPr>
            </w:pPr>
            <w:r>
              <w:rPr>
                <w:rFonts w:ascii="Arial" w:cs="Arial" w:eastAsia="Arial" w:hAnsi="Arial"/>
                <w:sz w:val="17"/>
                <w:szCs w:val="17"/>
                <w:color w:val="auto"/>
              </w:rPr>
              <w:t>88.37</w:t>
            </w:r>
          </w:p>
        </w:tc>
        <w:tc>
          <w:tcPr>
            <w:tcW w:w="1120" w:type="dxa"/>
            <w:vAlign w:val="bottom"/>
            <w:shd w:val="clear" w:color="auto" w:fill="F4F3F3"/>
          </w:tcPr>
          <w:p>
            <w:pPr>
              <w:jc w:val="right"/>
              <w:ind w:right="76"/>
              <w:spacing w:after="0" w:line="174" w:lineRule="exact"/>
              <w:rPr>
                <w:sz w:val="20"/>
                <w:szCs w:val="20"/>
                <w:color w:val="auto"/>
              </w:rPr>
            </w:pPr>
            <w:r>
              <w:rPr>
                <w:rFonts w:ascii="Arial" w:cs="Arial" w:eastAsia="Arial" w:hAnsi="Arial"/>
                <w:sz w:val="17"/>
                <w:szCs w:val="17"/>
                <w:color w:val="auto"/>
              </w:rPr>
              <w:t>125</w:t>
            </w:r>
          </w:p>
        </w:tc>
        <w:tc>
          <w:tcPr>
            <w:tcW w:w="1520" w:type="dxa"/>
            <w:vAlign w:val="bottom"/>
            <w:shd w:val="clear" w:color="auto" w:fill="F4F3F3"/>
          </w:tcPr>
          <w:p>
            <w:pPr>
              <w:jc w:val="right"/>
              <w:spacing w:after="0" w:line="174" w:lineRule="exact"/>
              <w:rPr>
                <w:sz w:val="20"/>
                <w:szCs w:val="20"/>
                <w:color w:val="auto"/>
              </w:rPr>
            </w:pPr>
            <w:r>
              <w:rPr>
                <w:rFonts w:ascii="Arial" w:cs="Arial" w:eastAsia="Arial" w:hAnsi="Arial"/>
                <w:sz w:val="17"/>
                <w:szCs w:val="17"/>
                <w:color w:val="auto"/>
              </w:rPr>
              <w:t>281,370</w:t>
            </w:r>
          </w:p>
        </w:tc>
      </w:tr>
      <w:tr>
        <w:trPr>
          <w:trHeight w:val="189"/>
        </w:trPr>
        <w:tc>
          <w:tcPr>
            <w:tcW w:w="3180" w:type="dxa"/>
            <w:vAlign w:val="bottom"/>
            <w:shd w:val="clear" w:color="auto" w:fill="F4F3F3"/>
          </w:tcPr>
          <w:p>
            <w:pPr>
              <w:spacing w:after="0"/>
              <w:rPr>
                <w:sz w:val="16"/>
                <w:szCs w:val="16"/>
                <w:color w:val="auto"/>
              </w:rPr>
            </w:pPr>
          </w:p>
        </w:tc>
        <w:tc>
          <w:tcPr>
            <w:tcW w:w="108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2/24/14</w:t>
            </w:r>
          </w:p>
        </w:tc>
        <w:tc>
          <w:tcPr>
            <w:tcW w:w="108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2/15/17</w:t>
            </w:r>
          </w:p>
        </w:tc>
        <w:tc>
          <w:tcPr>
            <w:tcW w:w="108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8,814</w:t>
            </w:r>
          </w:p>
        </w:tc>
        <w:tc>
          <w:tcPr>
            <w:tcW w:w="900" w:type="dxa"/>
            <w:vAlign w:val="bottom"/>
            <w:shd w:val="clear" w:color="auto" w:fill="F4F3F3"/>
          </w:tcPr>
          <w:p>
            <w:pPr>
              <w:jc w:val="right"/>
              <w:ind w:right="15"/>
              <w:spacing w:after="0" w:line="189" w:lineRule="exact"/>
              <w:rPr>
                <w:sz w:val="20"/>
                <w:szCs w:val="20"/>
                <w:color w:val="auto"/>
              </w:rPr>
            </w:pPr>
            <w:r>
              <w:rPr>
                <w:rFonts w:ascii="Arial" w:cs="Arial" w:eastAsia="Arial" w:hAnsi="Arial"/>
                <w:sz w:val="17"/>
                <w:szCs w:val="17"/>
                <w:color w:val="auto"/>
              </w:rPr>
              <w:t>53.25</w:t>
            </w:r>
          </w:p>
        </w:tc>
        <w:tc>
          <w:tcPr>
            <w:tcW w:w="104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88.37</w:t>
            </w:r>
          </w:p>
        </w:tc>
        <w:tc>
          <w:tcPr>
            <w:tcW w:w="1120" w:type="dxa"/>
            <w:vAlign w:val="bottom"/>
            <w:shd w:val="clear" w:color="auto" w:fill="F4F3F3"/>
          </w:tcPr>
          <w:p>
            <w:pPr>
              <w:jc w:val="right"/>
              <w:ind w:right="76"/>
              <w:spacing w:after="0" w:line="189" w:lineRule="exact"/>
              <w:rPr>
                <w:sz w:val="20"/>
                <w:szCs w:val="20"/>
                <w:color w:val="auto"/>
              </w:rPr>
            </w:pPr>
            <w:r>
              <w:rPr>
                <w:rFonts w:ascii="Arial" w:cs="Arial" w:eastAsia="Arial" w:hAnsi="Arial"/>
                <w:sz w:val="17"/>
                <w:szCs w:val="17"/>
                <w:color w:val="auto"/>
              </w:rPr>
              <w:t>66</w:t>
            </w:r>
          </w:p>
        </w:tc>
        <w:tc>
          <w:tcPr>
            <w:tcW w:w="152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778,893</w:t>
            </w:r>
          </w:p>
        </w:tc>
      </w:tr>
      <w:tr>
        <w:trPr>
          <w:trHeight w:val="189"/>
        </w:trPr>
        <w:tc>
          <w:tcPr>
            <w:tcW w:w="3180" w:type="dxa"/>
            <w:vAlign w:val="bottom"/>
            <w:shd w:val="clear" w:color="auto" w:fill="F4F3F3"/>
          </w:tcPr>
          <w:p>
            <w:pPr>
              <w:spacing w:after="0"/>
              <w:rPr>
                <w:sz w:val="16"/>
                <w:szCs w:val="16"/>
                <w:color w:val="auto"/>
              </w:rPr>
            </w:pPr>
          </w:p>
        </w:tc>
        <w:tc>
          <w:tcPr>
            <w:tcW w:w="108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2/23/15</w:t>
            </w:r>
          </w:p>
        </w:tc>
        <w:tc>
          <w:tcPr>
            <w:tcW w:w="108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2/15/17</w:t>
            </w:r>
          </w:p>
        </w:tc>
        <w:tc>
          <w:tcPr>
            <w:tcW w:w="108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1,681</w:t>
            </w:r>
          </w:p>
        </w:tc>
        <w:tc>
          <w:tcPr>
            <w:tcW w:w="900" w:type="dxa"/>
            <w:vAlign w:val="bottom"/>
            <w:shd w:val="clear" w:color="auto" w:fill="F4F3F3"/>
          </w:tcPr>
          <w:p>
            <w:pPr>
              <w:jc w:val="right"/>
              <w:ind w:right="15"/>
              <w:spacing w:after="0" w:line="189" w:lineRule="exact"/>
              <w:rPr>
                <w:sz w:val="20"/>
                <w:szCs w:val="20"/>
                <w:color w:val="auto"/>
              </w:rPr>
            </w:pPr>
            <w:r>
              <w:rPr>
                <w:rFonts w:ascii="Arial" w:cs="Arial" w:eastAsia="Arial" w:hAnsi="Arial"/>
                <w:sz w:val="17"/>
                <w:szCs w:val="17"/>
                <w:color w:val="auto"/>
              </w:rPr>
              <w:t>82.67</w:t>
            </w:r>
          </w:p>
        </w:tc>
        <w:tc>
          <w:tcPr>
            <w:tcW w:w="104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88.37</w:t>
            </w:r>
          </w:p>
        </w:tc>
        <w:tc>
          <w:tcPr>
            <w:tcW w:w="1120" w:type="dxa"/>
            <w:vAlign w:val="bottom"/>
            <w:shd w:val="clear" w:color="auto" w:fill="F4F3F3"/>
          </w:tcPr>
          <w:p>
            <w:pPr>
              <w:jc w:val="right"/>
              <w:ind w:right="76"/>
              <w:spacing w:after="0" w:line="189" w:lineRule="exact"/>
              <w:rPr>
                <w:sz w:val="20"/>
                <w:szCs w:val="20"/>
                <w:color w:val="auto"/>
              </w:rPr>
            </w:pPr>
            <w:r>
              <w:rPr>
                <w:rFonts w:ascii="Arial" w:cs="Arial" w:eastAsia="Arial" w:hAnsi="Arial"/>
                <w:sz w:val="17"/>
                <w:szCs w:val="17"/>
                <w:color w:val="auto"/>
              </w:rPr>
              <w:t>7</w:t>
            </w:r>
          </w:p>
        </w:tc>
        <w:tc>
          <w:tcPr>
            <w:tcW w:w="152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148,550</w:t>
            </w:r>
          </w:p>
        </w:tc>
      </w:tr>
      <w:tr>
        <w:trPr>
          <w:trHeight w:val="189"/>
        </w:trPr>
        <w:tc>
          <w:tcPr>
            <w:tcW w:w="3180" w:type="dxa"/>
            <w:vAlign w:val="bottom"/>
            <w:shd w:val="clear" w:color="auto" w:fill="F4F3F3"/>
          </w:tcPr>
          <w:p>
            <w:pPr>
              <w:spacing w:after="0"/>
              <w:rPr>
                <w:sz w:val="16"/>
                <w:szCs w:val="16"/>
                <w:color w:val="auto"/>
              </w:rPr>
            </w:pPr>
          </w:p>
        </w:tc>
        <w:tc>
          <w:tcPr>
            <w:tcW w:w="108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2/22/16</w:t>
            </w:r>
          </w:p>
        </w:tc>
        <w:tc>
          <w:tcPr>
            <w:tcW w:w="108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2/15/17</w:t>
            </w:r>
          </w:p>
        </w:tc>
        <w:tc>
          <w:tcPr>
            <w:tcW w:w="108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3,324</w:t>
            </w:r>
          </w:p>
        </w:tc>
        <w:tc>
          <w:tcPr>
            <w:tcW w:w="900" w:type="dxa"/>
            <w:vAlign w:val="bottom"/>
            <w:shd w:val="clear" w:color="auto" w:fill="F4F3F3"/>
          </w:tcPr>
          <w:p>
            <w:pPr>
              <w:jc w:val="right"/>
              <w:ind w:right="15"/>
              <w:spacing w:after="0" w:line="189" w:lineRule="exact"/>
              <w:rPr>
                <w:sz w:val="20"/>
                <w:szCs w:val="20"/>
                <w:color w:val="auto"/>
              </w:rPr>
            </w:pPr>
            <w:r>
              <w:rPr>
                <w:rFonts w:ascii="Arial" w:cs="Arial" w:eastAsia="Arial" w:hAnsi="Arial"/>
                <w:sz w:val="17"/>
                <w:szCs w:val="17"/>
                <w:color w:val="auto"/>
              </w:rPr>
              <w:t>66.86</w:t>
            </w:r>
          </w:p>
        </w:tc>
        <w:tc>
          <w:tcPr>
            <w:tcW w:w="104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88.37</w:t>
            </w:r>
          </w:p>
        </w:tc>
        <w:tc>
          <w:tcPr>
            <w:tcW w:w="1120" w:type="dxa"/>
            <w:vAlign w:val="bottom"/>
            <w:shd w:val="clear" w:color="auto" w:fill="F4F3F3"/>
          </w:tcPr>
          <w:p>
            <w:pPr>
              <w:jc w:val="right"/>
              <w:ind w:right="76"/>
              <w:spacing w:after="0" w:line="189" w:lineRule="exact"/>
              <w:rPr>
                <w:sz w:val="20"/>
                <w:szCs w:val="20"/>
                <w:color w:val="auto"/>
              </w:rPr>
            </w:pPr>
            <w:r>
              <w:rPr>
                <w:rFonts w:ascii="Arial" w:cs="Arial" w:eastAsia="Arial" w:hAnsi="Arial"/>
                <w:sz w:val="17"/>
                <w:szCs w:val="17"/>
                <w:color w:val="auto"/>
              </w:rPr>
              <w:t>32</w:t>
            </w:r>
          </w:p>
        </w:tc>
        <w:tc>
          <w:tcPr>
            <w:tcW w:w="152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293,742</w:t>
            </w:r>
          </w:p>
        </w:tc>
      </w:tr>
      <w:tr>
        <w:trPr>
          <w:trHeight w:val="231"/>
        </w:trPr>
        <w:tc>
          <w:tcPr>
            <w:tcW w:w="3180" w:type="dxa"/>
            <w:vAlign w:val="bottom"/>
            <w:shd w:val="clear" w:color="auto" w:fill="F4F3F3"/>
          </w:tcPr>
          <w:p>
            <w:pPr>
              <w:spacing w:after="0"/>
              <w:rPr>
                <w:sz w:val="20"/>
                <w:szCs w:val="20"/>
                <w:color w:val="auto"/>
              </w:rPr>
            </w:pPr>
          </w:p>
        </w:tc>
        <w:tc>
          <w:tcPr>
            <w:tcW w:w="1080" w:type="dxa"/>
            <w:vAlign w:val="bottom"/>
            <w:shd w:val="clear" w:color="auto" w:fill="F4F3F3"/>
          </w:tcPr>
          <w:p>
            <w:pPr>
              <w:jc w:val="right"/>
              <w:spacing w:after="0"/>
              <w:rPr>
                <w:sz w:val="20"/>
                <w:szCs w:val="20"/>
                <w:color w:val="auto"/>
              </w:rPr>
            </w:pPr>
            <w:r>
              <w:rPr>
                <w:rFonts w:ascii="Arial" w:cs="Arial" w:eastAsia="Arial" w:hAnsi="Arial"/>
                <w:sz w:val="17"/>
                <w:szCs w:val="17"/>
                <w:color w:val="auto"/>
              </w:rPr>
              <w:t>3/1/13</w:t>
            </w:r>
          </w:p>
        </w:tc>
        <w:tc>
          <w:tcPr>
            <w:tcW w:w="1080" w:type="dxa"/>
            <w:vAlign w:val="bottom"/>
            <w:shd w:val="clear" w:color="auto" w:fill="F4F3F3"/>
          </w:tcPr>
          <w:p>
            <w:pPr>
              <w:jc w:val="right"/>
              <w:spacing w:after="0"/>
              <w:rPr>
                <w:sz w:val="20"/>
                <w:szCs w:val="20"/>
                <w:color w:val="auto"/>
              </w:rPr>
            </w:pPr>
            <w:r>
              <w:rPr>
                <w:rFonts w:ascii="Arial" w:cs="Arial" w:eastAsia="Arial" w:hAnsi="Arial"/>
                <w:sz w:val="17"/>
                <w:szCs w:val="17"/>
                <w:color w:val="auto"/>
              </w:rPr>
              <w:t>3/15/17</w:t>
            </w:r>
          </w:p>
        </w:tc>
        <w:tc>
          <w:tcPr>
            <w:tcW w:w="1080" w:type="dxa"/>
            <w:vAlign w:val="bottom"/>
            <w:shd w:val="clear" w:color="auto" w:fill="F4F3F3"/>
          </w:tcPr>
          <w:p>
            <w:pPr>
              <w:jc w:val="right"/>
              <w:spacing w:after="0"/>
              <w:rPr>
                <w:sz w:val="20"/>
                <w:szCs w:val="20"/>
                <w:color w:val="auto"/>
              </w:rPr>
            </w:pPr>
            <w:r>
              <w:rPr>
                <w:rFonts w:ascii="Arial" w:cs="Arial" w:eastAsia="Arial" w:hAnsi="Arial"/>
                <w:sz w:val="17"/>
                <w:szCs w:val="17"/>
                <w:color w:val="auto"/>
              </w:rPr>
              <w:t>1,588</w:t>
            </w:r>
          </w:p>
        </w:tc>
        <w:tc>
          <w:tcPr>
            <w:tcW w:w="900" w:type="dxa"/>
            <w:vAlign w:val="bottom"/>
            <w:shd w:val="clear" w:color="auto" w:fill="F4F3F3"/>
          </w:tcPr>
          <w:p>
            <w:pPr>
              <w:jc w:val="right"/>
              <w:ind w:right="15"/>
              <w:spacing w:after="0"/>
              <w:rPr>
                <w:sz w:val="20"/>
                <w:szCs w:val="20"/>
                <w:color w:val="auto"/>
              </w:rPr>
            </w:pPr>
            <w:r>
              <w:rPr>
                <w:rFonts w:ascii="Arial" w:cs="Arial" w:eastAsia="Arial" w:hAnsi="Arial"/>
                <w:sz w:val="17"/>
                <w:szCs w:val="17"/>
                <w:color w:val="auto"/>
              </w:rPr>
              <w:t>39.38</w:t>
            </w:r>
          </w:p>
        </w:tc>
        <w:tc>
          <w:tcPr>
            <w:tcW w:w="1040" w:type="dxa"/>
            <w:vAlign w:val="bottom"/>
            <w:shd w:val="clear" w:color="auto" w:fill="F4F3F3"/>
          </w:tcPr>
          <w:p>
            <w:pPr>
              <w:jc w:val="right"/>
              <w:spacing w:after="0"/>
              <w:rPr>
                <w:sz w:val="20"/>
                <w:szCs w:val="20"/>
                <w:color w:val="auto"/>
              </w:rPr>
            </w:pPr>
            <w:r>
              <w:rPr>
                <w:rFonts w:ascii="Arial" w:cs="Arial" w:eastAsia="Arial" w:hAnsi="Arial"/>
                <w:sz w:val="17"/>
                <w:szCs w:val="17"/>
                <w:color w:val="auto"/>
              </w:rPr>
              <w:t>87.38</w:t>
            </w:r>
          </w:p>
        </w:tc>
        <w:tc>
          <w:tcPr>
            <w:tcW w:w="1120" w:type="dxa"/>
            <w:vAlign w:val="bottom"/>
            <w:shd w:val="clear" w:color="auto" w:fill="F4F3F3"/>
          </w:tcPr>
          <w:p>
            <w:pPr>
              <w:jc w:val="right"/>
              <w:ind w:right="76"/>
              <w:spacing w:after="0"/>
              <w:rPr>
                <w:sz w:val="20"/>
                <w:szCs w:val="20"/>
                <w:color w:val="auto"/>
              </w:rPr>
            </w:pPr>
            <w:r>
              <w:rPr>
                <w:rFonts w:ascii="Arial" w:cs="Arial" w:eastAsia="Arial" w:hAnsi="Arial"/>
                <w:sz w:val="17"/>
                <w:szCs w:val="17"/>
                <w:color w:val="auto"/>
              </w:rPr>
              <w:t>122</w:t>
            </w:r>
          </w:p>
        </w:tc>
        <w:tc>
          <w:tcPr>
            <w:tcW w:w="1520" w:type="dxa"/>
            <w:vAlign w:val="bottom"/>
            <w:shd w:val="clear" w:color="auto" w:fill="F4F3F3"/>
          </w:tcPr>
          <w:p>
            <w:pPr>
              <w:jc w:val="right"/>
              <w:spacing w:after="0"/>
              <w:rPr>
                <w:sz w:val="20"/>
                <w:szCs w:val="20"/>
                <w:color w:val="auto"/>
              </w:rPr>
            </w:pPr>
            <w:r>
              <w:rPr>
                <w:rFonts w:ascii="Arial" w:cs="Arial" w:eastAsia="Arial" w:hAnsi="Arial"/>
                <w:sz w:val="17"/>
                <w:szCs w:val="17"/>
                <w:color w:val="auto"/>
              </w:rPr>
              <w:t>138,759</w:t>
            </w:r>
          </w:p>
        </w:tc>
      </w:tr>
      <w:tr>
        <w:trPr>
          <w:trHeight w:val="174"/>
        </w:trPr>
        <w:tc>
          <w:tcPr>
            <w:tcW w:w="3180" w:type="dxa"/>
            <w:vAlign w:val="bottom"/>
            <w:shd w:val="clear" w:color="auto" w:fill="F4F3F3"/>
          </w:tcPr>
          <w:p>
            <w:pPr>
              <w:ind w:left="160"/>
              <w:spacing w:after="0" w:line="174" w:lineRule="exact"/>
              <w:rPr>
                <w:sz w:val="20"/>
                <w:szCs w:val="20"/>
                <w:color w:val="auto"/>
              </w:rPr>
            </w:pPr>
            <w:r>
              <w:rPr>
                <w:rFonts w:ascii="Arial" w:cs="Arial" w:eastAsia="Arial" w:hAnsi="Arial"/>
                <w:sz w:val="17"/>
                <w:szCs w:val="17"/>
                <w:color w:val="998C87"/>
              </w:rPr>
              <w:t>Mr. Grissen</w:t>
            </w:r>
          </w:p>
        </w:tc>
        <w:tc>
          <w:tcPr>
            <w:tcW w:w="1080" w:type="dxa"/>
            <w:vAlign w:val="bottom"/>
            <w:shd w:val="clear" w:color="auto" w:fill="F4F3F3"/>
          </w:tcPr>
          <w:p>
            <w:pPr>
              <w:jc w:val="right"/>
              <w:spacing w:after="0" w:line="174" w:lineRule="exact"/>
              <w:rPr>
                <w:sz w:val="20"/>
                <w:szCs w:val="20"/>
                <w:color w:val="auto"/>
              </w:rPr>
            </w:pPr>
            <w:r>
              <w:rPr>
                <w:rFonts w:ascii="Arial" w:cs="Arial" w:eastAsia="Arial" w:hAnsi="Arial"/>
                <w:sz w:val="17"/>
                <w:szCs w:val="17"/>
                <w:color w:val="auto"/>
              </w:rPr>
              <w:t>2/22/13</w:t>
            </w:r>
          </w:p>
        </w:tc>
        <w:tc>
          <w:tcPr>
            <w:tcW w:w="1080" w:type="dxa"/>
            <w:vAlign w:val="bottom"/>
            <w:shd w:val="clear" w:color="auto" w:fill="F4F3F3"/>
          </w:tcPr>
          <w:p>
            <w:pPr>
              <w:jc w:val="right"/>
              <w:spacing w:after="0" w:line="174" w:lineRule="exact"/>
              <w:rPr>
                <w:sz w:val="20"/>
                <w:szCs w:val="20"/>
                <w:color w:val="auto"/>
              </w:rPr>
            </w:pPr>
            <w:r>
              <w:rPr>
                <w:rFonts w:ascii="Arial" w:cs="Arial" w:eastAsia="Arial" w:hAnsi="Arial"/>
                <w:sz w:val="17"/>
                <w:szCs w:val="17"/>
                <w:color w:val="auto"/>
              </w:rPr>
              <w:t>2/15/17</w:t>
            </w:r>
          </w:p>
        </w:tc>
        <w:tc>
          <w:tcPr>
            <w:tcW w:w="1080" w:type="dxa"/>
            <w:vAlign w:val="bottom"/>
            <w:shd w:val="clear" w:color="auto" w:fill="F4F3F3"/>
          </w:tcPr>
          <w:p>
            <w:pPr>
              <w:jc w:val="right"/>
              <w:spacing w:after="0" w:line="174" w:lineRule="exact"/>
              <w:rPr>
                <w:sz w:val="20"/>
                <w:szCs w:val="20"/>
                <w:color w:val="auto"/>
              </w:rPr>
            </w:pPr>
            <w:r>
              <w:rPr>
                <w:rFonts w:ascii="Arial" w:cs="Arial" w:eastAsia="Arial" w:hAnsi="Arial"/>
                <w:sz w:val="17"/>
                <w:szCs w:val="17"/>
                <w:color w:val="auto"/>
              </w:rPr>
              <w:t>5,571</w:t>
            </w:r>
          </w:p>
        </w:tc>
        <w:tc>
          <w:tcPr>
            <w:tcW w:w="900" w:type="dxa"/>
            <w:vAlign w:val="bottom"/>
            <w:shd w:val="clear" w:color="auto" w:fill="F4F3F3"/>
          </w:tcPr>
          <w:p>
            <w:pPr>
              <w:jc w:val="right"/>
              <w:ind w:right="15"/>
              <w:spacing w:after="0" w:line="174" w:lineRule="exact"/>
              <w:rPr>
                <w:sz w:val="20"/>
                <w:szCs w:val="20"/>
                <w:color w:val="auto"/>
              </w:rPr>
            </w:pPr>
            <w:r>
              <w:rPr>
                <w:rFonts w:ascii="Arial" w:cs="Arial" w:eastAsia="Arial" w:hAnsi="Arial"/>
                <w:sz w:val="17"/>
                <w:szCs w:val="17"/>
                <w:color w:val="auto"/>
              </w:rPr>
              <w:t>39.27</w:t>
            </w:r>
          </w:p>
        </w:tc>
        <w:tc>
          <w:tcPr>
            <w:tcW w:w="1040" w:type="dxa"/>
            <w:vAlign w:val="bottom"/>
            <w:shd w:val="clear" w:color="auto" w:fill="F4F3F3"/>
          </w:tcPr>
          <w:p>
            <w:pPr>
              <w:jc w:val="right"/>
              <w:spacing w:after="0" w:line="174" w:lineRule="exact"/>
              <w:rPr>
                <w:sz w:val="20"/>
                <w:szCs w:val="20"/>
                <w:color w:val="auto"/>
              </w:rPr>
            </w:pPr>
            <w:r>
              <w:rPr>
                <w:rFonts w:ascii="Arial" w:cs="Arial" w:eastAsia="Arial" w:hAnsi="Arial"/>
                <w:sz w:val="17"/>
                <w:szCs w:val="17"/>
                <w:color w:val="auto"/>
              </w:rPr>
              <w:t>88.37</w:t>
            </w:r>
          </w:p>
        </w:tc>
        <w:tc>
          <w:tcPr>
            <w:tcW w:w="1120" w:type="dxa"/>
            <w:vAlign w:val="bottom"/>
            <w:shd w:val="clear" w:color="auto" w:fill="F4F3F3"/>
          </w:tcPr>
          <w:p>
            <w:pPr>
              <w:jc w:val="right"/>
              <w:ind w:right="76"/>
              <w:spacing w:after="0" w:line="174" w:lineRule="exact"/>
              <w:rPr>
                <w:sz w:val="20"/>
                <w:szCs w:val="20"/>
                <w:color w:val="auto"/>
              </w:rPr>
            </w:pPr>
            <w:r>
              <w:rPr>
                <w:rFonts w:ascii="Arial" w:cs="Arial" w:eastAsia="Arial" w:hAnsi="Arial"/>
                <w:sz w:val="17"/>
                <w:szCs w:val="17"/>
                <w:color w:val="auto"/>
              </w:rPr>
              <w:t>125</w:t>
            </w:r>
          </w:p>
        </w:tc>
        <w:tc>
          <w:tcPr>
            <w:tcW w:w="1520" w:type="dxa"/>
            <w:vAlign w:val="bottom"/>
            <w:shd w:val="clear" w:color="auto" w:fill="F4F3F3"/>
          </w:tcPr>
          <w:p>
            <w:pPr>
              <w:jc w:val="right"/>
              <w:spacing w:after="0" w:line="174" w:lineRule="exact"/>
              <w:rPr>
                <w:sz w:val="20"/>
                <w:szCs w:val="20"/>
                <w:color w:val="auto"/>
              </w:rPr>
            </w:pPr>
            <w:r>
              <w:rPr>
                <w:rFonts w:ascii="Arial" w:cs="Arial" w:eastAsia="Arial" w:hAnsi="Arial"/>
                <w:sz w:val="17"/>
                <w:szCs w:val="17"/>
                <w:color w:val="auto"/>
              </w:rPr>
              <w:t>492,309</w:t>
            </w:r>
          </w:p>
        </w:tc>
      </w:tr>
      <w:tr>
        <w:trPr>
          <w:trHeight w:val="189"/>
        </w:trPr>
        <w:tc>
          <w:tcPr>
            <w:tcW w:w="3180" w:type="dxa"/>
            <w:vAlign w:val="bottom"/>
            <w:shd w:val="clear" w:color="auto" w:fill="F4F3F3"/>
          </w:tcPr>
          <w:p>
            <w:pPr>
              <w:spacing w:after="0"/>
              <w:rPr>
                <w:sz w:val="16"/>
                <w:szCs w:val="16"/>
                <w:color w:val="auto"/>
              </w:rPr>
            </w:pPr>
          </w:p>
        </w:tc>
        <w:tc>
          <w:tcPr>
            <w:tcW w:w="108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2/24/14</w:t>
            </w:r>
          </w:p>
        </w:tc>
        <w:tc>
          <w:tcPr>
            <w:tcW w:w="108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2/15/17</w:t>
            </w:r>
          </w:p>
        </w:tc>
        <w:tc>
          <w:tcPr>
            <w:tcW w:w="108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21,790</w:t>
            </w:r>
          </w:p>
        </w:tc>
        <w:tc>
          <w:tcPr>
            <w:tcW w:w="900" w:type="dxa"/>
            <w:vAlign w:val="bottom"/>
            <w:shd w:val="clear" w:color="auto" w:fill="F4F3F3"/>
          </w:tcPr>
          <w:p>
            <w:pPr>
              <w:jc w:val="right"/>
              <w:ind w:right="15"/>
              <w:spacing w:after="0" w:line="189" w:lineRule="exact"/>
              <w:rPr>
                <w:sz w:val="20"/>
                <w:szCs w:val="20"/>
                <w:color w:val="auto"/>
              </w:rPr>
            </w:pPr>
            <w:r>
              <w:rPr>
                <w:rFonts w:ascii="Arial" w:cs="Arial" w:eastAsia="Arial" w:hAnsi="Arial"/>
                <w:sz w:val="17"/>
                <w:szCs w:val="17"/>
                <w:color w:val="auto"/>
              </w:rPr>
              <w:t>53.25</w:t>
            </w:r>
          </w:p>
        </w:tc>
        <w:tc>
          <w:tcPr>
            <w:tcW w:w="104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88.37</w:t>
            </w:r>
          </w:p>
        </w:tc>
        <w:tc>
          <w:tcPr>
            <w:tcW w:w="1120" w:type="dxa"/>
            <w:vAlign w:val="bottom"/>
            <w:shd w:val="clear" w:color="auto" w:fill="F4F3F3"/>
          </w:tcPr>
          <w:p>
            <w:pPr>
              <w:jc w:val="right"/>
              <w:ind w:right="76"/>
              <w:spacing w:after="0" w:line="189" w:lineRule="exact"/>
              <w:rPr>
                <w:sz w:val="20"/>
                <w:szCs w:val="20"/>
                <w:color w:val="auto"/>
              </w:rPr>
            </w:pPr>
            <w:r>
              <w:rPr>
                <w:rFonts w:ascii="Arial" w:cs="Arial" w:eastAsia="Arial" w:hAnsi="Arial"/>
                <w:sz w:val="17"/>
                <w:szCs w:val="17"/>
                <w:color w:val="auto"/>
              </w:rPr>
              <w:t>66</w:t>
            </w:r>
          </w:p>
        </w:tc>
        <w:tc>
          <w:tcPr>
            <w:tcW w:w="152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1,925,582</w:t>
            </w:r>
          </w:p>
        </w:tc>
      </w:tr>
      <w:tr>
        <w:trPr>
          <w:trHeight w:val="189"/>
        </w:trPr>
        <w:tc>
          <w:tcPr>
            <w:tcW w:w="3180" w:type="dxa"/>
            <w:vAlign w:val="bottom"/>
            <w:shd w:val="clear" w:color="auto" w:fill="F4F3F3"/>
          </w:tcPr>
          <w:p>
            <w:pPr>
              <w:spacing w:after="0"/>
              <w:rPr>
                <w:sz w:val="16"/>
                <w:szCs w:val="16"/>
                <w:color w:val="auto"/>
              </w:rPr>
            </w:pPr>
          </w:p>
        </w:tc>
        <w:tc>
          <w:tcPr>
            <w:tcW w:w="108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2/23/15</w:t>
            </w:r>
          </w:p>
        </w:tc>
        <w:tc>
          <w:tcPr>
            <w:tcW w:w="108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2/15/17</w:t>
            </w:r>
          </w:p>
        </w:tc>
        <w:tc>
          <w:tcPr>
            <w:tcW w:w="108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3,159</w:t>
            </w:r>
          </w:p>
        </w:tc>
        <w:tc>
          <w:tcPr>
            <w:tcW w:w="900" w:type="dxa"/>
            <w:vAlign w:val="bottom"/>
            <w:shd w:val="clear" w:color="auto" w:fill="F4F3F3"/>
          </w:tcPr>
          <w:p>
            <w:pPr>
              <w:jc w:val="right"/>
              <w:ind w:right="15"/>
              <w:spacing w:after="0" w:line="189" w:lineRule="exact"/>
              <w:rPr>
                <w:sz w:val="20"/>
                <w:szCs w:val="20"/>
                <w:color w:val="auto"/>
              </w:rPr>
            </w:pPr>
            <w:r>
              <w:rPr>
                <w:rFonts w:ascii="Arial" w:cs="Arial" w:eastAsia="Arial" w:hAnsi="Arial"/>
                <w:sz w:val="17"/>
                <w:szCs w:val="17"/>
                <w:color w:val="auto"/>
              </w:rPr>
              <w:t>82.67</w:t>
            </w:r>
          </w:p>
        </w:tc>
        <w:tc>
          <w:tcPr>
            <w:tcW w:w="104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88.37</w:t>
            </w:r>
          </w:p>
        </w:tc>
        <w:tc>
          <w:tcPr>
            <w:tcW w:w="1120" w:type="dxa"/>
            <w:vAlign w:val="bottom"/>
            <w:shd w:val="clear" w:color="auto" w:fill="F4F3F3"/>
          </w:tcPr>
          <w:p>
            <w:pPr>
              <w:jc w:val="right"/>
              <w:ind w:right="76"/>
              <w:spacing w:after="0" w:line="189" w:lineRule="exact"/>
              <w:rPr>
                <w:sz w:val="20"/>
                <w:szCs w:val="20"/>
                <w:color w:val="auto"/>
              </w:rPr>
            </w:pPr>
            <w:r>
              <w:rPr>
                <w:rFonts w:ascii="Arial" w:cs="Arial" w:eastAsia="Arial" w:hAnsi="Arial"/>
                <w:sz w:val="17"/>
                <w:szCs w:val="17"/>
                <w:color w:val="auto"/>
              </w:rPr>
              <w:t>7</w:t>
            </w:r>
          </w:p>
        </w:tc>
        <w:tc>
          <w:tcPr>
            <w:tcW w:w="152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279,161</w:t>
            </w:r>
          </w:p>
        </w:tc>
      </w:tr>
      <w:tr>
        <w:trPr>
          <w:trHeight w:val="231"/>
        </w:trPr>
        <w:tc>
          <w:tcPr>
            <w:tcW w:w="3180" w:type="dxa"/>
            <w:vAlign w:val="bottom"/>
            <w:shd w:val="clear" w:color="auto" w:fill="F4F3F3"/>
          </w:tcPr>
          <w:p>
            <w:pPr>
              <w:spacing w:after="0"/>
              <w:rPr>
                <w:sz w:val="20"/>
                <w:szCs w:val="20"/>
                <w:color w:val="auto"/>
              </w:rPr>
            </w:pPr>
          </w:p>
        </w:tc>
        <w:tc>
          <w:tcPr>
            <w:tcW w:w="1080" w:type="dxa"/>
            <w:vAlign w:val="bottom"/>
            <w:shd w:val="clear" w:color="auto" w:fill="F4F3F3"/>
          </w:tcPr>
          <w:p>
            <w:pPr>
              <w:jc w:val="right"/>
              <w:spacing w:after="0"/>
              <w:rPr>
                <w:sz w:val="20"/>
                <w:szCs w:val="20"/>
                <w:color w:val="auto"/>
              </w:rPr>
            </w:pPr>
            <w:r>
              <w:rPr>
                <w:rFonts w:ascii="Arial" w:cs="Arial" w:eastAsia="Arial" w:hAnsi="Arial"/>
                <w:sz w:val="17"/>
                <w:szCs w:val="17"/>
                <w:color w:val="auto"/>
              </w:rPr>
              <w:t>2/22/16</w:t>
            </w:r>
          </w:p>
        </w:tc>
        <w:tc>
          <w:tcPr>
            <w:tcW w:w="1080" w:type="dxa"/>
            <w:vAlign w:val="bottom"/>
            <w:shd w:val="clear" w:color="auto" w:fill="F4F3F3"/>
          </w:tcPr>
          <w:p>
            <w:pPr>
              <w:jc w:val="right"/>
              <w:spacing w:after="0"/>
              <w:rPr>
                <w:sz w:val="20"/>
                <w:szCs w:val="20"/>
                <w:color w:val="auto"/>
              </w:rPr>
            </w:pPr>
            <w:r>
              <w:rPr>
                <w:rFonts w:ascii="Arial" w:cs="Arial" w:eastAsia="Arial" w:hAnsi="Arial"/>
                <w:sz w:val="17"/>
                <w:szCs w:val="17"/>
                <w:color w:val="auto"/>
              </w:rPr>
              <w:t>2/15/17</w:t>
            </w:r>
          </w:p>
        </w:tc>
        <w:tc>
          <w:tcPr>
            <w:tcW w:w="1080" w:type="dxa"/>
            <w:vAlign w:val="bottom"/>
            <w:shd w:val="clear" w:color="auto" w:fill="F4F3F3"/>
          </w:tcPr>
          <w:p>
            <w:pPr>
              <w:jc w:val="right"/>
              <w:spacing w:after="0"/>
              <w:rPr>
                <w:sz w:val="20"/>
                <w:szCs w:val="20"/>
                <w:color w:val="auto"/>
              </w:rPr>
            </w:pPr>
            <w:r>
              <w:rPr>
                <w:rFonts w:ascii="Arial" w:cs="Arial" w:eastAsia="Arial" w:hAnsi="Arial"/>
                <w:sz w:val="17"/>
                <w:szCs w:val="17"/>
                <w:color w:val="auto"/>
              </w:rPr>
              <w:t>4,155</w:t>
            </w:r>
          </w:p>
        </w:tc>
        <w:tc>
          <w:tcPr>
            <w:tcW w:w="900" w:type="dxa"/>
            <w:vAlign w:val="bottom"/>
            <w:shd w:val="clear" w:color="auto" w:fill="F4F3F3"/>
          </w:tcPr>
          <w:p>
            <w:pPr>
              <w:jc w:val="right"/>
              <w:ind w:right="15"/>
              <w:spacing w:after="0"/>
              <w:rPr>
                <w:sz w:val="20"/>
                <w:szCs w:val="20"/>
                <w:color w:val="auto"/>
              </w:rPr>
            </w:pPr>
            <w:r>
              <w:rPr>
                <w:rFonts w:ascii="Arial" w:cs="Arial" w:eastAsia="Arial" w:hAnsi="Arial"/>
                <w:sz w:val="17"/>
                <w:szCs w:val="17"/>
                <w:color w:val="auto"/>
              </w:rPr>
              <w:t>66.86</w:t>
            </w:r>
          </w:p>
        </w:tc>
        <w:tc>
          <w:tcPr>
            <w:tcW w:w="1040" w:type="dxa"/>
            <w:vAlign w:val="bottom"/>
            <w:shd w:val="clear" w:color="auto" w:fill="F4F3F3"/>
          </w:tcPr>
          <w:p>
            <w:pPr>
              <w:jc w:val="right"/>
              <w:spacing w:after="0"/>
              <w:rPr>
                <w:sz w:val="20"/>
                <w:szCs w:val="20"/>
                <w:color w:val="auto"/>
              </w:rPr>
            </w:pPr>
            <w:r>
              <w:rPr>
                <w:rFonts w:ascii="Arial" w:cs="Arial" w:eastAsia="Arial" w:hAnsi="Arial"/>
                <w:sz w:val="17"/>
                <w:szCs w:val="17"/>
                <w:color w:val="auto"/>
              </w:rPr>
              <w:t>88.37</w:t>
            </w:r>
          </w:p>
        </w:tc>
        <w:tc>
          <w:tcPr>
            <w:tcW w:w="1120" w:type="dxa"/>
            <w:vAlign w:val="bottom"/>
            <w:shd w:val="clear" w:color="auto" w:fill="F4F3F3"/>
          </w:tcPr>
          <w:p>
            <w:pPr>
              <w:jc w:val="right"/>
              <w:ind w:right="76"/>
              <w:spacing w:after="0"/>
              <w:rPr>
                <w:sz w:val="20"/>
                <w:szCs w:val="20"/>
                <w:color w:val="auto"/>
              </w:rPr>
            </w:pPr>
            <w:r>
              <w:rPr>
                <w:rFonts w:ascii="Arial" w:cs="Arial" w:eastAsia="Arial" w:hAnsi="Arial"/>
                <w:sz w:val="17"/>
                <w:szCs w:val="17"/>
                <w:color w:val="auto"/>
              </w:rPr>
              <w:t>32</w:t>
            </w:r>
          </w:p>
        </w:tc>
        <w:tc>
          <w:tcPr>
            <w:tcW w:w="1520" w:type="dxa"/>
            <w:vAlign w:val="bottom"/>
            <w:shd w:val="clear" w:color="auto" w:fill="F4F3F3"/>
          </w:tcPr>
          <w:p>
            <w:pPr>
              <w:jc w:val="right"/>
              <w:spacing w:after="0"/>
              <w:rPr>
                <w:sz w:val="20"/>
                <w:szCs w:val="20"/>
                <w:color w:val="auto"/>
              </w:rPr>
            </w:pPr>
            <w:r>
              <w:rPr>
                <w:rFonts w:ascii="Arial" w:cs="Arial" w:eastAsia="Arial" w:hAnsi="Arial"/>
                <w:sz w:val="17"/>
                <w:szCs w:val="17"/>
                <w:color w:val="auto"/>
              </w:rPr>
              <w:t>367,177</w:t>
            </w:r>
          </w:p>
        </w:tc>
      </w:tr>
      <w:tr>
        <w:trPr>
          <w:trHeight w:val="174"/>
        </w:trPr>
        <w:tc>
          <w:tcPr>
            <w:tcW w:w="3180" w:type="dxa"/>
            <w:vAlign w:val="bottom"/>
            <w:shd w:val="clear" w:color="auto" w:fill="F4F3F3"/>
          </w:tcPr>
          <w:p>
            <w:pPr>
              <w:ind w:left="160"/>
              <w:spacing w:after="0" w:line="174" w:lineRule="exact"/>
              <w:rPr>
                <w:sz w:val="20"/>
                <w:szCs w:val="20"/>
                <w:color w:val="auto"/>
              </w:rPr>
            </w:pPr>
            <w:r>
              <w:rPr>
                <w:rFonts w:ascii="Arial" w:cs="Arial" w:eastAsia="Arial" w:hAnsi="Arial"/>
                <w:sz w:val="17"/>
                <w:szCs w:val="17"/>
                <w:color w:val="998C87"/>
              </w:rPr>
              <w:t>Ms. Oberg</w:t>
            </w:r>
          </w:p>
        </w:tc>
        <w:tc>
          <w:tcPr>
            <w:tcW w:w="1080" w:type="dxa"/>
            <w:vAlign w:val="bottom"/>
            <w:shd w:val="clear" w:color="auto" w:fill="F4F3F3"/>
          </w:tcPr>
          <w:p>
            <w:pPr>
              <w:jc w:val="right"/>
              <w:spacing w:after="0" w:line="174" w:lineRule="exact"/>
              <w:rPr>
                <w:sz w:val="20"/>
                <w:szCs w:val="20"/>
                <w:color w:val="auto"/>
              </w:rPr>
            </w:pPr>
            <w:r>
              <w:rPr>
                <w:rFonts w:ascii="Arial" w:cs="Arial" w:eastAsia="Arial" w:hAnsi="Arial"/>
                <w:sz w:val="17"/>
                <w:szCs w:val="17"/>
                <w:color w:val="auto"/>
              </w:rPr>
              <w:t>2/22/13</w:t>
            </w:r>
          </w:p>
        </w:tc>
        <w:tc>
          <w:tcPr>
            <w:tcW w:w="1080" w:type="dxa"/>
            <w:vAlign w:val="bottom"/>
            <w:shd w:val="clear" w:color="auto" w:fill="F4F3F3"/>
          </w:tcPr>
          <w:p>
            <w:pPr>
              <w:jc w:val="right"/>
              <w:spacing w:after="0" w:line="174" w:lineRule="exact"/>
              <w:rPr>
                <w:sz w:val="20"/>
                <w:szCs w:val="20"/>
                <w:color w:val="auto"/>
              </w:rPr>
            </w:pPr>
            <w:r>
              <w:rPr>
                <w:rFonts w:ascii="Arial" w:cs="Arial" w:eastAsia="Arial" w:hAnsi="Arial"/>
                <w:sz w:val="17"/>
                <w:szCs w:val="17"/>
                <w:color w:val="auto"/>
              </w:rPr>
              <w:t>2/15/17</w:t>
            </w:r>
          </w:p>
        </w:tc>
        <w:tc>
          <w:tcPr>
            <w:tcW w:w="1080" w:type="dxa"/>
            <w:vAlign w:val="bottom"/>
            <w:shd w:val="clear" w:color="auto" w:fill="F4F3F3"/>
          </w:tcPr>
          <w:p>
            <w:pPr>
              <w:jc w:val="right"/>
              <w:spacing w:after="0" w:line="174" w:lineRule="exact"/>
              <w:rPr>
                <w:sz w:val="20"/>
                <w:szCs w:val="20"/>
                <w:color w:val="auto"/>
              </w:rPr>
            </w:pPr>
            <w:r>
              <w:rPr>
                <w:rFonts w:ascii="Arial" w:cs="Arial" w:eastAsia="Arial" w:hAnsi="Arial"/>
                <w:sz w:val="17"/>
                <w:szCs w:val="17"/>
                <w:color w:val="auto"/>
              </w:rPr>
              <w:t>1,178</w:t>
            </w:r>
          </w:p>
        </w:tc>
        <w:tc>
          <w:tcPr>
            <w:tcW w:w="900" w:type="dxa"/>
            <w:vAlign w:val="bottom"/>
            <w:shd w:val="clear" w:color="auto" w:fill="F4F3F3"/>
          </w:tcPr>
          <w:p>
            <w:pPr>
              <w:jc w:val="right"/>
              <w:ind w:right="15"/>
              <w:spacing w:after="0" w:line="174" w:lineRule="exact"/>
              <w:rPr>
                <w:sz w:val="20"/>
                <w:szCs w:val="20"/>
                <w:color w:val="auto"/>
              </w:rPr>
            </w:pPr>
            <w:r>
              <w:rPr>
                <w:rFonts w:ascii="Arial" w:cs="Arial" w:eastAsia="Arial" w:hAnsi="Arial"/>
                <w:sz w:val="17"/>
                <w:szCs w:val="17"/>
                <w:color w:val="auto"/>
              </w:rPr>
              <w:t>39.27</w:t>
            </w:r>
          </w:p>
        </w:tc>
        <w:tc>
          <w:tcPr>
            <w:tcW w:w="1040" w:type="dxa"/>
            <w:vAlign w:val="bottom"/>
            <w:shd w:val="clear" w:color="auto" w:fill="F4F3F3"/>
          </w:tcPr>
          <w:p>
            <w:pPr>
              <w:jc w:val="right"/>
              <w:spacing w:after="0" w:line="174" w:lineRule="exact"/>
              <w:rPr>
                <w:sz w:val="20"/>
                <w:szCs w:val="20"/>
                <w:color w:val="auto"/>
              </w:rPr>
            </w:pPr>
            <w:r>
              <w:rPr>
                <w:rFonts w:ascii="Arial" w:cs="Arial" w:eastAsia="Arial" w:hAnsi="Arial"/>
                <w:sz w:val="17"/>
                <w:szCs w:val="17"/>
                <w:color w:val="auto"/>
              </w:rPr>
              <w:t>88.37</w:t>
            </w:r>
          </w:p>
        </w:tc>
        <w:tc>
          <w:tcPr>
            <w:tcW w:w="1120" w:type="dxa"/>
            <w:vAlign w:val="bottom"/>
            <w:shd w:val="clear" w:color="auto" w:fill="F4F3F3"/>
          </w:tcPr>
          <w:p>
            <w:pPr>
              <w:jc w:val="right"/>
              <w:ind w:right="76"/>
              <w:spacing w:after="0" w:line="174" w:lineRule="exact"/>
              <w:rPr>
                <w:sz w:val="20"/>
                <w:szCs w:val="20"/>
                <w:color w:val="auto"/>
              </w:rPr>
            </w:pPr>
            <w:r>
              <w:rPr>
                <w:rFonts w:ascii="Arial" w:cs="Arial" w:eastAsia="Arial" w:hAnsi="Arial"/>
                <w:sz w:val="17"/>
                <w:szCs w:val="17"/>
                <w:color w:val="auto"/>
              </w:rPr>
              <w:t>125</w:t>
            </w:r>
          </w:p>
        </w:tc>
        <w:tc>
          <w:tcPr>
            <w:tcW w:w="1520" w:type="dxa"/>
            <w:vAlign w:val="bottom"/>
            <w:shd w:val="clear" w:color="auto" w:fill="F4F3F3"/>
          </w:tcPr>
          <w:p>
            <w:pPr>
              <w:jc w:val="right"/>
              <w:spacing w:after="0" w:line="174" w:lineRule="exact"/>
              <w:rPr>
                <w:sz w:val="20"/>
                <w:szCs w:val="20"/>
                <w:color w:val="auto"/>
              </w:rPr>
            </w:pPr>
            <w:r>
              <w:rPr>
                <w:rFonts w:ascii="Arial" w:cs="Arial" w:eastAsia="Arial" w:hAnsi="Arial"/>
                <w:sz w:val="17"/>
                <w:szCs w:val="17"/>
                <w:color w:val="auto"/>
              </w:rPr>
              <w:t>104,100</w:t>
            </w:r>
          </w:p>
        </w:tc>
      </w:tr>
      <w:tr>
        <w:trPr>
          <w:trHeight w:val="189"/>
        </w:trPr>
        <w:tc>
          <w:tcPr>
            <w:tcW w:w="3180" w:type="dxa"/>
            <w:vAlign w:val="bottom"/>
            <w:shd w:val="clear" w:color="auto" w:fill="F4F3F3"/>
          </w:tcPr>
          <w:p>
            <w:pPr>
              <w:spacing w:after="0"/>
              <w:rPr>
                <w:sz w:val="16"/>
                <w:szCs w:val="16"/>
                <w:color w:val="auto"/>
              </w:rPr>
            </w:pPr>
          </w:p>
        </w:tc>
        <w:tc>
          <w:tcPr>
            <w:tcW w:w="108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2/24/14</w:t>
            </w:r>
          </w:p>
        </w:tc>
        <w:tc>
          <w:tcPr>
            <w:tcW w:w="108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2/15/17</w:t>
            </w:r>
          </w:p>
        </w:tc>
        <w:tc>
          <w:tcPr>
            <w:tcW w:w="108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939</w:t>
            </w:r>
          </w:p>
        </w:tc>
        <w:tc>
          <w:tcPr>
            <w:tcW w:w="900" w:type="dxa"/>
            <w:vAlign w:val="bottom"/>
            <w:shd w:val="clear" w:color="auto" w:fill="F4F3F3"/>
          </w:tcPr>
          <w:p>
            <w:pPr>
              <w:jc w:val="right"/>
              <w:ind w:right="15"/>
              <w:spacing w:after="0" w:line="189" w:lineRule="exact"/>
              <w:rPr>
                <w:sz w:val="20"/>
                <w:szCs w:val="20"/>
                <w:color w:val="auto"/>
              </w:rPr>
            </w:pPr>
            <w:r>
              <w:rPr>
                <w:rFonts w:ascii="Arial" w:cs="Arial" w:eastAsia="Arial" w:hAnsi="Arial"/>
                <w:sz w:val="17"/>
                <w:szCs w:val="17"/>
                <w:color w:val="auto"/>
              </w:rPr>
              <w:t>53.25</w:t>
            </w:r>
          </w:p>
        </w:tc>
        <w:tc>
          <w:tcPr>
            <w:tcW w:w="104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88.37</w:t>
            </w:r>
          </w:p>
        </w:tc>
        <w:tc>
          <w:tcPr>
            <w:tcW w:w="1120" w:type="dxa"/>
            <w:vAlign w:val="bottom"/>
            <w:shd w:val="clear" w:color="auto" w:fill="F4F3F3"/>
          </w:tcPr>
          <w:p>
            <w:pPr>
              <w:jc w:val="right"/>
              <w:ind w:right="76"/>
              <w:spacing w:after="0" w:line="189" w:lineRule="exact"/>
              <w:rPr>
                <w:sz w:val="20"/>
                <w:szCs w:val="20"/>
                <w:color w:val="auto"/>
              </w:rPr>
            </w:pPr>
            <w:r>
              <w:rPr>
                <w:rFonts w:ascii="Arial" w:cs="Arial" w:eastAsia="Arial" w:hAnsi="Arial"/>
                <w:sz w:val="17"/>
                <w:szCs w:val="17"/>
                <w:color w:val="auto"/>
              </w:rPr>
              <w:t>66</w:t>
            </w:r>
          </w:p>
        </w:tc>
        <w:tc>
          <w:tcPr>
            <w:tcW w:w="152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82,979</w:t>
            </w:r>
          </w:p>
        </w:tc>
      </w:tr>
      <w:tr>
        <w:trPr>
          <w:trHeight w:val="189"/>
        </w:trPr>
        <w:tc>
          <w:tcPr>
            <w:tcW w:w="3180" w:type="dxa"/>
            <w:vAlign w:val="bottom"/>
            <w:shd w:val="clear" w:color="auto" w:fill="F4F3F3"/>
          </w:tcPr>
          <w:p>
            <w:pPr>
              <w:spacing w:after="0"/>
              <w:rPr>
                <w:sz w:val="16"/>
                <w:szCs w:val="16"/>
                <w:color w:val="auto"/>
              </w:rPr>
            </w:pPr>
          </w:p>
        </w:tc>
        <w:tc>
          <w:tcPr>
            <w:tcW w:w="108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2/23/15</w:t>
            </w:r>
          </w:p>
        </w:tc>
        <w:tc>
          <w:tcPr>
            <w:tcW w:w="108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2/15/17</w:t>
            </w:r>
          </w:p>
        </w:tc>
        <w:tc>
          <w:tcPr>
            <w:tcW w:w="108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757</w:t>
            </w:r>
          </w:p>
        </w:tc>
        <w:tc>
          <w:tcPr>
            <w:tcW w:w="900" w:type="dxa"/>
            <w:vAlign w:val="bottom"/>
            <w:shd w:val="clear" w:color="auto" w:fill="F4F3F3"/>
          </w:tcPr>
          <w:p>
            <w:pPr>
              <w:jc w:val="right"/>
              <w:ind w:right="15"/>
              <w:spacing w:after="0" w:line="189" w:lineRule="exact"/>
              <w:rPr>
                <w:sz w:val="20"/>
                <w:szCs w:val="20"/>
                <w:color w:val="auto"/>
              </w:rPr>
            </w:pPr>
            <w:r>
              <w:rPr>
                <w:rFonts w:ascii="Arial" w:cs="Arial" w:eastAsia="Arial" w:hAnsi="Arial"/>
                <w:sz w:val="17"/>
                <w:szCs w:val="17"/>
                <w:color w:val="auto"/>
              </w:rPr>
              <w:t>82.67</w:t>
            </w:r>
          </w:p>
        </w:tc>
        <w:tc>
          <w:tcPr>
            <w:tcW w:w="104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88.37</w:t>
            </w:r>
          </w:p>
        </w:tc>
        <w:tc>
          <w:tcPr>
            <w:tcW w:w="1120" w:type="dxa"/>
            <w:vAlign w:val="bottom"/>
            <w:shd w:val="clear" w:color="auto" w:fill="F4F3F3"/>
          </w:tcPr>
          <w:p>
            <w:pPr>
              <w:jc w:val="right"/>
              <w:ind w:right="76"/>
              <w:spacing w:after="0" w:line="189" w:lineRule="exact"/>
              <w:rPr>
                <w:sz w:val="20"/>
                <w:szCs w:val="20"/>
                <w:color w:val="auto"/>
              </w:rPr>
            </w:pPr>
            <w:r>
              <w:rPr>
                <w:rFonts w:ascii="Arial" w:cs="Arial" w:eastAsia="Arial" w:hAnsi="Arial"/>
                <w:sz w:val="17"/>
                <w:szCs w:val="17"/>
                <w:color w:val="auto"/>
              </w:rPr>
              <w:t>7</w:t>
            </w:r>
          </w:p>
        </w:tc>
        <w:tc>
          <w:tcPr>
            <w:tcW w:w="1520" w:type="dxa"/>
            <w:vAlign w:val="bottom"/>
            <w:shd w:val="clear" w:color="auto" w:fill="F4F3F3"/>
          </w:tcPr>
          <w:p>
            <w:pPr>
              <w:jc w:val="right"/>
              <w:spacing w:after="0" w:line="189" w:lineRule="exact"/>
              <w:rPr>
                <w:sz w:val="20"/>
                <w:szCs w:val="20"/>
                <w:color w:val="auto"/>
              </w:rPr>
            </w:pPr>
            <w:r>
              <w:rPr>
                <w:rFonts w:ascii="Arial" w:cs="Arial" w:eastAsia="Arial" w:hAnsi="Arial"/>
                <w:sz w:val="17"/>
                <w:szCs w:val="17"/>
                <w:color w:val="auto"/>
              </w:rPr>
              <w:t>66,896</w:t>
            </w:r>
          </w:p>
        </w:tc>
      </w:tr>
      <w:tr>
        <w:trPr>
          <w:trHeight w:val="217"/>
        </w:trPr>
        <w:tc>
          <w:tcPr>
            <w:tcW w:w="3180" w:type="dxa"/>
            <w:vAlign w:val="bottom"/>
            <w:shd w:val="clear" w:color="auto" w:fill="F4F3F3"/>
          </w:tcPr>
          <w:p>
            <w:pPr>
              <w:spacing w:after="0"/>
              <w:rPr>
                <w:sz w:val="18"/>
                <w:szCs w:val="18"/>
                <w:color w:val="auto"/>
              </w:rPr>
            </w:pPr>
          </w:p>
        </w:tc>
        <w:tc>
          <w:tcPr>
            <w:tcW w:w="1080" w:type="dxa"/>
            <w:vAlign w:val="bottom"/>
            <w:shd w:val="clear" w:color="auto" w:fill="F4F3F3"/>
          </w:tcPr>
          <w:p>
            <w:pPr>
              <w:jc w:val="right"/>
              <w:spacing w:after="0"/>
              <w:rPr>
                <w:sz w:val="20"/>
                <w:szCs w:val="20"/>
                <w:color w:val="auto"/>
              </w:rPr>
            </w:pPr>
            <w:r>
              <w:rPr>
                <w:rFonts w:ascii="Arial" w:cs="Arial" w:eastAsia="Arial" w:hAnsi="Arial"/>
                <w:sz w:val="17"/>
                <w:szCs w:val="17"/>
                <w:color w:val="auto"/>
              </w:rPr>
              <w:t>2/22/16</w:t>
            </w:r>
          </w:p>
        </w:tc>
        <w:tc>
          <w:tcPr>
            <w:tcW w:w="1080" w:type="dxa"/>
            <w:vAlign w:val="bottom"/>
            <w:shd w:val="clear" w:color="auto" w:fill="F4F3F3"/>
          </w:tcPr>
          <w:p>
            <w:pPr>
              <w:jc w:val="right"/>
              <w:spacing w:after="0"/>
              <w:rPr>
                <w:sz w:val="20"/>
                <w:szCs w:val="20"/>
                <w:color w:val="auto"/>
              </w:rPr>
            </w:pPr>
            <w:r>
              <w:rPr>
                <w:rFonts w:ascii="Arial" w:cs="Arial" w:eastAsia="Arial" w:hAnsi="Arial"/>
                <w:sz w:val="17"/>
                <w:szCs w:val="17"/>
                <w:color w:val="auto"/>
              </w:rPr>
              <w:t>2/15/17</w:t>
            </w:r>
          </w:p>
        </w:tc>
        <w:tc>
          <w:tcPr>
            <w:tcW w:w="1080" w:type="dxa"/>
            <w:vAlign w:val="bottom"/>
            <w:shd w:val="clear" w:color="auto" w:fill="F4F3F3"/>
          </w:tcPr>
          <w:p>
            <w:pPr>
              <w:jc w:val="right"/>
              <w:spacing w:after="0"/>
              <w:rPr>
                <w:sz w:val="20"/>
                <w:szCs w:val="20"/>
                <w:color w:val="auto"/>
              </w:rPr>
            </w:pPr>
            <w:r>
              <w:rPr>
                <w:rFonts w:ascii="Arial" w:cs="Arial" w:eastAsia="Arial" w:hAnsi="Arial"/>
                <w:sz w:val="17"/>
                <w:szCs w:val="17"/>
                <w:color w:val="auto"/>
              </w:rPr>
              <w:t>2,992</w:t>
            </w:r>
          </w:p>
        </w:tc>
        <w:tc>
          <w:tcPr>
            <w:tcW w:w="900" w:type="dxa"/>
            <w:vAlign w:val="bottom"/>
            <w:shd w:val="clear" w:color="auto" w:fill="F4F3F3"/>
          </w:tcPr>
          <w:p>
            <w:pPr>
              <w:jc w:val="right"/>
              <w:ind w:right="15"/>
              <w:spacing w:after="0"/>
              <w:rPr>
                <w:sz w:val="20"/>
                <w:szCs w:val="20"/>
                <w:color w:val="auto"/>
              </w:rPr>
            </w:pPr>
            <w:r>
              <w:rPr>
                <w:rFonts w:ascii="Arial" w:cs="Arial" w:eastAsia="Arial" w:hAnsi="Arial"/>
                <w:sz w:val="17"/>
                <w:szCs w:val="17"/>
                <w:color w:val="auto"/>
              </w:rPr>
              <w:t>66.86</w:t>
            </w:r>
          </w:p>
        </w:tc>
        <w:tc>
          <w:tcPr>
            <w:tcW w:w="1040" w:type="dxa"/>
            <w:vAlign w:val="bottom"/>
            <w:shd w:val="clear" w:color="auto" w:fill="F4F3F3"/>
          </w:tcPr>
          <w:p>
            <w:pPr>
              <w:jc w:val="right"/>
              <w:spacing w:after="0"/>
              <w:rPr>
                <w:sz w:val="20"/>
                <w:szCs w:val="20"/>
                <w:color w:val="auto"/>
              </w:rPr>
            </w:pPr>
            <w:r>
              <w:rPr>
                <w:rFonts w:ascii="Arial" w:cs="Arial" w:eastAsia="Arial" w:hAnsi="Arial"/>
                <w:sz w:val="17"/>
                <w:szCs w:val="17"/>
                <w:color w:val="auto"/>
              </w:rPr>
              <w:t>88.37</w:t>
            </w:r>
          </w:p>
        </w:tc>
        <w:tc>
          <w:tcPr>
            <w:tcW w:w="1120" w:type="dxa"/>
            <w:vAlign w:val="bottom"/>
            <w:shd w:val="clear" w:color="auto" w:fill="F4F3F3"/>
          </w:tcPr>
          <w:p>
            <w:pPr>
              <w:jc w:val="right"/>
              <w:ind w:right="76"/>
              <w:spacing w:after="0"/>
              <w:rPr>
                <w:sz w:val="20"/>
                <w:szCs w:val="20"/>
                <w:color w:val="auto"/>
              </w:rPr>
            </w:pPr>
            <w:r>
              <w:rPr>
                <w:rFonts w:ascii="Arial" w:cs="Arial" w:eastAsia="Arial" w:hAnsi="Arial"/>
                <w:sz w:val="17"/>
                <w:szCs w:val="17"/>
                <w:color w:val="auto"/>
              </w:rPr>
              <w:t>32</w:t>
            </w:r>
          </w:p>
        </w:tc>
        <w:tc>
          <w:tcPr>
            <w:tcW w:w="1520" w:type="dxa"/>
            <w:vAlign w:val="bottom"/>
            <w:shd w:val="clear" w:color="auto" w:fill="F4F3F3"/>
          </w:tcPr>
          <w:p>
            <w:pPr>
              <w:jc w:val="right"/>
              <w:spacing w:after="0"/>
              <w:rPr>
                <w:sz w:val="20"/>
                <w:szCs w:val="20"/>
                <w:color w:val="auto"/>
              </w:rPr>
            </w:pPr>
            <w:r>
              <w:rPr>
                <w:rFonts w:ascii="Arial" w:cs="Arial" w:eastAsia="Arial" w:hAnsi="Arial"/>
                <w:sz w:val="17"/>
                <w:szCs w:val="17"/>
                <w:color w:val="auto"/>
              </w:rPr>
              <w:t>264,403</w:t>
            </w:r>
          </w:p>
        </w:tc>
      </w:tr>
    </w:tbl>
    <w:p>
      <w:pPr>
        <w:spacing w:after="0" w:line="289"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Nonqualified Deferred Compensation for Fiscal Year 2017</w:t>
      </w:r>
    </w:p>
    <w:p>
      <w:pPr>
        <w:spacing w:after="0" w:line="10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presents contributions, earnings, distributions and balances under the EDC for the 2017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167640</wp:posOffset>
            </wp:positionV>
            <wp:extent cx="6989445" cy="153352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89445" cy="1533525"/>
                    </a:xfrm>
                    <a:prstGeom prst="rect">
                      <a:avLst/>
                    </a:prstGeom>
                    <a:noFill/>
                  </pic:spPr>
                </pic:pic>
              </a:graphicData>
            </a:graphic>
          </wp:anchor>
        </w:drawing>
      </w:r>
    </w:p>
    <w:p>
      <w:pPr>
        <w:spacing w:after="0" w:line="229"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4180" w:type="dxa"/>
            <w:vAlign w:val="bottom"/>
            <w:shd w:val="clear" w:color="auto" w:fill="998C87"/>
          </w:tcPr>
          <w:p>
            <w:pPr>
              <w:spacing w:after="0"/>
              <w:rPr>
                <w:sz w:val="16"/>
                <w:szCs w:val="16"/>
                <w:color w:val="auto"/>
              </w:rPr>
            </w:pPr>
          </w:p>
        </w:tc>
        <w:tc>
          <w:tcPr>
            <w:tcW w:w="138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Executive</w:t>
            </w:r>
          </w:p>
        </w:tc>
        <w:tc>
          <w:tcPr>
            <w:tcW w:w="1480" w:type="dxa"/>
            <w:vAlign w:val="bottom"/>
            <w:shd w:val="clear" w:color="auto" w:fill="998C87"/>
          </w:tcPr>
          <w:p>
            <w:pPr>
              <w:spacing w:after="0"/>
              <w:rPr>
                <w:sz w:val="16"/>
                <w:szCs w:val="16"/>
                <w:color w:val="auto"/>
              </w:rPr>
            </w:pPr>
          </w:p>
        </w:tc>
        <w:tc>
          <w:tcPr>
            <w:tcW w:w="126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Aggregate</w:t>
            </w:r>
          </w:p>
        </w:tc>
        <w:tc>
          <w:tcPr>
            <w:tcW w:w="1320" w:type="dxa"/>
            <w:vAlign w:val="bottom"/>
            <w:shd w:val="clear" w:color="auto" w:fill="998C87"/>
          </w:tcPr>
          <w:p>
            <w:pPr>
              <w:jc w:val="right"/>
              <w:ind w:right="257"/>
              <w:spacing w:after="0"/>
              <w:rPr>
                <w:sz w:val="20"/>
                <w:szCs w:val="20"/>
                <w:color w:val="auto"/>
              </w:rPr>
            </w:pPr>
            <w:r>
              <w:rPr>
                <w:rFonts w:ascii="Arial" w:cs="Arial" w:eastAsia="Arial" w:hAnsi="Arial"/>
                <w:sz w:val="16"/>
                <w:szCs w:val="16"/>
                <w:b w:val="1"/>
                <w:bCs w:val="1"/>
                <w:color w:val="FFFFFF"/>
              </w:rPr>
              <w:t>Aggregate</w:t>
            </w:r>
          </w:p>
        </w:tc>
        <w:tc>
          <w:tcPr>
            <w:tcW w:w="1080" w:type="dxa"/>
            <w:vAlign w:val="bottom"/>
            <w:shd w:val="clear" w:color="auto" w:fill="998C87"/>
          </w:tcPr>
          <w:p>
            <w:pPr>
              <w:jc w:val="center"/>
              <w:ind w:left="76"/>
              <w:spacing w:after="0"/>
              <w:rPr>
                <w:sz w:val="20"/>
                <w:szCs w:val="20"/>
                <w:color w:val="auto"/>
              </w:rPr>
            </w:pPr>
            <w:r>
              <w:rPr>
                <w:rFonts w:ascii="Arial" w:cs="Arial" w:eastAsia="Arial" w:hAnsi="Arial"/>
                <w:sz w:val="16"/>
                <w:szCs w:val="16"/>
                <w:b w:val="1"/>
                <w:bCs w:val="1"/>
                <w:color w:val="FFFFFF"/>
              </w:rPr>
              <w:t>Aggregate</w:t>
            </w:r>
          </w:p>
        </w:tc>
        <w:tc>
          <w:tcPr>
            <w:tcW w:w="300" w:type="dxa"/>
            <w:vAlign w:val="bottom"/>
            <w:shd w:val="clear" w:color="auto" w:fill="998C87"/>
          </w:tcPr>
          <w:p>
            <w:pPr>
              <w:spacing w:after="0"/>
              <w:rPr>
                <w:sz w:val="16"/>
                <w:szCs w:val="16"/>
                <w:color w:val="auto"/>
              </w:rPr>
            </w:pPr>
          </w:p>
        </w:tc>
      </w:tr>
      <w:tr>
        <w:trPr>
          <w:trHeight w:val="189"/>
        </w:trPr>
        <w:tc>
          <w:tcPr>
            <w:tcW w:w="4180" w:type="dxa"/>
            <w:vAlign w:val="bottom"/>
            <w:shd w:val="clear" w:color="auto" w:fill="998C87"/>
          </w:tcPr>
          <w:p>
            <w:pPr>
              <w:spacing w:after="0"/>
              <w:rPr>
                <w:sz w:val="16"/>
                <w:szCs w:val="16"/>
                <w:color w:val="auto"/>
              </w:rPr>
            </w:pPr>
          </w:p>
        </w:tc>
        <w:tc>
          <w:tcPr>
            <w:tcW w:w="138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Contributions</w:t>
            </w:r>
          </w:p>
        </w:tc>
        <w:tc>
          <w:tcPr>
            <w:tcW w:w="1480" w:type="dxa"/>
            <w:vAlign w:val="bottom"/>
            <w:shd w:val="clear" w:color="auto" w:fill="998C87"/>
          </w:tcPr>
          <w:p>
            <w:pPr>
              <w:jc w:val="center"/>
              <w:ind w:right="16"/>
              <w:spacing w:after="0"/>
              <w:rPr>
                <w:sz w:val="20"/>
                <w:szCs w:val="20"/>
                <w:color w:val="auto"/>
              </w:rPr>
            </w:pPr>
            <w:r>
              <w:rPr>
                <w:rFonts w:ascii="Arial" w:cs="Arial" w:eastAsia="Arial" w:hAnsi="Arial"/>
                <w:sz w:val="16"/>
                <w:szCs w:val="16"/>
                <w:b w:val="1"/>
                <w:bCs w:val="1"/>
                <w:color w:val="FFFFFF"/>
              </w:rPr>
              <w:t>Company</w:t>
            </w:r>
          </w:p>
        </w:tc>
        <w:tc>
          <w:tcPr>
            <w:tcW w:w="126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Earnings in</w:t>
            </w:r>
          </w:p>
        </w:tc>
        <w:tc>
          <w:tcPr>
            <w:tcW w:w="1320" w:type="dxa"/>
            <w:vAlign w:val="bottom"/>
            <w:shd w:val="clear" w:color="auto" w:fill="998C87"/>
          </w:tcPr>
          <w:p>
            <w:pPr>
              <w:jc w:val="center"/>
              <w:ind w:right="77"/>
              <w:spacing w:after="0"/>
              <w:rPr>
                <w:sz w:val="20"/>
                <w:szCs w:val="20"/>
                <w:color w:val="auto"/>
              </w:rPr>
            </w:pPr>
            <w:r>
              <w:rPr>
                <w:rFonts w:ascii="Arial" w:cs="Arial" w:eastAsia="Arial" w:hAnsi="Arial"/>
                <w:sz w:val="16"/>
                <w:szCs w:val="16"/>
                <w:b w:val="1"/>
                <w:bCs w:val="1"/>
                <w:color w:val="FFFFFF"/>
              </w:rPr>
              <w:t>Withdrawals /</w:t>
            </w:r>
          </w:p>
        </w:tc>
        <w:tc>
          <w:tcPr>
            <w:tcW w:w="1080" w:type="dxa"/>
            <w:vAlign w:val="bottom"/>
            <w:shd w:val="clear" w:color="auto" w:fill="998C87"/>
          </w:tcPr>
          <w:p>
            <w:pPr>
              <w:jc w:val="center"/>
              <w:ind w:left="76"/>
              <w:spacing w:after="0"/>
              <w:rPr>
                <w:sz w:val="20"/>
                <w:szCs w:val="20"/>
                <w:color w:val="auto"/>
              </w:rPr>
            </w:pPr>
            <w:r>
              <w:rPr>
                <w:rFonts w:ascii="Arial" w:cs="Arial" w:eastAsia="Arial" w:hAnsi="Arial"/>
                <w:sz w:val="16"/>
                <w:szCs w:val="16"/>
                <w:b w:val="1"/>
                <w:bCs w:val="1"/>
                <w:color w:val="FFFFFF"/>
                <w:w w:val="99"/>
              </w:rPr>
              <w:t>Balance at</w:t>
            </w:r>
          </w:p>
        </w:tc>
        <w:tc>
          <w:tcPr>
            <w:tcW w:w="300" w:type="dxa"/>
            <w:vAlign w:val="bottom"/>
            <w:shd w:val="clear" w:color="auto" w:fill="998C87"/>
          </w:tcPr>
          <w:p>
            <w:pPr>
              <w:spacing w:after="0"/>
              <w:rPr>
                <w:sz w:val="16"/>
                <w:szCs w:val="16"/>
                <w:color w:val="auto"/>
              </w:rPr>
            </w:pPr>
          </w:p>
        </w:tc>
      </w:tr>
      <w:tr>
        <w:trPr>
          <w:trHeight w:val="189"/>
        </w:trPr>
        <w:tc>
          <w:tcPr>
            <w:tcW w:w="4180" w:type="dxa"/>
            <w:vAlign w:val="bottom"/>
            <w:shd w:val="clear" w:color="auto" w:fill="998C87"/>
          </w:tcPr>
          <w:p>
            <w:pPr>
              <w:spacing w:after="0"/>
              <w:rPr>
                <w:sz w:val="16"/>
                <w:szCs w:val="16"/>
                <w:color w:val="auto"/>
              </w:rPr>
            </w:pPr>
          </w:p>
        </w:tc>
        <w:tc>
          <w:tcPr>
            <w:tcW w:w="138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in Last FY</w:t>
            </w:r>
          </w:p>
        </w:tc>
        <w:tc>
          <w:tcPr>
            <w:tcW w:w="1480" w:type="dxa"/>
            <w:vAlign w:val="bottom"/>
            <w:shd w:val="clear" w:color="auto" w:fill="998C87"/>
          </w:tcPr>
          <w:p>
            <w:pPr>
              <w:jc w:val="center"/>
              <w:ind w:right="16"/>
              <w:spacing w:after="0"/>
              <w:rPr>
                <w:sz w:val="20"/>
                <w:szCs w:val="20"/>
                <w:color w:val="auto"/>
              </w:rPr>
            </w:pPr>
            <w:r>
              <w:rPr>
                <w:rFonts w:ascii="Arial" w:cs="Arial" w:eastAsia="Arial" w:hAnsi="Arial"/>
                <w:sz w:val="16"/>
                <w:szCs w:val="16"/>
                <w:b w:val="1"/>
                <w:bCs w:val="1"/>
                <w:color w:val="FFFFFF"/>
              </w:rPr>
              <w:t>Contributions</w:t>
            </w:r>
          </w:p>
        </w:tc>
        <w:tc>
          <w:tcPr>
            <w:tcW w:w="126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Last FY</w:t>
            </w:r>
          </w:p>
        </w:tc>
        <w:tc>
          <w:tcPr>
            <w:tcW w:w="1320" w:type="dxa"/>
            <w:vAlign w:val="bottom"/>
            <w:shd w:val="clear" w:color="auto" w:fill="998C87"/>
          </w:tcPr>
          <w:p>
            <w:pPr>
              <w:jc w:val="center"/>
              <w:ind w:right="77"/>
              <w:spacing w:after="0"/>
              <w:rPr>
                <w:sz w:val="20"/>
                <w:szCs w:val="20"/>
                <w:color w:val="auto"/>
              </w:rPr>
            </w:pPr>
            <w:r>
              <w:rPr>
                <w:rFonts w:ascii="Arial" w:cs="Arial" w:eastAsia="Arial" w:hAnsi="Arial"/>
                <w:sz w:val="16"/>
                <w:szCs w:val="16"/>
                <w:b w:val="1"/>
                <w:bCs w:val="1"/>
                <w:color w:val="FFFFFF"/>
              </w:rPr>
              <w:t>Distributions</w:t>
            </w:r>
          </w:p>
        </w:tc>
        <w:tc>
          <w:tcPr>
            <w:tcW w:w="1080" w:type="dxa"/>
            <w:vAlign w:val="bottom"/>
            <w:shd w:val="clear" w:color="auto" w:fill="998C87"/>
          </w:tcPr>
          <w:p>
            <w:pPr>
              <w:jc w:val="center"/>
              <w:ind w:left="56"/>
              <w:spacing w:after="0"/>
              <w:rPr>
                <w:sz w:val="20"/>
                <w:szCs w:val="20"/>
                <w:color w:val="auto"/>
              </w:rPr>
            </w:pPr>
            <w:r>
              <w:rPr>
                <w:rFonts w:ascii="Arial" w:cs="Arial" w:eastAsia="Arial" w:hAnsi="Arial"/>
                <w:sz w:val="16"/>
                <w:szCs w:val="16"/>
                <w:b w:val="1"/>
                <w:bCs w:val="1"/>
                <w:color w:val="FFFFFF"/>
              </w:rPr>
              <w:t>Last</w:t>
            </w:r>
          </w:p>
        </w:tc>
        <w:tc>
          <w:tcPr>
            <w:tcW w:w="300" w:type="dxa"/>
            <w:vAlign w:val="bottom"/>
            <w:shd w:val="clear" w:color="auto" w:fill="998C87"/>
          </w:tcPr>
          <w:p>
            <w:pPr>
              <w:spacing w:after="0"/>
              <w:rPr>
                <w:sz w:val="16"/>
                <w:szCs w:val="16"/>
                <w:color w:val="auto"/>
              </w:rPr>
            </w:pPr>
          </w:p>
        </w:tc>
      </w:tr>
      <w:tr>
        <w:trPr>
          <w:trHeight w:val="236"/>
        </w:trPr>
        <w:tc>
          <w:tcPr>
            <w:tcW w:w="4180" w:type="dxa"/>
            <w:vAlign w:val="bottom"/>
            <w:shd w:val="clear" w:color="auto" w:fill="998C87"/>
          </w:tcPr>
          <w:p>
            <w:pPr>
              <w:ind w:left="160"/>
              <w:spacing w:after="0"/>
              <w:rPr>
                <w:sz w:val="20"/>
                <w:szCs w:val="20"/>
                <w:color w:val="auto"/>
              </w:rPr>
            </w:pPr>
            <w:r>
              <w:rPr>
                <w:rFonts w:ascii="Arial" w:cs="Arial" w:eastAsia="Arial" w:hAnsi="Arial"/>
                <w:sz w:val="16"/>
                <w:szCs w:val="16"/>
                <w:b w:val="1"/>
                <w:bCs w:val="1"/>
                <w:color w:val="FFFFFF"/>
              </w:rPr>
              <w:t>Name</w:t>
            </w:r>
          </w:p>
        </w:tc>
        <w:tc>
          <w:tcPr>
            <w:tcW w:w="138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($)(1)</w:t>
            </w:r>
          </w:p>
        </w:tc>
        <w:tc>
          <w:tcPr>
            <w:tcW w:w="1480" w:type="dxa"/>
            <w:vAlign w:val="bottom"/>
            <w:shd w:val="clear" w:color="auto" w:fill="998C87"/>
          </w:tcPr>
          <w:p>
            <w:pPr>
              <w:jc w:val="center"/>
              <w:ind w:right="16"/>
              <w:spacing w:after="0"/>
              <w:rPr>
                <w:sz w:val="20"/>
                <w:szCs w:val="20"/>
                <w:color w:val="auto"/>
              </w:rPr>
            </w:pPr>
            <w:r>
              <w:rPr>
                <w:rFonts w:ascii="Arial" w:cs="Arial" w:eastAsia="Arial" w:hAnsi="Arial"/>
                <w:sz w:val="16"/>
                <w:szCs w:val="16"/>
                <w:b w:val="1"/>
                <w:bCs w:val="1"/>
                <w:color w:val="FFFFFF"/>
              </w:rPr>
              <w:t>in Last FY ($)</w:t>
            </w:r>
          </w:p>
        </w:tc>
        <w:tc>
          <w:tcPr>
            <w:tcW w:w="126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w w:val="97"/>
              </w:rPr>
              <w:t>($)(2)</w:t>
            </w:r>
          </w:p>
        </w:tc>
        <w:tc>
          <w:tcPr>
            <w:tcW w:w="1320" w:type="dxa"/>
            <w:vAlign w:val="bottom"/>
            <w:shd w:val="clear" w:color="auto" w:fill="998C87"/>
          </w:tcPr>
          <w:p>
            <w:pPr>
              <w:jc w:val="center"/>
              <w:ind w:right="77"/>
              <w:spacing w:after="0"/>
              <w:rPr>
                <w:sz w:val="20"/>
                <w:szCs w:val="20"/>
                <w:color w:val="auto"/>
              </w:rPr>
            </w:pPr>
            <w:r>
              <w:rPr>
                <w:rFonts w:ascii="Arial" w:cs="Arial" w:eastAsia="Arial" w:hAnsi="Arial"/>
                <w:sz w:val="16"/>
                <w:szCs w:val="16"/>
                <w:b w:val="1"/>
                <w:bCs w:val="1"/>
                <w:color w:val="FFFFFF"/>
              </w:rPr>
              <w:t>($)</w:t>
            </w:r>
          </w:p>
        </w:tc>
        <w:tc>
          <w:tcPr>
            <w:tcW w:w="1080" w:type="dxa"/>
            <w:vAlign w:val="bottom"/>
            <w:shd w:val="clear" w:color="auto" w:fill="998C87"/>
          </w:tcPr>
          <w:p>
            <w:pPr>
              <w:jc w:val="center"/>
              <w:ind w:left="76"/>
              <w:spacing w:after="0"/>
              <w:rPr>
                <w:sz w:val="20"/>
                <w:szCs w:val="20"/>
                <w:color w:val="auto"/>
              </w:rPr>
            </w:pPr>
            <w:r>
              <w:rPr>
                <w:rFonts w:ascii="Arial" w:cs="Arial" w:eastAsia="Arial" w:hAnsi="Arial"/>
                <w:sz w:val="16"/>
                <w:szCs w:val="16"/>
                <w:b w:val="1"/>
                <w:bCs w:val="1"/>
                <w:color w:val="FFFFFF"/>
              </w:rPr>
              <w:t>FYE ($)(3)</w:t>
            </w:r>
          </w:p>
        </w:tc>
        <w:tc>
          <w:tcPr>
            <w:tcW w:w="300" w:type="dxa"/>
            <w:vAlign w:val="bottom"/>
            <w:shd w:val="clear" w:color="auto" w:fill="998C87"/>
          </w:tcPr>
          <w:p>
            <w:pPr>
              <w:spacing w:after="0"/>
              <w:rPr>
                <w:sz w:val="20"/>
                <w:szCs w:val="20"/>
                <w:color w:val="auto"/>
              </w:rPr>
            </w:pPr>
          </w:p>
        </w:tc>
      </w:tr>
      <w:tr>
        <w:trPr>
          <w:trHeight w:val="270"/>
        </w:trPr>
        <w:tc>
          <w:tcPr>
            <w:tcW w:w="4180" w:type="dxa"/>
            <w:vAlign w:val="bottom"/>
            <w:shd w:val="clear" w:color="auto" w:fill="F4F3F3"/>
          </w:tcPr>
          <w:p>
            <w:pPr>
              <w:ind w:left="160"/>
              <w:spacing w:after="0"/>
              <w:rPr>
                <w:sz w:val="20"/>
                <w:szCs w:val="20"/>
                <w:color w:val="auto"/>
              </w:rPr>
            </w:pPr>
            <w:r>
              <w:rPr>
                <w:rFonts w:ascii="Arial" w:cs="Arial" w:eastAsia="Arial" w:hAnsi="Arial"/>
                <w:sz w:val="17"/>
                <w:szCs w:val="17"/>
                <w:color w:val="998C87"/>
              </w:rPr>
              <w:t>Mr. Marriott</w:t>
            </w:r>
          </w:p>
        </w:tc>
        <w:tc>
          <w:tcPr>
            <w:tcW w:w="1380" w:type="dxa"/>
            <w:vAlign w:val="bottom"/>
            <w:shd w:val="clear" w:color="auto" w:fill="F4F3F3"/>
          </w:tcPr>
          <w:p>
            <w:pPr>
              <w:jc w:val="right"/>
              <w:spacing w:after="0"/>
              <w:rPr>
                <w:sz w:val="20"/>
                <w:szCs w:val="20"/>
                <w:color w:val="auto"/>
              </w:rPr>
            </w:pPr>
            <w:r>
              <w:rPr>
                <w:rFonts w:ascii="Arial" w:cs="Arial" w:eastAsia="Arial" w:hAnsi="Arial"/>
                <w:sz w:val="17"/>
                <w:szCs w:val="17"/>
                <w:color w:val="auto"/>
              </w:rPr>
              <w:t>180,000</w:t>
            </w:r>
          </w:p>
        </w:tc>
        <w:tc>
          <w:tcPr>
            <w:tcW w:w="1480" w:type="dxa"/>
            <w:vAlign w:val="bottom"/>
            <w:shd w:val="clear" w:color="auto" w:fill="F4F3F3"/>
          </w:tcPr>
          <w:p>
            <w:pPr>
              <w:jc w:val="right"/>
              <w:ind w:right="76"/>
              <w:spacing w:after="0"/>
              <w:rPr>
                <w:sz w:val="20"/>
                <w:szCs w:val="20"/>
                <w:color w:val="auto"/>
              </w:rPr>
            </w:pPr>
            <w:r>
              <w:rPr>
                <w:rFonts w:ascii="Arial" w:cs="Arial" w:eastAsia="Arial" w:hAnsi="Arial"/>
                <w:sz w:val="17"/>
                <w:szCs w:val="17"/>
                <w:color w:val="auto"/>
              </w:rPr>
              <w:t>112,500</w:t>
            </w:r>
          </w:p>
        </w:tc>
        <w:tc>
          <w:tcPr>
            <w:tcW w:w="1260" w:type="dxa"/>
            <w:vAlign w:val="bottom"/>
            <w:shd w:val="clear" w:color="auto" w:fill="F4F3F3"/>
          </w:tcPr>
          <w:p>
            <w:pPr>
              <w:jc w:val="right"/>
              <w:spacing w:after="0"/>
              <w:rPr>
                <w:sz w:val="20"/>
                <w:szCs w:val="20"/>
                <w:color w:val="auto"/>
              </w:rPr>
            </w:pPr>
            <w:r>
              <w:rPr>
                <w:rFonts w:ascii="Arial" w:cs="Arial" w:eastAsia="Arial" w:hAnsi="Arial"/>
                <w:sz w:val="17"/>
                <w:szCs w:val="17"/>
                <w:color w:val="auto"/>
              </w:rPr>
              <w:t>1,005,321</w:t>
            </w:r>
          </w:p>
        </w:tc>
        <w:tc>
          <w:tcPr>
            <w:tcW w:w="1320" w:type="dxa"/>
            <w:vAlign w:val="bottom"/>
            <w:shd w:val="clear" w:color="auto" w:fill="F4F3F3"/>
          </w:tcPr>
          <w:p>
            <w:pPr>
              <w:jc w:val="right"/>
              <w:ind w:right="257"/>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F4F3F3"/>
          </w:tcPr>
          <w:p>
            <w:pPr>
              <w:jc w:val="right"/>
              <w:ind w:right="4"/>
              <w:spacing w:after="0"/>
              <w:rPr>
                <w:sz w:val="20"/>
                <w:szCs w:val="20"/>
                <w:color w:val="auto"/>
              </w:rPr>
            </w:pPr>
            <w:r>
              <w:rPr>
                <w:rFonts w:ascii="Arial" w:cs="Arial" w:eastAsia="Arial" w:hAnsi="Arial"/>
                <w:sz w:val="17"/>
                <w:szCs w:val="17"/>
                <w:color w:val="auto"/>
              </w:rPr>
              <w:t>26,310,814</w:t>
            </w:r>
          </w:p>
        </w:tc>
      </w:tr>
      <w:tr>
        <w:trPr>
          <w:trHeight w:val="270"/>
        </w:trPr>
        <w:tc>
          <w:tcPr>
            <w:tcW w:w="4180" w:type="dxa"/>
            <w:vAlign w:val="bottom"/>
            <w:shd w:val="clear" w:color="auto" w:fill="F4F3F3"/>
          </w:tcPr>
          <w:p>
            <w:pPr>
              <w:ind w:left="160"/>
              <w:spacing w:after="0"/>
              <w:rPr>
                <w:sz w:val="20"/>
                <w:szCs w:val="20"/>
                <w:color w:val="auto"/>
              </w:rPr>
            </w:pPr>
            <w:r>
              <w:rPr>
                <w:rFonts w:ascii="Arial" w:cs="Arial" w:eastAsia="Arial" w:hAnsi="Arial"/>
                <w:sz w:val="17"/>
                <w:szCs w:val="17"/>
                <w:color w:val="998C87"/>
              </w:rPr>
              <w:t>Mr. Sorenson</w:t>
            </w:r>
          </w:p>
        </w:tc>
        <w:tc>
          <w:tcPr>
            <w:tcW w:w="1380" w:type="dxa"/>
            <w:vAlign w:val="bottom"/>
            <w:shd w:val="clear" w:color="auto" w:fill="F4F3F3"/>
          </w:tcPr>
          <w:p>
            <w:pPr>
              <w:jc w:val="right"/>
              <w:spacing w:after="0"/>
              <w:rPr>
                <w:sz w:val="20"/>
                <w:szCs w:val="20"/>
                <w:color w:val="auto"/>
              </w:rPr>
            </w:pPr>
            <w:r>
              <w:rPr>
                <w:rFonts w:ascii="Arial" w:cs="Arial" w:eastAsia="Arial" w:hAnsi="Arial"/>
                <w:sz w:val="17"/>
                <w:szCs w:val="17"/>
                <w:color w:val="auto"/>
              </w:rPr>
              <w:t>243,392</w:t>
            </w:r>
          </w:p>
        </w:tc>
        <w:tc>
          <w:tcPr>
            <w:tcW w:w="1480" w:type="dxa"/>
            <w:vAlign w:val="bottom"/>
            <w:shd w:val="clear" w:color="auto" w:fill="F4F3F3"/>
          </w:tcPr>
          <w:p>
            <w:pPr>
              <w:jc w:val="right"/>
              <w:ind w:right="76"/>
              <w:spacing w:after="0"/>
              <w:rPr>
                <w:sz w:val="20"/>
                <w:szCs w:val="20"/>
                <w:color w:val="auto"/>
              </w:rPr>
            </w:pPr>
            <w:r>
              <w:rPr>
                <w:rFonts w:ascii="Arial" w:cs="Arial" w:eastAsia="Arial" w:hAnsi="Arial"/>
                <w:sz w:val="17"/>
                <w:szCs w:val="17"/>
                <w:color w:val="auto"/>
              </w:rPr>
              <w:t>152,120</w:t>
            </w:r>
          </w:p>
        </w:tc>
        <w:tc>
          <w:tcPr>
            <w:tcW w:w="1260" w:type="dxa"/>
            <w:vAlign w:val="bottom"/>
            <w:shd w:val="clear" w:color="auto" w:fill="F4F3F3"/>
          </w:tcPr>
          <w:p>
            <w:pPr>
              <w:jc w:val="right"/>
              <w:spacing w:after="0"/>
              <w:rPr>
                <w:sz w:val="20"/>
                <w:szCs w:val="20"/>
                <w:color w:val="auto"/>
              </w:rPr>
            </w:pPr>
            <w:r>
              <w:rPr>
                <w:rFonts w:ascii="Arial" w:cs="Arial" w:eastAsia="Arial" w:hAnsi="Arial"/>
                <w:sz w:val="17"/>
                <w:szCs w:val="17"/>
                <w:color w:val="auto"/>
              </w:rPr>
              <w:t>213,468</w:t>
            </w:r>
          </w:p>
        </w:tc>
        <w:tc>
          <w:tcPr>
            <w:tcW w:w="1320" w:type="dxa"/>
            <w:vAlign w:val="bottom"/>
            <w:shd w:val="clear" w:color="auto" w:fill="F4F3F3"/>
          </w:tcPr>
          <w:p>
            <w:pPr>
              <w:jc w:val="right"/>
              <w:ind w:right="257"/>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F4F3F3"/>
          </w:tcPr>
          <w:p>
            <w:pPr>
              <w:jc w:val="right"/>
              <w:ind w:right="4"/>
              <w:spacing w:after="0"/>
              <w:rPr>
                <w:sz w:val="20"/>
                <w:szCs w:val="20"/>
                <w:color w:val="auto"/>
              </w:rPr>
            </w:pPr>
            <w:r>
              <w:rPr>
                <w:rFonts w:ascii="Arial" w:cs="Arial" w:eastAsia="Arial" w:hAnsi="Arial"/>
                <w:sz w:val="17"/>
                <w:szCs w:val="17"/>
                <w:color w:val="auto"/>
              </w:rPr>
              <w:t>5,750,813</w:t>
            </w:r>
          </w:p>
        </w:tc>
      </w:tr>
      <w:tr>
        <w:trPr>
          <w:trHeight w:val="270"/>
        </w:trPr>
        <w:tc>
          <w:tcPr>
            <w:tcW w:w="4180" w:type="dxa"/>
            <w:vAlign w:val="bottom"/>
            <w:shd w:val="clear" w:color="auto" w:fill="F4F3F3"/>
          </w:tcPr>
          <w:p>
            <w:pPr>
              <w:ind w:left="160"/>
              <w:spacing w:after="0"/>
              <w:rPr>
                <w:sz w:val="20"/>
                <w:szCs w:val="20"/>
                <w:color w:val="auto"/>
              </w:rPr>
            </w:pPr>
            <w:r>
              <w:rPr>
                <w:rFonts w:ascii="Arial" w:cs="Arial" w:eastAsia="Arial" w:hAnsi="Arial"/>
                <w:sz w:val="17"/>
                <w:szCs w:val="17"/>
                <w:color w:val="998C87"/>
              </w:rPr>
              <w:t>Mr. Capuano</w:t>
            </w:r>
          </w:p>
        </w:tc>
        <w:tc>
          <w:tcPr>
            <w:tcW w:w="1380" w:type="dxa"/>
            <w:vAlign w:val="bottom"/>
            <w:shd w:val="clear" w:color="auto" w:fill="F4F3F3"/>
          </w:tcPr>
          <w:p>
            <w:pPr>
              <w:jc w:val="right"/>
              <w:spacing w:after="0"/>
              <w:rPr>
                <w:sz w:val="20"/>
                <w:szCs w:val="20"/>
                <w:color w:val="auto"/>
              </w:rPr>
            </w:pPr>
            <w:r>
              <w:rPr>
                <w:rFonts w:ascii="Arial" w:cs="Arial" w:eastAsia="Arial" w:hAnsi="Arial"/>
                <w:sz w:val="17"/>
                <w:szCs w:val="17"/>
                <w:color w:val="auto"/>
              </w:rPr>
              <w:t>24,000</w:t>
            </w:r>
          </w:p>
        </w:tc>
        <w:tc>
          <w:tcPr>
            <w:tcW w:w="1480" w:type="dxa"/>
            <w:vAlign w:val="bottom"/>
            <w:shd w:val="clear" w:color="auto" w:fill="F4F3F3"/>
          </w:tcPr>
          <w:p>
            <w:pPr>
              <w:jc w:val="right"/>
              <w:ind w:right="76"/>
              <w:spacing w:after="0"/>
              <w:rPr>
                <w:sz w:val="20"/>
                <w:szCs w:val="20"/>
                <w:color w:val="auto"/>
              </w:rPr>
            </w:pPr>
            <w:r>
              <w:rPr>
                <w:rFonts w:ascii="Arial" w:cs="Arial" w:eastAsia="Arial" w:hAnsi="Arial"/>
                <w:sz w:val="17"/>
                <w:szCs w:val="17"/>
                <w:color w:val="auto"/>
              </w:rPr>
              <w:t>18,000</w:t>
            </w:r>
          </w:p>
        </w:tc>
        <w:tc>
          <w:tcPr>
            <w:tcW w:w="1260" w:type="dxa"/>
            <w:vAlign w:val="bottom"/>
            <w:shd w:val="clear" w:color="auto" w:fill="F4F3F3"/>
          </w:tcPr>
          <w:p>
            <w:pPr>
              <w:jc w:val="right"/>
              <w:spacing w:after="0"/>
              <w:rPr>
                <w:sz w:val="20"/>
                <w:szCs w:val="20"/>
                <w:color w:val="auto"/>
              </w:rPr>
            </w:pPr>
            <w:r>
              <w:rPr>
                <w:rFonts w:ascii="Arial" w:cs="Arial" w:eastAsia="Arial" w:hAnsi="Arial"/>
                <w:sz w:val="17"/>
                <w:szCs w:val="17"/>
                <w:color w:val="auto"/>
              </w:rPr>
              <w:t>34,467</w:t>
            </w:r>
          </w:p>
        </w:tc>
        <w:tc>
          <w:tcPr>
            <w:tcW w:w="1320" w:type="dxa"/>
            <w:vAlign w:val="bottom"/>
            <w:shd w:val="clear" w:color="auto" w:fill="F4F3F3"/>
          </w:tcPr>
          <w:p>
            <w:pPr>
              <w:jc w:val="right"/>
              <w:ind w:right="257"/>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F4F3F3"/>
          </w:tcPr>
          <w:p>
            <w:pPr>
              <w:jc w:val="right"/>
              <w:ind w:right="4"/>
              <w:spacing w:after="0"/>
              <w:rPr>
                <w:sz w:val="20"/>
                <w:szCs w:val="20"/>
                <w:color w:val="auto"/>
              </w:rPr>
            </w:pPr>
            <w:r>
              <w:rPr>
                <w:rFonts w:ascii="Arial" w:cs="Arial" w:eastAsia="Arial" w:hAnsi="Arial"/>
                <w:sz w:val="17"/>
                <w:szCs w:val="17"/>
                <w:color w:val="auto"/>
              </w:rPr>
              <w:t>920,796</w:t>
            </w:r>
          </w:p>
        </w:tc>
      </w:tr>
      <w:tr>
        <w:trPr>
          <w:trHeight w:val="270"/>
        </w:trPr>
        <w:tc>
          <w:tcPr>
            <w:tcW w:w="4180" w:type="dxa"/>
            <w:vAlign w:val="bottom"/>
            <w:shd w:val="clear" w:color="auto" w:fill="F4F3F3"/>
          </w:tcPr>
          <w:p>
            <w:pPr>
              <w:ind w:left="160"/>
              <w:spacing w:after="0"/>
              <w:rPr>
                <w:sz w:val="20"/>
                <w:szCs w:val="20"/>
                <w:color w:val="auto"/>
              </w:rPr>
            </w:pPr>
            <w:r>
              <w:rPr>
                <w:rFonts w:ascii="Arial" w:cs="Arial" w:eastAsia="Arial" w:hAnsi="Arial"/>
                <w:sz w:val="17"/>
                <w:szCs w:val="17"/>
                <w:color w:val="998C87"/>
              </w:rPr>
              <w:t>Ms. Linnartz</w:t>
            </w:r>
          </w:p>
        </w:tc>
        <w:tc>
          <w:tcPr>
            <w:tcW w:w="1380" w:type="dxa"/>
            <w:vAlign w:val="bottom"/>
            <w:shd w:val="clear" w:color="auto" w:fill="F4F3F3"/>
          </w:tcPr>
          <w:p>
            <w:pPr>
              <w:jc w:val="right"/>
              <w:spacing w:after="0"/>
              <w:rPr>
                <w:sz w:val="20"/>
                <w:szCs w:val="20"/>
                <w:color w:val="auto"/>
              </w:rPr>
            </w:pPr>
            <w:r>
              <w:rPr>
                <w:rFonts w:ascii="Arial" w:cs="Arial" w:eastAsia="Arial" w:hAnsi="Arial"/>
                <w:sz w:val="17"/>
                <w:szCs w:val="17"/>
                <w:color w:val="auto"/>
              </w:rPr>
              <w:t>47,999</w:t>
            </w:r>
          </w:p>
        </w:tc>
        <w:tc>
          <w:tcPr>
            <w:tcW w:w="1480" w:type="dxa"/>
            <w:vAlign w:val="bottom"/>
            <w:shd w:val="clear" w:color="auto" w:fill="F4F3F3"/>
          </w:tcPr>
          <w:p>
            <w:pPr>
              <w:jc w:val="right"/>
              <w:ind w:right="76"/>
              <w:spacing w:after="0"/>
              <w:rPr>
                <w:sz w:val="20"/>
                <w:szCs w:val="20"/>
                <w:color w:val="auto"/>
              </w:rPr>
            </w:pPr>
            <w:r>
              <w:rPr>
                <w:rFonts w:ascii="Arial" w:cs="Arial" w:eastAsia="Arial" w:hAnsi="Arial"/>
                <w:sz w:val="17"/>
                <w:szCs w:val="17"/>
                <w:color w:val="auto"/>
              </w:rPr>
              <w:t>34,879</w:t>
            </w:r>
          </w:p>
        </w:tc>
        <w:tc>
          <w:tcPr>
            <w:tcW w:w="1260" w:type="dxa"/>
            <w:vAlign w:val="bottom"/>
            <w:shd w:val="clear" w:color="auto" w:fill="F4F3F3"/>
          </w:tcPr>
          <w:p>
            <w:pPr>
              <w:jc w:val="right"/>
              <w:spacing w:after="0"/>
              <w:rPr>
                <w:sz w:val="20"/>
                <w:szCs w:val="20"/>
                <w:color w:val="auto"/>
              </w:rPr>
            </w:pPr>
            <w:r>
              <w:rPr>
                <w:rFonts w:ascii="Arial" w:cs="Arial" w:eastAsia="Arial" w:hAnsi="Arial"/>
                <w:sz w:val="17"/>
                <w:szCs w:val="17"/>
                <w:color w:val="auto"/>
              </w:rPr>
              <w:t>917</w:t>
            </w:r>
          </w:p>
        </w:tc>
        <w:tc>
          <w:tcPr>
            <w:tcW w:w="1320" w:type="dxa"/>
            <w:vAlign w:val="bottom"/>
            <w:shd w:val="clear" w:color="auto" w:fill="F4F3F3"/>
          </w:tcPr>
          <w:p>
            <w:pPr>
              <w:jc w:val="right"/>
              <w:ind w:right="257"/>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F4F3F3"/>
          </w:tcPr>
          <w:p>
            <w:pPr>
              <w:jc w:val="right"/>
              <w:ind w:right="4"/>
              <w:spacing w:after="0"/>
              <w:rPr>
                <w:sz w:val="20"/>
                <w:szCs w:val="20"/>
                <w:color w:val="auto"/>
              </w:rPr>
            </w:pPr>
            <w:r>
              <w:rPr>
                <w:rFonts w:ascii="Arial" w:cs="Arial" w:eastAsia="Arial" w:hAnsi="Arial"/>
                <w:sz w:val="17"/>
                <w:szCs w:val="17"/>
                <w:color w:val="auto"/>
              </w:rPr>
              <w:t>48,892</w:t>
            </w:r>
          </w:p>
        </w:tc>
      </w:tr>
      <w:tr>
        <w:trPr>
          <w:trHeight w:val="270"/>
        </w:trPr>
        <w:tc>
          <w:tcPr>
            <w:tcW w:w="4180" w:type="dxa"/>
            <w:vAlign w:val="bottom"/>
            <w:shd w:val="clear" w:color="auto" w:fill="F4F3F3"/>
          </w:tcPr>
          <w:p>
            <w:pPr>
              <w:ind w:left="160"/>
              <w:spacing w:after="0"/>
              <w:rPr>
                <w:sz w:val="20"/>
                <w:szCs w:val="20"/>
                <w:color w:val="auto"/>
              </w:rPr>
            </w:pPr>
            <w:r>
              <w:rPr>
                <w:rFonts w:ascii="Arial" w:cs="Arial" w:eastAsia="Arial" w:hAnsi="Arial"/>
                <w:sz w:val="17"/>
                <w:szCs w:val="17"/>
                <w:color w:val="998C87"/>
              </w:rPr>
              <w:t>Mr. Grissen</w:t>
            </w:r>
          </w:p>
        </w:tc>
        <w:tc>
          <w:tcPr>
            <w:tcW w:w="1380" w:type="dxa"/>
            <w:vAlign w:val="bottom"/>
            <w:shd w:val="clear" w:color="auto" w:fill="F4F3F3"/>
          </w:tcPr>
          <w:p>
            <w:pPr>
              <w:jc w:val="right"/>
              <w:spacing w:after="0"/>
              <w:rPr>
                <w:sz w:val="20"/>
                <w:szCs w:val="20"/>
                <w:color w:val="auto"/>
              </w:rPr>
            </w:pPr>
            <w:r>
              <w:rPr>
                <w:rFonts w:ascii="Arial" w:cs="Arial" w:eastAsia="Arial" w:hAnsi="Arial"/>
                <w:sz w:val="17"/>
                <w:szCs w:val="17"/>
                <w:color w:val="auto"/>
              </w:rPr>
              <w:t>487,212</w:t>
            </w:r>
          </w:p>
        </w:tc>
        <w:tc>
          <w:tcPr>
            <w:tcW w:w="1480" w:type="dxa"/>
            <w:vAlign w:val="bottom"/>
            <w:shd w:val="clear" w:color="auto" w:fill="F4F3F3"/>
          </w:tcPr>
          <w:p>
            <w:pPr>
              <w:jc w:val="right"/>
              <w:ind w:right="76"/>
              <w:spacing w:after="0"/>
              <w:rPr>
                <w:sz w:val="20"/>
                <w:szCs w:val="20"/>
                <w:color w:val="auto"/>
              </w:rPr>
            </w:pPr>
            <w:r>
              <w:rPr>
                <w:rFonts w:ascii="Arial" w:cs="Arial" w:eastAsia="Arial" w:hAnsi="Arial"/>
                <w:sz w:val="17"/>
                <w:szCs w:val="17"/>
                <w:color w:val="auto"/>
              </w:rPr>
              <w:t>60,541</w:t>
            </w:r>
          </w:p>
        </w:tc>
        <w:tc>
          <w:tcPr>
            <w:tcW w:w="1260" w:type="dxa"/>
            <w:vAlign w:val="bottom"/>
            <w:shd w:val="clear" w:color="auto" w:fill="F4F3F3"/>
          </w:tcPr>
          <w:p>
            <w:pPr>
              <w:jc w:val="right"/>
              <w:spacing w:after="0"/>
              <w:rPr>
                <w:sz w:val="20"/>
                <w:szCs w:val="20"/>
                <w:color w:val="auto"/>
              </w:rPr>
            </w:pPr>
            <w:r>
              <w:rPr>
                <w:rFonts w:ascii="Arial" w:cs="Arial" w:eastAsia="Arial" w:hAnsi="Arial"/>
                <w:sz w:val="17"/>
                <w:szCs w:val="17"/>
                <w:color w:val="auto"/>
              </w:rPr>
              <w:t>231,060</w:t>
            </w:r>
          </w:p>
        </w:tc>
        <w:tc>
          <w:tcPr>
            <w:tcW w:w="1320" w:type="dxa"/>
            <w:vAlign w:val="bottom"/>
            <w:shd w:val="clear" w:color="auto" w:fill="F4F3F3"/>
          </w:tcPr>
          <w:p>
            <w:pPr>
              <w:jc w:val="right"/>
              <w:ind w:right="257"/>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F4F3F3"/>
          </w:tcPr>
          <w:p>
            <w:pPr>
              <w:jc w:val="right"/>
              <w:ind w:right="4"/>
              <w:spacing w:after="0"/>
              <w:rPr>
                <w:sz w:val="20"/>
                <w:szCs w:val="20"/>
                <w:color w:val="auto"/>
              </w:rPr>
            </w:pPr>
            <w:r>
              <w:rPr>
                <w:rFonts w:ascii="Arial" w:cs="Arial" w:eastAsia="Arial" w:hAnsi="Arial"/>
                <w:sz w:val="17"/>
                <w:szCs w:val="17"/>
                <w:color w:val="auto"/>
              </w:rPr>
              <w:t>6,170,893</w:t>
            </w:r>
          </w:p>
        </w:tc>
      </w:tr>
      <w:tr>
        <w:trPr>
          <w:trHeight w:val="270"/>
        </w:trPr>
        <w:tc>
          <w:tcPr>
            <w:tcW w:w="4180" w:type="dxa"/>
            <w:vAlign w:val="bottom"/>
            <w:shd w:val="clear" w:color="auto" w:fill="F4F3F3"/>
          </w:tcPr>
          <w:p>
            <w:pPr>
              <w:ind w:left="160"/>
              <w:spacing w:after="0"/>
              <w:rPr>
                <w:sz w:val="20"/>
                <w:szCs w:val="20"/>
                <w:color w:val="auto"/>
              </w:rPr>
            </w:pPr>
            <w:r>
              <w:rPr>
                <w:rFonts w:ascii="Arial" w:cs="Arial" w:eastAsia="Arial" w:hAnsi="Arial"/>
                <w:sz w:val="17"/>
                <w:szCs w:val="17"/>
                <w:color w:val="998C87"/>
              </w:rPr>
              <w:t>Ms. Oberg</w:t>
            </w:r>
          </w:p>
        </w:tc>
        <w:tc>
          <w:tcPr>
            <w:tcW w:w="1380" w:type="dxa"/>
            <w:vAlign w:val="bottom"/>
            <w:shd w:val="clear" w:color="auto" w:fill="F4F3F3"/>
          </w:tcPr>
          <w:p>
            <w:pPr>
              <w:jc w:val="right"/>
              <w:spacing w:after="0"/>
              <w:rPr>
                <w:sz w:val="20"/>
                <w:szCs w:val="20"/>
                <w:color w:val="auto"/>
              </w:rPr>
            </w:pPr>
            <w:r>
              <w:rPr>
                <w:rFonts w:ascii="Arial" w:cs="Arial" w:eastAsia="Arial" w:hAnsi="Arial"/>
                <w:sz w:val="17"/>
                <w:szCs w:val="17"/>
                <w:color w:val="auto"/>
              </w:rPr>
              <w:t>197,463</w:t>
            </w:r>
          </w:p>
        </w:tc>
        <w:tc>
          <w:tcPr>
            <w:tcW w:w="1480" w:type="dxa"/>
            <w:vAlign w:val="bottom"/>
            <w:shd w:val="clear" w:color="auto" w:fill="F4F3F3"/>
          </w:tcPr>
          <w:p>
            <w:pPr>
              <w:jc w:val="right"/>
              <w:ind w:right="76"/>
              <w:spacing w:after="0"/>
              <w:rPr>
                <w:sz w:val="20"/>
                <w:szCs w:val="20"/>
                <w:color w:val="auto"/>
              </w:rPr>
            </w:pPr>
            <w:r>
              <w:rPr>
                <w:rFonts w:ascii="Arial" w:cs="Arial" w:eastAsia="Arial" w:hAnsi="Arial"/>
                <w:sz w:val="17"/>
                <w:szCs w:val="17"/>
                <w:color w:val="auto"/>
              </w:rPr>
              <w:t>55,306</w:t>
            </w:r>
          </w:p>
        </w:tc>
        <w:tc>
          <w:tcPr>
            <w:tcW w:w="1260" w:type="dxa"/>
            <w:vAlign w:val="bottom"/>
            <w:shd w:val="clear" w:color="auto" w:fill="F4F3F3"/>
          </w:tcPr>
          <w:p>
            <w:pPr>
              <w:jc w:val="right"/>
              <w:spacing w:after="0"/>
              <w:rPr>
                <w:sz w:val="20"/>
                <w:szCs w:val="20"/>
                <w:color w:val="auto"/>
              </w:rPr>
            </w:pPr>
            <w:r>
              <w:rPr>
                <w:rFonts w:ascii="Arial" w:cs="Arial" w:eastAsia="Arial" w:hAnsi="Arial"/>
                <w:sz w:val="17"/>
                <w:szCs w:val="17"/>
                <w:color w:val="auto"/>
              </w:rPr>
              <w:t>33,053</w:t>
            </w:r>
          </w:p>
        </w:tc>
        <w:tc>
          <w:tcPr>
            <w:tcW w:w="1320" w:type="dxa"/>
            <w:vAlign w:val="bottom"/>
            <w:shd w:val="clear" w:color="auto" w:fill="F4F3F3"/>
          </w:tcPr>
          <w:p>
            <w:pPr>
              <w:jc w:val="right"/>
              <w:ind w:right="257"/>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F4F3F3"/>
          </w:tcPr>
          <w:p>
            <w:pPr>
              <w:jc w:val="right"/>
              <w:ind w:right="4"/>
              <w:spacing w:after="0"/>
              <w:rPr>
                <w:sz w:val="20"/>
                <w:szCs w:val="20"/>
                <w:color w:val="auto"/>
              </w:rPr>
            </w:pPr>
            <w:r>
              <w:rPr>
                <w:rFonts w:ascii="Arial" w:cs="Arial" w:eastAsia="Arial" w:hAnsi="Arial"/>
                <w:sz w:val="17"/>
                <w:szCs w:val="17"/>
                <w:color w:val="auto"/>
              </w:rPr>
              <w:t>935,122</w:t>
            </w:r>
          </w:p>
        </w:tc>
      </w:tr>
      <w:tr>
        <w:trPr>
          <w:trHeight w:val="353"/>
        </w:trPr>
        <w:tc>
          <w:tcPr>
            <w:tcW w:w="4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0" w:type="dxa"/>
            <w:vAlign w:val="bottom"/>
            <w:gridSpan w:val="2"/>
          </w:tcPr>
          <w:p>
            <w:pPr>
              <w:ind w:left="660"/>
              <w:spacing w:after="0"/>
              <w:rPr>
                <w:sz w:val="20"/>
                <w:szCs w:val="20"/>
                <w:color w:val="auto"/>
              </w:rPr>
            </w:pPr>
            <w:r>
              <w:rPr>
                <w:rFonts w:ascii="Arial" w:cs="Arial" w:eastAsia="Arial" w:hAnsi="Arial"/>
                <w:sz w:val="15"/>
                <w:szCs w:val="15"/>
                <w:color w:val="998C87"/>
              </w:rPr>
              <w:t>2018 Proxy Statement</w:t>
            </w:r>
          </w:p>
        </w:tc>
        <w:tc>
          <w:tcPr>
            <w:tcW w:w="300" w:type="dxa"/>
            <w:vAlign w:val="bottom"/>
          </w:tcPr>
          <w:p>
            <w:pPr>
              <w:jc w:val="right"/>
              <w:spacing w:after="0"/>
              <w:rPr>
                <w:sz w:val="20"/>
                <w:szCs w:val="20"/>
                <w:color w:val="auto"/>
              </w:rPr>
            </w:pPr>
            <w:r>
              <w:rPr>
                <w:rFonts w:ascii="Arial" w:cs="Arial" w:eastAsia="Arial" w:hAnsi="Arial"/>
                <w:sz w:val="15"/>
                <w:szCs w:val="15"/>
                <w:b w:val="1"/>
                <w:bCs w:val="1"/>
                <w:color w:val="7F7F7F"/>
              </w:rPr>
              <w:t>53</w:t>
            </w:r>
          </w:p>
        </w:tc>
      </w:tr>
    </w:tbl>
    <w:p>
      <w:pPr>
        <w:sectPr>
          <w:pgSz w:w="11900" w:h="16838" w:orient="portrait"/>
          <w:cols w:equalWidth="0" w:num="1">
            <w:col w:w="11220"/>
          </w:cols>
          <w:pgMar w:left="240" w:top="455" w:right="4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36" w:lineRule="exact"/>
        <w:rPr>
          <w:sz w:val="20"/>
          <w:szCs w:val="20"/>
          <w:color w:val="auto"/>
        </w:rPr>
      </w:pPr>
    </w:p>
    <w:p>
      <w:pPr>
        <w:ind w:left="420" w:right="60" w:hanging="210"/>
        <w:spacing w:after="0" w:line="207" w:lineRule="auto"/>
        <w:tabs>
          <w:tab w:leader="none" w:pos="420" w:val="left"/>
        </w:tabs>
        <w:numPr>
          <w:ilvl w:val="0"/>
          <w:numId w:val="116"/>
        </w:numPr>
        <w:rPr>
          <w:rFonts w:ascii="Arial" w:cs="Arial" w:eastAsia="Arial" w:hAnsi="Arial"/>
          <w:sz w:val="24"/>
          <w:szCs w:val="24"/>
          <w:color w:val="333333"/>
          <w:vertAlign w:val="superscript"/>
        </w:rPr>
      </w:pPr>
      <w:r>
        <w:rPr>
          <w:rFonts w:ascii="Arial" w:cs="Arial" w:eastAsia="Arial" w:hAnsi="Arial"/>
          <w:sz w:val="14"/>
          <w:szCs w:val="14"/>
          <w:color w:val="333333"/>
        </w:rPr>
        <w:t>The amounts in this column consist of elective deferrals by the NEOs of salary for the 2017 fiscal year and non-equity incentive plan compensation for 2016 (otherwise payable in 2017) under the EDC. The following table indicates the portion of each executive’s elective contributions that was attributable to 2017 salary that is reported in the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143510</wp:posOffset>
            </wp:positionV>
            <wp:extent cx="6424295" cy="11563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424295" cy="1156335"/>
                    </a:xfrm>
                    <a:prstGeom prst="rect">
                      <a:avLst/>
                    </a:prstGeom>
                    <a:noFill/>
                  </pic:spPr>
                </pic:pic>
              </a:graphicData>
            </a:graphic>
          </wp:anchor>
        </w:drawing>
      </w:r>
    </w:p>
    <w:p>
      <w:pPr>
        <w:spacing w:after="0" w:line="192"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7680" w:type="dxa"/>
            <w:vAlign w:val="bottom"/>
            <w:shd w:val="clear" w:color="auto" w:fill="998C87"/>
          </w:tcPr>
          <w:p>
            <w:pPr>
              <w:spacing w:after="0"/>
              <w:rPr>
                <w:sz w:val="14"/>
                <w:szCs w:val="14"/>
                <w:color w:val="auto"/>
              </w:rPr>
            </w:pPr>
          </w:p>
        </w:tc>
        <w:tc>
          <w:tcPr>
            <w:tcW w:w="2440" w:type="dxa"/>
            <w:vAlign w:val="bottom"/>
            <w:shd w:val="clear" w:color="auto" w:fill="998C87"/>
          </w:tcPr>
          <w:p>
            <w:pPr>
              <w:jc w:val="right"/>
              <w:ind w:right="228"/>
              <w:spacing w:after="0"/>
              <w:rPr>
                <w:sz w:val="20"/>
                <w:szCs w:val="20"/>
                <w:color w:val="auto"/>
              </w:rPr>
            </w:pPr>
            <w:r>
              <w:rPr>
                <w:rFonts w:ascii="Arial" w:cs="Arial" w:eastAsia="Arial" w:hAnsi="Arial"/>
                <w:sz w:val="14"/>
                <w:szCs w:val="14"/>
                <w:b w:val="1"/>
                <w:bCs w:val="1"/>
                <w:color w:val="FFFFFF"/>
              </w:rPr>
              <w:t>Amounts that Relate to the</w:t>
            </w:r>
          </w:p>
        </w:tc>
      </w:tr>
      <w:tr>
        <w:trPr>
          <w:trHeight w:val="204"/>
        </w:trPr>
        <w:tc>
          <w:tcPr>
            <w:tcW w:w="7680" w:type="dxa"/>
            <w:vAlign w:val="bottom"/>
            <w:shd w:val="clear" w:color="auto" w:fill="998C87"/>
          </w:tcPr>
          <w:p>
            <w:pPr>
              <w:ind w:left="180"/>
              <w:spacing w:after="0"/>
              <w:rPr>
                <w:sz w:val="20"/>
                <w:szCs w:val="20"/>
                <w:color w:val="auto"/>
              </w:rPr>
            </w:pPr>
            <w:r>
              <w:rPr>
                <w:rFonts w:ascii="Arial" w:cs="Arial" w:eastAsia="Arial" w:hAnsi="Arial"/>
                <w:sz w:val="14"/>
                <w:szCs w:val="14"/>
                <w:b w:val="1"/>
                <w:bCs w:val="1"/>
                <w:color w:val="FFFFFF"/>
              </w:rPr>
              <w:t>Name</w:t>
            </w:r>
          </w:p>
        </w:tc>
        <w:tc>
          <w:tcPr>
            <w:tcW w:w="2440" w:type="dxa"/>
            <w:vAlign w:val="bottom"/>
            <w:shd w:val="clear" w:color="auto" w:fill="998C87"/>
          </w:tcPr>
          <w:p>
            <w:pPr>
              <w:jc w:val="right"/>
              <w:ind w:right="268"/>
              <w:spacing w:after="0"/>
              <w:rPr>
                <w:sz w:val="20"/>
                <w:szCs w:val="20"/>
                <w:color w:val="auto"/>
              </w:rPr>
            </w:pPr>
            <w:r>
              <w:rPr>
                <w:rFonts w:ascii="Arial" w:cs="Arial" w:eastAsia="Arial" w:hAnsi="Arial"/>
                <w:sz w:val="14"/>
                <w:szCs w:val="14"/>
                <w:b w:val="1"/>
                <w:bCs w:val="1"/>
                <w:color w:val="FFFFFF"/>
              </w:rPr>
              <w:t>Contribution of Salary ($)</w:t>
            </w:r>
          </w:p>
        </w:tc>
      </w:tr>
      <w:tr>
        <w:trPr>
          <w:trHeight w:val="248"/>
        </w:trPr>
        <w:tc>
          <w:tcPr>
            <w:tcW w:w="7680" w:type="dxa"/>
            <w:vAlign w:val="bottom"/>
            <w:shd w:val="clear" w:color="auto" w:fill="F4F3F3"/>
          </w:tcPr>
          <w:p>
            <w:pPr>
              <w:ind w:left="180"/>
              <w:spacing w:after="0"/>
              <w:rPr>
                <w:sz w:val="20"/>
                <w:szCs w:val="20"/>
                <w:color w:val="auto"/>
              </w:rPr>
            </w:pPr>
            <w:r>
              <w:rPr>
                <w:rFonts w:ascii="Arial" w:cs="Arial" w:eastAsia="Arial" w:hAnsi="Arial"/>
                <w:sz w:val="14"/>
                <w:szCs w:val="14"/>
                <w:color w:val="998C87"/>
              </w:rPr>
              <w:t>Mr. Marriott</w:t>
            </w:r>
          </w:p>
        </w:tc>
        <w:tc>
          <w:tcPr>
            <w:tcW w:w="2440" w:type="dxa"/>
            <w:vAlign w:val="bottom"/>
            <w:shd w:val="clear" w:color="auto" w:fill="F4F3F3"/>
          </w:tcPr>
          <w:p>
            <w:pPr>
              <w:jc w:val="right"/>
              <w:ind w:right="288"/>
              <w:spacing w:after="0"/>
              <w:rPr>
                <w:sz w:val="20"/>
                <w:szCs w:val="20"/>
                <w:color w:val="auto"/>
              </w:rPr>
            </w:pPr>
            <w:r>
              <w:rPr>
                <w:rFonts w:ascii="Arial" w:cs="Arial" w:eastAsia="Arial" w:hAnsi="Arial"/>
                <w:sz w:val="14"/>
                <w:szCs w:val="14"/>
                <w:color w:val="auto"/>
              </w:rPr>
              <w:t>180,000</w:t>
            </w:r>
          </w:p>
        </w:tc>
      </w:tr>
      <w:tr>
        <w:trPr>
          <w:trHeight w:val="243"/>
        </w:trPr>
        <w:tc>
          <w:tcPr>
            <w:tcW w:w="7680" w:type="dxa"/>
            <w:vAlign w:val="bottom"/>
            <w:shd w:val="clear" w:color="auto" w:fill="F4F3F3"/>
          </w:tcPr>
          <w:p>
            <w:pPr>
              <w:ind w:left="180"/>
              <w:spacing w:after="0"/>
              <w:rPr>
                <w:sz w:val="20"/>
                <w:szCs w:val="20"/>
                <w:color w:val="auto"/>
              </w:rPr>
            </w:pPr>
            <w:r>
              <w:rPr>
                <w:rFonts w:ascii="Arial" w:cs="Arial" w:eastAsia="Arial" w:hAnsi="Arial"/>
                <w:sz w:val="14"/>
                <w:szCs w:val="14"/>
                <w:color w:val="998C87"/>
              </w:rPr>
              <w:t>Mr. Sorenson</w:t>
            </w:r>
          </w:p>
        </w:tc>
        <w:tc>
          <w:tcPr>
            <w:tcW w:w="2440" w:type="dxa"/>
            <w:vAlign w:val="bottom"/>
            <w:shd w:val="clear" w:color="auto" w:fill="F4F3F3"/>
          </w:tcPr>
          <w:p>
            <w:pPr>
              <w:jc w:val="right"/>
              <w:ind w:right="288"/>
              <w:spacing w:after="0"/>
              <w:rPr>
                <w:sz w:val="20"/>
                <w:szCs w:val="20"/>
                <w:color w:val="auto"/>
              </w:rPr>
            </w:pPr>
            <w:r>
              <w:rPr>
                <w:rFonts w:ascii="Arial" w:cs="Arial" w:eastAsia="Arial" w:hAnsi="Arial"/>
                <w:sz w:val="14"/>
                <w:szCs w:val="14"/>
                <w:color w:val="auto"/>
              </w:rPr>
              <w:t>78,000</w:t>
            </w:r>
          </w:p>
        </w:tc>
      </w:tr>
      <w:tr>
        <w:trPr>
          <w:trHeight w:val="243"/>
        </w:trPr>
        <w:tc>
          <w:tcPr>
            <w:tcW w:w="7680" w:type="dxa"/>
            <w:vAlign w:val="bottom"/>
            <w:shd w:val="clear" w:color="auto" w:fill="F4F3F3"/>
          </w:tcPr>
          <w:p>
            <w:pPr>
              <w:ind w:left="180"/>
              <w:spacing w:after="0"/>
              <w:rPr>
                <w:sz w:val="20"/>
                <w:szCs w:val="20"/>
                <w:color w:val="auto"/>
              </w:rPr>
            </w:pPr>
            <w:r>
              <w:rPr>
                <w:rFonts w:ascii="Arial" w:cs="Arial" w:eastAsia="Arial" w:hAnsi="Arial"/>
                <w:sz w:val="14"/>
                <w:szCs w:val="14"/>
                <w:color w:val="998C87"/>
              </w:rPr>
              <w:t>Mr. Capuano</w:t>
            </w:r>
          </w:p>
        </w:tc>
        <w:tc>
          <w:tcPr>
            <w:tcW w:w="2440" w:type="dxa"/>
            <w:vAlign w:val="bottom"/>
            <w:shd w:val="clear" w:color="auto" w:fill="F4F3F3"/>
          </w:tcPr>
          <w:p>
            <w:pPr>
              <w:jc w:val="right"/>
              <w:ind w:right="288"/>
              <w:spacing w:after="0"/>
              <w:rPr>
                <w:sz w:val="20"/>
                <w:szCs w:val="20"/>
                <w:color w:val="auto"/>
              </w:rPr>
            </w:pPr>
            <w:r>
              <w:rPr>
                <w:rFonts w:ascii="Arial" w:cs="Arial" w:eastAsia="Arial" w:hAnsi="Arial"/>
                <w:sz w:val="14"/>
                <w:szCs w:val="14"/>
                <w:color w:val="auto"/>
              </w:rPr>
              <w:t>24,000</w:t>
            </w:r>
          </w:p>
        </w:tc>
      </w:tr>
      <w:tr>
        <w:trPr>
          <w:trHeight w:val="243"/>
        </w:trPr>
        <w:tc>
          <w:tcPr>
            <w:tcW w:w="7680" w:type="dxa"/>
            <w:vAlign w:val="bottom"/>
            <w:shd w:val="clear" w:color="auto" w:fill="F4F3F3"/>
          </w:tcPr>
          <w:p>
            <w:pPr>
              <w:ind w:left="180"/>
              <w:spacing w:after="0"/>
              <w:rPr>
                <w:sz w:val="20"/>
                <w:szCs w:val="20"/>
                <w:color w:val="auto"/>
              </w:rPr>
            </w:pPr>
            <w:r>
              <w:rPr>
                <w:rFonts w:ascii="Arial" w:cs="Arial" w:eastAsia="Arial" w:hAnsi="Arial"/>
                <w:sz w:val="14"/>
                <w:szCs w:val="14"/>
                <w:color w:val="998C87"/>
              </w:rPr>
              <w:t>Ms. Linnartz</w:t>
            </w:r>
          </w:p>
        </w:tc>
        <w:tc>
          <w:tcPr>
            <w:tcW w:w="2440" w:type="dxa"/>
            <w:vAlign w:val="bottom"/>
            <w:shd w:val="clear" w:color="auto" w:fill="F4F3F3"/>
          </w:tcPr>
          <w:p>
            <w:pPr>
              <w:jc w:val="right"/>
              <w:ind w:right="288"/>
              <w:spacing w:after="0"/>
              <w:rPr>
                <w:sz w:val="20"/>
                <w:szCs w:val="20"/>
                <w:color w:val="auto"/>
              </w:rPr>
            </w:pPr>
            <w:r>
              <w:rPr>
                <w:rFonts w:ascii="Arial" w:cs="Arial" w:eastAsia="Arial" w:hAnsi="Arial"/>
                <w:sz w:val="14"/>
                <w:szCs w:val="14"/>
                <w:color w:val="auto"/>
              </w:rPr>
              <w:t>47,999</w:t>
            </w:r>
          </w:p>
        </w:tc>
      </w:tr>
      <w:tr>
        <w:trPr>
          <w:trHeight w:val="243"/>
        </w:trPr>
        <w:tc>
          <w:tcPr>
            <w:tcW w:w="7680" w:type="dxa"/>
            <w:vAlign w:val="bottom"/>
            <w:shd w:val="clear" w:color="auto" w:fill="F4F3F3"/>
          </w:tcPr>
          <w:p>
            <w:pPr>
              <w:ind w:left="180"/>
              <w:spacing w:after="0"/>
              <w:rPr>
                <w:sz w:val="20"/>
                <w:szCs w:val="20"/>
                <w:color w:val="auto"/>
              </w:rPr>
            </w:pPr>
            <w:r>
              <w:rPr>
                <w:rFonts w:ascii="Arial" w:cs="Arial" w:eastAsia="Arial" w:hAnsi="Arial"/>
                <w:sz w:val="14"/>
                <w:szCs w:val="14"/>
                <w:color w:val="998C87"/>
              </w:rPr>
              <w:t>Mr. Grissen</w:t>
            </w:r>
          </w:p>
        </w:tc>
        <w:tc>
          <w:tcPr>
            <w:tcW w:w="2440" w:type="dxa"/>
            <w:vAlign w:val="bottom"/>
            <w:shd w:val="clear" w:color="auto" w:fill="F4F3F3"/>
          </w:tcPr>
          <w:p>
            <w:pPr>
              <w:jc w:val="right"/>
              <w:ind w:right="288"/>
              <w:spacing w:after="0"/>
              <w:rPr>
                <w:sz w:val="20"/>
                <w:szCs w:val="20"/>
                <w:color w:val="auto"/>
              </w:rPr>
            </w:pPr>
            <w:r>
              <w:rPr>
                <w:rFonts w:ascii="Arial" w:cs="Arial" w:eastAsia="Arial" w:hAnsi="Arial"/>
                <w:sz w:val="14"/>
                <w:szCs w:val="14"/>
                <w:color w:val="auto"/>
              </w:rPr>
              <w:t>80,000</w:t>
            </w:r>
          </w:p>
        </w:tc>
      </w:tr>
      <w:tr>
        <w:trPr>
          <w:trHeight w:val="237"/>
        </w:trPr>
        <w:tc>
          <w:tcPr>
            <w:tcW w:w="7680" w:type="dxa"/>
            <w:vAlign w:val="bottom"/>
            <w:shd w:val="clear" w:color="auto" w:fill="F4F3F3"/>
          </w:tcPr>
          <w:p>
            <w:pPr>
              <w:ind w:left="180"/>
              <w:spacing w:after="0"/>
              <w:rPr>
                <w:sz w:val="20"/>
                <w:szCs w:val="20"/>
                <w:color w:val="auto"/>
              </w:rPr>
            </w:pPr>
            <w:r>
              <w:rPr>
                <w:rFonts w:ascii="Arial" w:cs="Arial" w:eastAsia="Arial" w:hAnsi="Arial"/>
                <w:sz w:val="14"/>
                <w:szCs w:val="14"/>
                <w:color w:val="998C87"/>
              </w:rPr>
              <w:t>Ms. Oberg</w:t>
            </w:r>
          </w:p>
        </w:tc>
        <w:tc>
          <w:tcPr>
            <w:tcW w:w="2440" w:type="dxa"/>
            <w:vAlign w:val="bottom"/>
            <w:shd w:val="clear" w:color="auto" w:fill="F4F3F3"/>
          </w:tcPr>
          <w:p>
            <w:pPr>
              <w:jc w:val="right"/>
              <w:ind w:right="288"/>
              <w:spacing w:after="0"/>
              <w:rPr>
                <w:sz w:val="20"/>
                <w:szCs w:val="20"/>
                <w:color w:val="auto"/>
              </w:rPr>
            </w:pPr>
            <w:r>
              <w:rPr>
                <w:rFonts w:ascii="Arial" w:cs="Arial" w:eastAsia="Arial" w:hAnsi="Arial"/>
                <w:sz w:val="14"/>
                <w:szCs w:val="14"/>
                <w:color w:val="auto"/>
              </w:rPr>
              <w:t>52,500</w:t>
            </w:r>
          </w:p>
        </w:tc>
      </w:tr>
    </w:tbl>
    <w:p>
      <w:pPr>
        <w:spacing w:after="0" w:line="243" w:lineRule="exact"/>
        <w:rPr>
          <w:sz w:val="20"/>
          <w:szCs w:val="20"/>
          <w:color w:val="auto"/>
        </w:rPr>
      </w:pPr>
    </w:p>
    <w:p>
      <w:pPr>
        <w:ind w:left="420" w:hanging="210"/>
        <w:spacing w:after="0" w:line="207" w:lineRule="auto"/>
        <w:tabs>
          <w:tab w:leader="none" w:pos="420" w:val="left"/>
        </w:tabs>
        <w:numPr>
          <w:ilvl w:val="0"/>
          <w:numId w:val="117"/>
        </w:numPr>
        <w:rPr>
          <w:rFonts w:ascii="Arial" w:cs="Arial" w:eastAsia="Arial" w:hAnsi="Arial"/>
          <w:sz w:val="24"/>
          <w:szCs w:val="24"/>
          <w:color w:val="333333"/>
          <w:vertAlign w:val="superscript"/>
        </w:rPr>
      </w:pPr>
      <w:r>
        <w:rPr>
          <w:rFonts w:ascii="Arial" w:cs="Arial" w:eastAsia="Arial" w:hAnsi="Arial"/>
          <w:sz w:val="14"/>
          <w:szCs w:val="14"/>
          <w:color w:val="333333"/>
        </w:rPr>
        <w:t>The amounts in this column reflect aggregate notional earnings during 2017 of each NEO’s account in the EDC. Such earnings are reported in the Summary Compensation Table only to the extent that they were credited at a rate of interest in excess of 120% of the applicable federal long-term rate. The following table indicates the portion of each executive’s aggregate earnings during 2017 that is reported in the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143510</wp:posOffset>
            </wp:positionV>
            <wp:extent cx="6424295" cy="12592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424295" cy="1259205"/>
                    </a:xfrm>
                    <a:prstGeom prst="rect">
                      <a:avLst/>
                    </a:prstGeom>
                    <a:noFill/>
                  </pic:spPr>
                </pic:pic>
              </a:graphicData>
            </a:graphic>
          </wp:anchor>
        </w:drawing>
      </w:r>
    </w:p>
    <w:p>
      <w:pPr>
        <w:spacing w:after="0" w:line="192"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7780" w:type="dxa"/>
            <w:vAlign w:val="bottom"/>
            <w:shd w:val="clear" w:color="auto" w:fill="998C87"/>
          </w:tcPr>
          <w:p>
            <w:pPr>
              <w:spacing w:after="0"/>
              <w:rPr>
                <w:sz w:val="14"/>
                <w:szCs w:val="14"/>
                <w:color w:val="auto"/>
              </w:rPr>
            </w:pPr>
          </w:p>
        </w:tc>
        <w:tc>
          <w:tcPr>
            <w:tcW w:w="234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Amounts Included in the</w:t>
            </w:r>
          </w:p>
        </w:tc>
      </w:tr>
      <w:tr>
        <w:trPr>
          <w:trHeight w:val="162"/>
        </w:trPr>
        <w:tc>
          <w:tcPr>
            <w:tcW w:w="7780" w:type="dxa"/>
            <w:vAlign w:val="bottom"/>
            <w:shd w:val="clear" w:color="auto" w:fill="998C87"/>
          </w:tcPr>
          <w:p>
            <w:pPr>
              <w:spacing w:after="0"/>
              <w:rPr>
                <w:sz w:val="14"/>
                <w:szCs w:val="14"/>
                <w:color w:val="auto"/>
              </w:rPr>
            </w:pPr>
          </w:p>
        </w:tc>
        <w:tc>
          <w:tcPr>
            <w:tcW w:w="234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Summary Compensation</w:t>
            </w:r>
          </w:p>
        </w:tc>
      </w:tr>
      <w:tr>
        <w:trPr>
          <w:trHeight w:val="204"/>
        </w:trPr>
        <w:tc>
          <w:tcPr>
            <w:tcW w:w="7780" w:type="dxa"/>
            <w:vAlign w:val="bottom"/>
            <w:shd w:val="clear" w:color="auto" w:fill="998C87"/>
          </w:tcPr>
          <w:p>
            <w:pPr>
              <w:ind w:left="180"/>
              <w:spacing w:after="0"/>
              <w:rPr>
                <w:sz w:val="20"/>
                <w:szCs w:val="20"/>
                <w:color w:val="auto"/>
              </w:rPr>
            </w:pPr>
            <w:r>
              <w:rPr>
                <w:rFonts w:ascii="Arial" w:cs="Arial" w:eastAsia="Arial" w:hAnsi="Arial"/>
                <w:sz w:val="14"/>
                <w:szCs w:val="14"/>
                <w:b w:val="1"/>
                <w:bCs w:val="1"/>
                <w:color w:val="FFFFFF"/>
              </w:rPr>
              <w:t>Name</w:t>
            </w:r>
          </w:p>
        </w:tc>
        <w:tc>
          <w:tcPr>
            <w:tcW w:w="234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Table for 2017 ($)</w:t>
            </w:r>
          </w:p>
        </w:tc>
      </w:tr>
      <w:tr>
        <w:trPr>
          <w:trHeight w:val="248"/>
        </w:trPr>
        <w:tc>
          <w:tcPr>
            <w:tcW w:w="7780" w:type="dxa"/>
            <w:vAlign w:val="bottom"/>
            <w:shd w:val="clear" w:color="auto" w:fill="F4F3F3"/>
          </w:tcPr>
          <w:p>
            <w:pPr>
              <w:ind w:left="180"/>
              <w:spacing w:after="0"/>
              <w:rPr>
                <w:sz w:val="20"/>
                <w:szCs w:val="20"/>
                <w:color w:val="auto"/>
              </w:rPr>
            </w:pPr>
            <w:r>
              <w:rPr>
                <w:rFonts w:ascii="Arial" w:cs="Arial" w:eastAsia="Arial" w:hAnsi="Arial"/>
                <w:sz w:val="14"/>
                <w:szCs w:val="14"/>
                <w:color w:val="998C87"/>
              </w:rPr>
              <w:t>Mr. Marriott</w:t>
            </w:r>
          </w:p>
        </w:tc>
        <w:tc>
          <w:tcPr>
            <w:tcW w:w="2340" w:type="dxa"/>
            <w:vAlign w:val="bottom"/>
            <w:shd w:val="clear" w:color="auto" w:fill="F4F3F3"/>
          </w:tcPr>
          <w:p>
            <w:pPr>
              <w:jc w:val="right"/>
              <w:ind w:right="288"/>
              <w:spacing w:after="0"/>
              <w:rPr>
                <w:sz w:val="20"/>
                <w:szCs w:val="20"/>
                <w:color w:val="auto"/>
              </w:rPr>
            </w:pPr>
            <w:r>
              <w:rPr>
                <w:rFonts w:ascii="Arial" w:cs="Arial" w:eastAsia="Arial" w:hAnsi="Arial"/>
                <w:sz w:val="14"/>
                <w:szCs w:val="14"/>
                <w:color w:val="auto"/>
              </w:rPr>
              <w:t>214,007</w:t>
            </w:r>
          </w:p>
        </w:tc>
      </w:tr>
      <w:tr>
        <w:trPr>
          <w:trHeight w:val="243"/>
        </w:trPr>
        <w:tc>
          <w:tcPr>
            <w:tcW w:w="7780" w:type="dxa"/>
            <w:vAlign w:val="bottom"/>
            <w:shd w:val="clear" w:color="auto" w:fill="F4F3F3"/>
          </w:tcPr>
          <w:p>
            <w:pPr>
              <w:ind w:left="180"/>
              <w:spacing w:after="0"/>
              <w:rPr>
                <w:sz w:val="20"/>
                <w:szCs w:val="20"/>
                <w:color w:val="auto"/>
              </w:rPr>
            </w:pPr>
            <w:r>
              <w:rPr>
                <w:rFonts w:ascii="Arial" w:cs="Arial" w:eastAsia="Arial" w:hAnsi="Arial"/>
                <w:sz w:val="14"/>
                <w:szCs w:val="14"/>
                <w:color w:val="998C87"/>
              </w:rPr>
              <w:t>Mr. Sorenson</w:t>
            </w:r>
          </w:p>
        </w:tc>
        <w:tc>
          <w:tcPr>
            <w:tcW w:w="2340" w:type="dxa"/>
            <w:vAlign w:val="bottom"/>
            <w:shd w:val="clear" w:color="auto" w:fill="F4F3F3"/>
          </w:tcPr>
          <w:p>
            <w:pPr>
              <w:jc w:val="right"/>
              <w:ind w:right="288"/>
              <w:spacing w:after="0"/>
              <w:rPr>
                <w:sz w:val="20"/>
                <w:szCs w:val="20"/>
                <w:color w:val="auto"/>
              </w:rPr>
            </w:pPr>
            <w:r>
              <w:rPr>
                <w:rFonts w:ascii="Arial" w:cs="Arial" w:eastAsia="Arial" w:hAnsi="Arial"/>
                <w:sz w:val="14"/>
                <w:szCs w:val="14"/>
                <w:color w:val="auto"/>
              </w:rPr>
              <w:t>45,635</w:t>
            </w:r>
          </w:p>
        </w:tc>
      </w:tr>
      <w:tr>
        <w:trPr>
          <w:trHeight w:val="243"/>
        </w:trPr>
        <w:tc>
          <w:tcPr>
            <w:tcW w:w="7780" w:type="dxa"/>
            <w:vAlign w:val="bottom"/>
            <w:shd w:val="clear" w:color="auto" w:fill="F4F3F3"/>
          </w:tcPr>
          <w:p>
            <w:pPr>
              <w:ind w:left="180"/>
              <w:spacing w:after="0"/>
              <w:rPr>
                <w:sz w:val="20"/>
                <w:szCs w:val="20"/>
                <w:color w:val="auto"/>
              </w:rPr>
            </w:pPr>
            <w:r>
              <w:rPr>
                <w:rFonts w:ascii="Arial" w:cs="Arial" w:eastAsia="Arial" w:hAnsi="Arial"/>
                <w:sz w:val="14"/>
                <w:szCs w:val="14"/>
                <w:color w:val="998C87"/>
              </w:rPr>
              <w:t>Mr. Capuano</w:t>
            </w:r>
          </w:p>
        </w:tc>
        <w:tc>
          <w:tcPr>
            <w:tcW w:w="2340" w:type="dxa"/>
            <w:vAlign w:val="bottom"/>
            <w:shd w:val="clear" w:color="auto" w:fill="F4F3F3"/>
          </w:tcPr>
          <w:p>
            <w:pPr>
              <w:jc w:val="right"/>
              <w:ind w:right="288"/>
              <w:spacing w:after="0"/>
              <w:rPr>
                <w:sz w:val="20"/>
                <w:szCs w:val="20"/>
                <w:color w:val="auto"/>
              </w:rPr>
            </w:pPr>
            <w:r>
              <w:rPr>
                <w:rFonts w:ascii="Arial" w:cs="Arial" w:eastAsia="Arial" w:hAnsi="Arial"/>
                <w:sz w:val="14"/>
                <w:szCs w:val="14"/>
                <w:color w:val="auto"/>
              </w:rPr>
              <w:t>7,358</w:t>
            </w:r>
          </w:p>
        </w:tc>
      </w:tr>
      <w:tr>
        <w:trPr>
          <w:trHeight w:val="243"/>
        </w:trPr>
        <w:tc>
          <w:tcPr>
            <w:tcW w:w="7780" w:type="dxa"/>
            <w:vAlign w:val="bottom"/>
            <w:shd w:val="clear" w:color="auto" w:fill="F4F3F3"/>
          </w:tcPr>
          <w:p>
            <w:pPr>
              <w:ind w:left="180"/>
              <w:spacing w:after="0"/>
              <w:rPr>
                <w:sz w:val="20"/>
                <w:szCs w:val="20"/>
                <w:color w:val="auto"/>
              </w:rPr>
            </w:pPr>
            <w:r>
              <w:rPr>
                <w:rFonts w:ascii="Arial" w:cs="Arial" w:eastAsia="Arial" w:hAnsi="Arial"/>
                <w:sz w:val="14"/>
                <w:szCs w:val="14"/>
                <w:color w:val="998C87"/>
              </w:rPr>
              <w:t>Ms. Linnartz</w:t>
            </w:r>
          </w:p>
        </w:tc>
        <w:tc>
          <w:tcPr>
            <w:tcW w:w="2340" w:type="dxa"/>
            <w:vAlign w:val="bottom"/>
            <w:shd w:val="clear" w:color="auto" w:fill="F4F3F3"/>
          </w:tcPr>
          <w:p>
            <w:pPr>
              <w:jc w:val="right"/>
              <w:ind w:right="288"/>
              <w:spacing w:after="0"/>
              <w:rPr>
                <w:sz w:val="20"/>
                <w:szCs w:val="20"/>
                <w:color w:val="auto"/>
              </w:rPr>
            </w:pPr>
            <w:r>
              <w:rPr>
                <w:rFonts w:ascii="Arial" w:cs="Arial" w:eastAsia="Arial" w:hAnsi="Arial"/>
                <w:sz w:val="14"/>
                <w:szCs w:val="14"/>
                <w:color w:val="auto"/>
              </w:rPr>
              <w:t>226</w:t>
            </w:r>
          </w:p>
        </w:tc>
      </w:tr>
      <w:tr>
        <w:trPr>
          <w:trHeight w:val="243"/>
        </w:trPr>
        <w:tc>
          <w:tcPr>
            <w:tcW w:w="7780" w:type="dxa"/>
            <w:vAlign w:val="bottom"/>
            <w:shd w:val="clear" w:color="auto" w:fill="F4F3F3"/>
          </w:tcPr>
          <w:p>
            <w:pPr>
              <w:ind w:left="180"/>
              <w:spacing w:after="0"/>
              <w:rPr>
                <w:sz w:val="20"/>
                <w:szCs w:val="20"/>
                <w:color w:val="auto"/>
              </w:rPr>
            </w:pPr>
            <w:r>
              <w:rPr>
                <w:rFonts w:ascii="Arial" w:cs="Arial" w:eastAsia="Arial" w:hAnsi="Arial"/>
                <w:sz w:val="14"/>
                <w:szCs w:val="14"/>
                <w:color w:val="998C87"/>
              </w:rPr>
              <w:t>Mr. Grissen</w:t>
            </w:r>
          </w:p>
        </w:tc>
        <w:tc>
          <w:tcPr>
            <w:tcW w:w="2340" w:type="dxa"/>
            <w:vAlign w:val="bottom"/>
            <w:shd w:val="clear" w:color="auto" w:fill="F4F3F3"/>
          </w:tcPr>
          <w:p>
            <w:pPr>
              <w:jc w:val="right"/>
              <w:ind w:right="288"/>
              <w:spacing w:after="0"/>
              <w:rPr>
                <w:sz w:val="20"/>
                <w:szCs w:val="20"/>
                <w:color w:val="auto"/>
              </w:rPr>
            </w:pPr>
            <w:r>
              <w:rPr>
                <w:rFonts w:ascii="Arial" w:cs="Arial" w:eastAsia="Arial" w:hAnsi="Arial"/>
                <w:sz w:val="14"/>
                <w:szCs w:val="14"/>
                <w:color w:val="auto"/>
              </w:rPr>
              <w:t>49,398</w:t>
            </w:r>
          </w:p>
        </w:tc>
      </w:tr>
      <w:tr>
        <w:trPr>
          <w:trHeight w:val="237"/>
        </w:trPr>
        <w:tc>
          <w:tcPr>
            <w:tcW w:w="7780" w:type="dxa"/>
            <w:vAlign w:val="bottom"/>
            <w:shd w:val="clear" w:color="auto" w:fill="F4F3F3"/>
          </w:tcPr>
          <w:p>
            <w:pPr>
              <w:ind w:left="180"/>
              <w:spacing w:after="0"/>
              <w:rPr>
                <w:sz w:val="20"/>
                <w:szCs w:val="20"/>
                <w:color w:val="auto"/>
              </w:rPr>
            </w:pPr>
            <w:r>
              <w:rPr>
                <w:rFonts w:ascii="Arial" w:cs="Arial" w:eastAsia="Arial" w:hAnsi="Arial"/>
                <w:sz w:val="14"/>
                <w:szCs w:val="14"/>
                <w:color w:val="998C87"/>
              </w:rPr>
              <w:t>Ms. Oberg</w:t>
            </w:r>
          </w:p>
        </w:tc>
        <w:tc>
          <w:tcPr>
            <w:tcW w:w="2340" w:type="dxa"/>
            <w:vAlign w:val="bottom"/>
            <w:shd w:val="clear" w:color="auto" w:fill="F4F3F3"/>
          </w:tcPr>
          <w:p>
            <w:pPr>
              <w:jc w:val="right"/>
              <w:ind w:right="288"/>
              <w:spacing w:after="0"/>
              <w:rPr>
                <w:sz w:val="20"/>
                <w:szCs w:val="20"/>
                <w:color w:val="auto"/>
              </w:rPr>
            </w:pPr>
            <w:r>
              <w:rPr>
                <w:rFonts w:ascii="Arial" w:cs="Arial" w:eastAsia="Arial" w:hAnsi="Arial"/>
                <w:sz w:val="14"/>
                <w:szCs w:val="14"/>
                <w:color w:val="auto"/>
              </w:rPr>
              <w:t>7,141</w:t>
            </w:r>
          </w:p>
        </w:tc>
      </w:tr>
    </w:tbl>
    <w:p>
      <w:pPr>
        <w:spacing w:after="0" w:line="122" w:lineRule="exact"/>
        <w:rPr>
          <w:sz w:val="20"/>
          <w:szCs w:val="20"/>
          <w:color w:val="auto"/>
        </w:rPr>
      </w:pPr>
    </w:p>
    <w:p>
      <w:pPr>
        <w:ind w:left="420" w:right="260" w:hanging="210"/>
        <w:spacing w:after="0" w:line="207" w:lineRule="auto"/>
        <w:tabs>
          <w:tab w:leader="none" w:pos="420" w:val="left"/>
        </w:tabs>
        <w:numPr>
          <w:ilvl w:val="0"/>
          <w:numId w:val="118"/>
        </w:numPr>
        <w:rPr>
          <w:rFonts w:ascii="Arial" w:cs="Arial" w:eastAsia="Arial" w:hAnsi="Arial"/>
          <w:sz w:val="24"/>
          <w:szCs w:val="24"/>
          <w:color w:val="333333"/>
          <w:vertAlign w:val="superscript"/>
        </w:rPr>
      </w:pPr>
      <w:r>
        <w:rPr>
          <w:rFonts w:ascii="Arial" w:cs="Arial" w:eastAsia="Arial" w:hAnsi="Arial"/>
          <w:sz w:val="14"/>
          <w:szCs w:val="14"/>
          <w:color w:val="333333"/>
        </w:rPr>
        <w:t>This column includes amounts in each NEO’s total EDC account balance as of the last day of the 2017 fiscal year. The following table presents the portion of the Aggregate Balance that was reported as compensation in the Summary Compensation Table in the Company’s prior-year proxy statements since we became a public company on March 27, 1998.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143510</wp:posOffset>
            </wp:positionV>
            <wp:extent cx="6424295" cy="12592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424295" cy="1259205"/>
                    </a:xfrm>
                    <a:prstGeom prst="rect">
                      <a:avLst/>
                    </a:prstGeom>
                    <a:noFill/>
                  </pic:spPr>
                </pic:pic>
              </a:graphicData>
            </a:graphic>
          </wp:anchor>
        </w:drawing>
      </w:r>
    </w:p>
    <w:p>
      <w:pPr>
        <w:spacing w:after="0" w:line="192"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7280" w:type="dxa"/>
            <w:vAlign w:val="bottom"/>
            <w:shd w:val="clear" w:color="auto" w:fill="998C87"/>
          </w:tcPr>
          <w:p>
            <w:pPr>
              <w:spacing w:after="0"/>
              <w:rPr>
                <w:sz w:val="14"/>
                <w:szCs w:val="14"/>
                <w:color w:val="auto"/>
              </w:rPr>
            </w:pPr>
          </w:p>
        </w:tc>
        <w:tc>
          <w:tcPr>
            <w:tcW w:w="284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Amounts that were Reported</w:t>
            </w:r>
          </w:p>
        </w:tc>
      </w:tr>
      <w:tr>
        <w:trPr>
          <w:trHeight w:val="162"/>
        </w:trPr>
        <w:tc>
          <w:tcPr>
            <w:tcW w:w="7280" w:type="dxa"/>
            <w:vAlign w:val="bottom"/>
            <w:shd w:val="clear" w:color="auto" w:fill="998C87"/>
          </w:tcPr>
          <w:p>
            <w:pPr>
              <w:spacing w:after="0"/>
              <w:rPr>
                <w:sz w:val="14"/>
                <w:szCs w:val="14"/>
                <w:color w:val="auto"/>
              </w:rPr>
            </w:pPr>
          </w:p>
        </w:tc>
        <w:tc>
          <w:tcPr>
            <w:tcW w:w="284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as Compensation in Prior Year</w:t>
            </w:r>
          </w:p>
        </w:tc>
      </w:tr>
      <w:tr>
        <w:trPr>
          <w:trHeight w:val="204"/>
        </w:trPr>
        <w:tc>
          <w:tcPr>
            <w:tcW w:w="7280" w:type="dxa"/>
            <w:vAlign w:val="bottom"/>
            <w:shd w:val="clear" w:color="auto" w:fill="998C87"/>
          </w:tcPr>
          <w:p>
            <w:pPr>
              <w:ind w:left="180"/>
              <w:spacing w:after="0"/>
              <w:rPr>
                <w:sz w:val="20"/>
                <w:szCs w:val="20"/>
                <w:color w:val="auto"/>
              </w:rPr>
            </w:pPr>
            <w:r>
              <w:rPr>
                <w:rFonts w:ascii="Arial" w:cs="Arial" w:eastAsia="Arial" w:hAnsi="Arial"/>
                <w:sz w:val="14"/>
                <w:szCs w:val="14"/>
                <w:b w:val="1"/>
                <w:bCs w:val="1"/>
                <w:color w:val="FFFFFF"/>
              </w:rPr>
              <w:t>Name</w:t>
            </w:r>
          </w:p>
        </w:tc>
        <w:tc>
          <w:tcPr>
            <w:tcW w:w="2840" w:type="dxa"/>
            <w:vAlign w:val="bottom"/>
            <w:shd w:val="clear" w:color="auto" w:fill="998C87"/>
          </w:tcPr>
          <w:p>
            <w:pPr>
              <w:jc w:val="center"/>
              <w:spacing w:after="0"/>
              <w:rPr>
                <w:sz w:val="20"/>
                <w:szCs w:val="20"/>
                <w:color w:val="auto"/>
              </w:rPr>
            </w:pPr>
            <w:r>
              <w:rPr>
                <w:rFonts w:ascii="Arial" w:cs="Arial" w:eastAsia="Arial" w:hAnsi="Arial"/>
                <w:sz w:val="14"/>
                <w:szCs w:val="14"/>
                <w:b w:val="1"/>
                <w:bCs w:val="1"/>
                <w:color w:val="FFFFFF"/>
              </w:rPr>
              <w:t>Proxy Statements ($)</w:t>
            </w:r>
          </w:p>
        </w:tc>
      </w:tr>
      <w:tr>
        <w:trPr>
          <w:trHeight w:val="248"/>
        </w:trPr>
        <w:tc>
          <w:tcPr>
            <w:tcW w:w="7280" w:type="dxa"/>
            <w:vAlign w:val="bottom"/>
            <w:shd w:val="clear" w:color="auto" w:fill="F4F3F3"/>
          </w:tcPr>
          <w:p>
            <w:pPr>
              <w:ind w:left="180"/>
              <w:spacing w:after="0"/>
              <w:rPr>
                <w:sz w:val="20"/>
                <w:szCs w:val="20"/>
                <w:color w:val="auto"/>
              </w:rPr>
            </w:pPr>
            <w:r>
              <w:rPr>
                <w:rFonts w:ascii="Arial" w:cs="Arial" w:eastAsia="Arial" w:hAnsi="Arial"/>
                <w:sz w:val="14"/>
                <w:szCs w:val="14"/>
                <w:color w:val="998C87"/>
              </w:rPr>
              <w:t>Mr. Marriott</w:t>
            </w:r>
          </w:p>
        </w:tc>
        <w:tc>
          <w:tcPr>
            <w:tcW w:w="2840" w:type="dxa"/>
            <w:vAlign w:val="bottom"/>
            <w:shd w:val="clear" w:color="auto" w:fill="F4F3F3"/>
          </w:tcPr>
          <w:p>
            <w:pPr>
              <w:jc w:val="right"/>
              <w:ind w:right="288"/>
              <w:spacing w:after="0"/>
              <w:rPr>
                <w:sz w:val="20"/>
                <w:szCs w:val="20"/>
                <w:color w:val="auto"/>
              </w:rPr>
            </w:pPr>
            <w:r>
              <w:rPr>
                <w:rFonts w:ascii="Arial" w:cs="Arial" w:eastAsia="Arial" w:hAnsi="Arial"/>
                <w:sz w:val="14"/>
                <w:szCs w:val="14"/>
                <w:color w:val="auto"/>
              </w:rPr>
              <w:t>13,739,635</w:t>
            </w:r>
          </w:p>
        </w:tc>
      </w:tr>
      <w:tr>
        <w:trPr>
          <w:trHeight w:val="243"/>
        </w:trPr>
        <w:tc>
          <w:tcPr>
            <w:tcW w:w="7280" w:type="dxa"/>
            <w:vAlign w:val="bottom"/>
            <w:shd w:val="clear" w:color="auto" w:fill="F4F3F3"/>
          </w:tcPr>
          <w:p>
            <w:pPr>
              <w:ind w:left="180"/>
              <w:spacing w:after="0"/>
              <w:rPr>
                <w:sz w:val="20"/>
                <w:szCs w:val="20"/>
                <w:color w:val="auto"/>
              </w:rPr>
            </w:pPr>
            <w:r>
              <w:rPr>
                <w:rFonts w:ascii="Arial" w:cs="Arial" w:eastAsia="Arial" w:hAnsi="Arial"/>
                <w:sz w:val="14"/>
                <w:szCs w:val="14"/>
                <w:color w:val="998C87"/>
              </w:rPr>
              <w:t>Mr. Sorenson</w:t>
            </w:r>
          </w:p>
        </w:tc>
        <w:tc>
          <w:tcPr>
            <w:tcW w:w="2840" w:type="dxa"/>
            <w:vAlign w:val="bottom"/>
            <w:shd w:val="clear" w:color="auto" w:fill="F4F3F3"/>
          </w:tcPr>
          <w:p>
            <w:pPr>
              <w:jc w:val="right"/>
              <w:ind w:right="288"/>
              <w:spacing w:after="0"/>
              <w:rPr>
                <w:sz w:val="20"/>
                <w:szCs w:val="20"/>
                <w:color w:val="auto"/>
              </w:rPr>
            </w:pPr>
            <w:r>
              <w:rPr>
                <w:rFonts w:ascii="Arial" w:cs="Arial" w:eastAsia="Arial" w:hAnsi="Arial"/>
                <w:sz w:val="14"/>
                <w:szCs w:val="14"/>
                <w:color w:val="auto"/>
              </w:rPr>
              <w:t>3,976,470</w:t>
            </w:r>
          </w:p>
        </w:tc>
      </w:tr>
      <w:tr>
        <w:trPr>
          <w:trHeight w:val="243"/>
        </w:trPr>
        <w:tc>
          <w:tcPr>
            <w:tcW w:w="7280" w:type="dxa"/>
            <w:vAlign w:val="bottom"/>
            <w:shd w:val="clear" w:color="auto" w:fill="F4F3F3"/>
          </w:tcPr>
          <w:p>
            <w:pPr>
              <w:ind w:left="180"/>
              <w:spacing w:after="0"/>
              <w:rPr>
                <w:sz w:val="20"/>
                <w:szCs w:val="20"/>
                <w:color w:val="auto"/>
              </w:rPr>
            </w:pPr>
            <w:r>
              <w:rPr>
                <w:rFonts w:ascii="Arial" w:cs="Arial" w:eastAsia="Arial" w:hAnsi="Arial"/>
                <w:sz w:val="14"/>
                <w:szCs w:val="14"/>
                <w:color w:val="998C87"/>
              </w:rPr>
              <w:t>Mr. Capuano</w:t>
            </w:r>
          </w:p>
        </w:tc>
        <w:tc>
          <w:tcPr>
            <w:tcW w:w="2840" w:type="dxa"/>
            <w:vAlign w:val="bottom"/>
            <w:shd w:val="clear" w:color="auto" w:fill="F4F3F3"/>
          </w:tcPr>
          <w:p>
            <w:pPr>
              <w:jc w:val="right"/>
              <w:ind w:right="288"/>
              <w:spacing w:after="0"/>
              <w:rPr>
                <w:sz w:val="20"/>
                <w:szCs w:val="20"/>
                <w:color w:val="auto"/>
              </w:rPr>
            </w:pPr>
            <w:r>
              <w:rPr>
                <w:rFonts w:ascii="Arial" w:cs="Arial" w:eastAsia="Arial" w:hAnsi="Arial"/>
                <w:sz w:val="14"/>
                <w:szCs w:val="14"/>
                <w:color w:val="auto"/>
              </w:rPr>
              <w:t>196,542</w:t>
            </w:r>
          </w:p>
        </w:tc>
      </w:tr>
      <w:tr>
        <w:trPr>
          <w:trHeight w:val="243"/>
        </w:trPr>
        <w:tc>
          <w:tcPr>
            <w:tcW w:w="7280" w:type="dxa"/>
            <w:vAlign w:val="bottom"/>
            <w:shd w:val="clear" w:color="auto" w:fill="F4F3F3"/>
          </w:tcPr>
          <w:p>
            <w:pPr>
              <w:ind w:left="180"/>
              <w:spacing w:after="0"/>
              <w:rPr>
                <w:sz w:val="20"/>
                <w:szCs w:val="20"/>
                <w:color w:val="auto"/>
              </w:rPr>
            </w:pPr>
            <w:r>
              <w:rPr>
                <w:rFonts w:ascii="Arial" w:cs="Arial" w:eastAsia="Arial" w:hAnsi="Arial"/>
                <w:sz w:val="14"/>
                <w:szCs w:val="14"/>
                <w:color w:val="998C87"/>
              </w:rPr>
              <w:t>Ms. Linnartz</w:t>
            </w:r>
          </w:p>
        </w:tc>
        <w:tc>
          <w:tcPr>
            <w:tcW w:w="2840" w:type="dxa"/>
            <w:vAlign w:val="bottom"/>
            <w:shd w:val="clear" w:color="auto" w:fill="F4F3F3"/>
          </w:tcPr>
          <w:p>
            <w:pPr>
              <w:jc w:val="right"/>
              <w:ind w:right="368"/>
              <w:spacing w:after="0"/>
              <w:rPr>
                <w:sz w:val="20"/>
                <w:szCs w:val="20"/>
                <w:color w:val="auto"/>
              </w:rPr>
            </w:pPr>
            <w:r>
              <w:rPr>
                <w:rFonts w:ascii="Arial" w:cs="Arial" w:eastAsia="Arial" w:hAnsi="Arial"/>
                <w:sz w:val="14"/>
                <w:szCs w:val="14"/>
                <w:color w:val="auto"/>
              </w:rPr>
              <w:t>—</w:t>
            </w:r>
          </w:p>
        </w:tc>
      </w:tr>
      <w:tr>
        <w:trPr>
          <w:trHeight w:val="243"/>
        </w:trPr>
        <w:tc>
          <w:tcPr>
            <w:tcW w:w="7280" w:type="dxa"/>
            <w:vAlign w:val="bottom"/>
            <w:shd w:val="clear" w:color="auto" w:fill="F4F3F3"/>
          </w:tcPr>
          <w:p>
            <w:pPr>
              <w:ind w:left="180"/>
              <w:spacing w:after="0"/>
              <w:rPr>
                <w:sz w:val="20"/>
                <w:szCs w:val="20"/>
                <w:color w:val="auto"/>
              </w:rPr>
            </w:pPr>
            <w:r>
              <w:rPr>
                <w:rFonts w:ascii="Arial" w:cs="Arial" w:eastAsia="Arial" w:hAnsi="Arial"/>
                <w:sz w:val="14"/>
                <w:szCs w:val="14"/>
                <w:color w:val="998C87"/>
              </w:rPr>
              <w:t>Mr. Grissen</w:t>
            </w:r>
          </w:p>
        </w:tc>
        <w:tc>
          <w:tcPr>
            <w:tcW w:w="2840" w:type="dxa"/>
            <w:vAlign w:val="bottom"/>
            <w:shd w:val="clear" w:color="auto" w:fill="F4F3F3"/>
          </w:tcPr>
          <w:p>
            <w:pPr>
              <w:jc w:val="right"/>
              <w:ind w:right="288"/>
              <w:spacing w:after="0"/>
              <w:rPr>
                <w:sz w:val="20"/>
                <w:szCs w:val="20"/>
                <w:color w:val="auto"/>
              </w:rPr>
            </w:pPr>
            <w:r>
              <w:rPr>
                <w:rFonts w:ascii="Arial" w:cs="Arial" w:eastAsia="Arial" w:hAnsi="Arial"/>
                <w:sz w:val="14"/>
                <w:szCs w:val="14"/>
                <w:color w:val="auto"/>
              </w:rPr>
              <w:t>1,810,260</w:t>
            </w:r>
          </w:p>
        </w:tc>
      </w:tr>
      <w:tr>
        <w:trPr>
          <w:trHeight w:val="237"/>
        </w:trPr>
        <w:tc>
          <w:tcPr>
            <w:tcW w:w="7280" w:type="dxa"/>
            <w:vAlign w:val="bottom"/>
            <w:shd w:val="clear" w:color="auto" w:fill="F4F3F3"/>
          </w:tcPr>
          <w:p>
            <w:pPr>
              <w:ind w:left="180"/>
              <w:spacing w:after="0"/>
              <w:rPr>
                <w:sz w:val="20"/>
                <w:szCs w:val="20"/>
                <w:color w:val="auto"/>
              </w:rPr>
            </w:pPr>
            <w:r>
              <w:rPr>
                <w:rFonts w:ascii="Arial" w:cs="Arial" w:eastAsia="Arial" w:hAnsi="Arial"/>
                <w:sz w:val="14"/>
                <w:szCs w:val="14"/>
                <w:color w:val="998C87"/>
              </w:rPr>
              <w:t>Ms. Oberg</w:t>
            </w:r>
          </w:p>
        </w:tc>
        <w:tc>
          <w:tcPr>
            <w:tcW w:w="2840" w:type="dxa"/>
            <w:vAlign w:val="bottom"/>
            <w:shd w:val="clear" w:color="auto" w:fill="F4F3F3"/>
          </w:tcPr>
          <w:p>
            <w:pPr>
              <w:jc w:val="right"/>
              <w:ind w:right="288"/>
              <w:spacing w:after="0"/>
              <w:rPr>
                <w:sz w:val="20"/>
                <w:szCs w:val="20"/>
                <w:color w:val="auto"/>
              </w:rPr>
            </w:pPr>
            <w:r>
              <w:rPr>
                <w:rFonts w:ascii="Arial" w:cs="Arial" w:eastAsia="Arial" w:hAnsi="Arial"/>
                <w:sz w:val="14"/>
                <w:szCs w:val="14"/>
                <w:color w:val="auto"/>
              </w:rPr>
              <w:t>213,250</w:t>
            </w:r>
          </w:p>
        </w:tc>
      </w:tr>
    </w:tbl>
    <w:p>
      <w:pPr>
        <w:spacing w:after="0" w:line="93" w:lineRule="exact"/>
        <w:rPr>
          <w:sz w:val="20"/>
          <w:szCs w:val="20"/>
          <w:color w:val="auto"/>
        </w:rPr>
      </w:pPr>
    </w:p>
    <w:p>
      <w:pPr>
        <w:jc w:val="both"/>
        <w:ind w:left="220" w:right="220"/>
        <w:spacing w:after="0" w:line="246" w:lineRule="auto"/>
        <w:rPr>
          <w:sz w:val="20"/>
          <w:szCs w:val="20"/>
          <w:color w:val="auto"/>
        </w:rPr>
      </w:pPr>
      <w:r>
        <w:rPr>
          <w:rFonts w:ascii="Arial" w:cs="Arial" w:eastAsia="Arial" w:hAnsi="Arial"/>
          <w:sz w:val="17"/>
          <w:szCs w:val="17"/>
          <w:color w:val="auto"/>
        </w:rPr>
        <w:t>Under the EDC, participants are eligible to defer the receipt of up to 80% of their salary, bonus, non-equity incentive plan compensation and/or commissions. Such amounts are immediately vested. In addition, the NEOs may receive a discretionary Company match which is vested when made. For 2017, the NEOs received a discretionary match which is described in the discussion of Nonqualified Deferred Compensation Plan in the CD&amp;A. No additional discretionary Company contribution was made for 2017.</w:t>
      </w:r>
    </w:p>
    <w:p>
      <w:pPr>
        <w:spacing w:after="0" w:line="62" w:lineRule="exact"/>
        <w:rPr>
          <w:sz w:val="20"/>
          <w:szCs w:val="20"/>
          <w:color w:val="auto"/>
        </w:rPr>
      </w:pPr>
    </w:p>
    <w:p>
      <w:pPr>
        <w:jc w:val="both"/>
        <w:ind w:left="220" w:right="200"/>
        <w:spacing w:after="0" w:line="246" w:lineRule="auto"/>
        <w:rPr>
          <w:sz w:val="20"/>
          <w:szCs w:val="20"/>
          <w:color w:val="auto"/>
        </w:rPr>
      </w:pPr>
      <w:r>
        <w:rPr>
          <w:rFonts w:ascii="Arial" w:cs="Arial" w:eastAsia="Arial" w:hAnsi="Arial"/>
          <w:sz w:val="17"/>
          <w:szCs w:val="17"/>
          <w:color w:val="auto"/>
        </w:rPr>
        <w:t>For 2017, the Company credited participant plan accounts with a rate of return determined by the Company. The rate of return was determined largely by reference to the Company’s estimated long-term cost of borrowing and was set at 4.0% for 2017. To the extent that this rate exceeds 120% of the applicable federal long-term rate, the excess is reported in the Change in Pension Value and Nonqualified Deferred Compensation Earnings column of the Summary Compensation Table.</w:t>
      </w:r>
    </w:p>
    <w:p>
      <w:pPr>
        <w:spacing w:after="0" w:line="107" w:lineRule="exact"/>
        <w:rPr>
          <w:sz w:val="20"/>
          <w:szCs w:val="20"/>
          <w:color w:val="auto"/>
        </w:rPr>
      </w:pPr>
    </w:p>
    <w:p>
      <w:pPr>
        <w:ind w:left="540" w:hanging="330"/>
        <w:spacing w:after="0"/>
        <w:tabs>
          <w:tab w:leader="none" w:pos="540" w:val="left"/>
        </w:tabs>
        <w:numPr>
          <w:ilvl w:val="0"/>
          <w:numId w:val="119"/>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00"/>
          </w:cols>
          <w:pgMar w:left="240" w:top="455" w:right="45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1" w:lineRule="exact"/>
        <w:rPr>
          <w:sz w:val="20"/>
          <w:szCs w:val="20"/>
          <w:color w:val="auto"/>
        </w:rPr>
      </w:pPr>
    </w:p>
    <w:p>
      <w:pPr>
        <w:ind w:left="220" w:right="40"/>
        <w:spacing w:after="0" w:line="236" w:lineRule="auto"/>
        <w:rPr>
          <w:sz w:val="20"/>
          <w:szCs w:val="20"/>
          <w:color w:val="auto"/>
        </w:rPr>
      </w:pPr>
      <w:r>
        <w:rPr>
          <w:rFonts w:ascii="Arial" w:cs="Arial" w:eastAsia="Arial" w:hAnsi="Arial"/>
          <w:sz w:val="17"/>
          <w:szCs w:val="17"/>
          <w:color w:val="auto"/>
        </w:rPr>
        <w:t>Executives may receive a distribution of the vested portion of their EDC accounts upon termination of employment or, in the case of deferrals by the executive and Company matching contributions (and related earnings), upon a specified future date while still employed (an “</w:t>
      </w:r>
      <w:r>
        <w:rPr>
          <w:rFonts w:ascii="Arial" w:cs="Arial" w:eastAsia="Arial" w:hAnsi="Arial"/>
          <w:sz w:val="17"/>
          <w:szCs w:val="17"/>
          <w:i w:val="1"/>
          <w:iCs w:val="1"/>
          <w:color w:val="auto"/>
        </w:rPr>
        <w:t>in-service</w:t>
      </w:r>
      <w:r>
        <w:rPr>
          <w:rFonts w:ascii="Arial" w:cs="Arial" w:eastAsia="Arial" w:hAnsi="Arial"/>
          <w:sz w:val="17"/>
          <w:szCs w:val="17"/>
          <w:color w:val="auto"/>
        </w:rPr>
        <w:t xml:space="preserve"> </w:t>
      </w:r>
      <w:r>
        <w:rPr>
          <w:rFonts w:ascii="Arial" w:cs="Arial" w:eastAsia="Arial" w:hAnsi="Arial"/>
          <w:sz w:val="17"/>
          <w:szCs w:val="17"/>
          <w:i w:val="1"/>
          <w:iCs w:val="1"/>
          <w:color w:val="auto"/>
        </w:rPr>
        <w:t>distribution</w:t>
      </w:r>
      <w:r>
        <w:rPr>
          <w:rFonts w:ascii="Arial" w:cs="Arial" w:eastAsia="Arial" w:hAnsi="Arial"/>
          <w:sz w:val="17"/>
          <w:szCs w:val="17"/>
          <w:color w:val="auto"/>
        </w:rPr>
        <w:t>”), as elected by the executive. Each year’s deferrals and Company match may have a separate distribution election. Distributions</w:t>
      </w:r>
      <w:r>
        <w:rPr>
          <w:rFonts w:ascii="Arial" w:cs="Arial" w:eastAsia="Arial" w:hAnsi="Arial"/>
          <w:sz w:val="17"/>
          <w:szCs w:val="17"/>
          <w:i w:val="1"/>
          <w:iCs w:val="1"/>
          <w:color w:val="auto"/>
        </w:rPr>
        <w:t xml:space="preserve"> </w:t>
      </w:r>
      <w:r>
        <w:rPr>
          <w:rFonts w:ascii="Arial" w:cs="Arial" w:eastAsia="Arial" w:hAnsi="Arial"/>
          <w:sz w:val="17"/>
          <w:szCs w:val="17"/>
          <w:color w:val="auto"/>
        </w:rPr>
        <w:t>payable upon termination of employment may be elected as (i) a lump sum cash payment; (ii) a series of annual cash installments payable over a designated term not to exceed twenty years; or (iii) five annual cash payments beginning on the sixth January following termination of employment. In-service distributions may be elected by the executive as a single lump sum cash payment or annual cash payments over a term of two to five years, in either case beginning not earlier than the third calendar year following the calendar year of the deferral. However, in the case of amounts of $10,000 or less, or when no election regarding the form of distribution is made, the distribution will be made in a lump sum. When the executive is a “specified employee” for purposes of Section 409A of the Internal Revenue Code, any distribution payable on account of termination of employment will not occur until after six months following termination of employment. Typically, the NEOs are specified employees.</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Potential Payments Upon Termination or Change in Control</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 does not have employment agreements or severance agreements with any of the NEOs.</w:t>
      </w:r>
    </w:p>
    <w:p>
      <w:pPr>
        <w:spacing w:after="0" w:line="101" w:lineRule="exact"/>
        <w:rPr>
          <w:sz w:val="20"/>
          <w:szCs w:val="20"/>
          <w:color w:val="auto"/>
        </w:rPr>
      </w:pPr>
    </w:p>
    <w:p>
      <w:pPr>
        <w:ind w:left="220" w:right="40"/>
        <w:spacing w:after="0" w:line="239" w:lineRule="auto"/>
        <w:rPr>
          <w:sz w:val="20"/>
          <w:szCs w:val="20"/>
          <w:color w:val="auto"/>
        </w:rPr>
      </w:pPr>
      <w:r>
        <w:rPr>
          <w:rFonts w:ascii="Arial" w:cs="Arial" w:eastAsia="Arial" w:hAnsi="Arial"/>
          <w:sz w:val="17"/>
          <w:szCs w:val="17"/>
          <w:color w:val="auto"/>
        </w:rPr>
        <w:t>Upon retirement or, except as discussed below, permanent disability (as defined in the pertinent plan), a NEO may continue to vest in and receive distributions under outstanding stock awards for the remainder of their vesting period; may exercise SARs for up to five years subject to the awards’ original terms; and immediately vests in the unvested portion of his or her EDC account. However, annual stock awards (except for Mr. Capuano’s separate RSU award described in the CD&amp;A) provide that if the executive retires within one year after the grant date, the executive forfeits a portion of the stock award proportional to the number of days remaining within that one-year period. In addition, the Stock Plan was amended on May 5, 2017 to provide that RSUs, SARs and other stock awards granted on or after February 21, 2017 will vest in full upon permanent disability (as defined in the amended plan), including at target performance level for PSUs.</w:t>
      </w:r>
    </w:p>
    <w:p>
      <w:pPr>
        <w:spacing w:after="0" w:line="67" w:lineRule="exact"/>
        <w:rPr>
          <w:sz w:val="20"/>
          <w:szCs w:val="20"/>
          <w:color w:val="auto"/>
        </w:rPr>
      </w:pPr>
    </w:p>
    <w:p>
      <w:pPr>
        <w:ind w:left="220" w:right="20"/>
        <w:spacing w:after="0" w:line="246" w:lineRule="auto"/>
        <w:rPr>
          <w:sz w:val="20"/>
          <w:szCs w:val="20"/>
          <w:color w:val="auto"/>
        </w:rPr>
      </w:pPr>
      <w:r>
        <w:rPr>
          <w:rFonts w:ascii="Arial" w:cs="Arial" w:eastAsia="Arial" w:hAnsi="Arial"/>
          <w:sz w:val="17"/>
          <w:szCs w:val="17"/>
          <w:color w:val="auto"/>
        </w:rPr>
        <w:t>Any cash incentive payments under the annual cash incentive program will be forfeited if an executive is not employed on the last day of the fiscal year, except that the annual cash incentive will be paid based on the target performance level, pro-rated based on the days worked during the year, upon death or disability, in addition to payment upon a NEO’s termination of employment in connection with or following a change in control as discussed below.</w:t>
      </w:r>
    </w:p>
    <w:p>
      <w:pPr>
        <w:spacing w:after="0" w:line="62" w:lineRule="exact"/>
        <w:rPr>
          <w:sz w:val="20"/>
          <w:szCs w:val="20"/>
          <w:color w:val="auto"/>
        </w:rPr>
      </w:pPr>
    </w:p>
    <w:p>
      <w:pPr>
        <w:ind w:left="220" w:right="20"/>
        <w:spacing w:after="0" w:line="237" w:lineRule="auto"/>
        <w:rPr>
          <w:sz w:val="20"/>
          <w:szCs w:val="20"/>
          <w:color w:val="auto"/>
        </w:rPr>
      </w:pPr>
      <w:r>
        <w:rPr>
          <w:rFonts w:ascii="Arial" w:cs="Arial" w:eastAsia="Arial" w:hAnsi="Arial"/>
          <w:sz w:val="17"/>
          <w:szCs w:val="17"/>
          <w:color w:val="auto"/>
        </w:rPr>
        <w:t>For these purposes, retirement means a termination of employment with retirement approval of the Committee by an executive who has attained age 55 with 10 years of service with the Company, or, for the EDC and for Stock Plan annual stock awards granted before 2006, has attained 20 years of service with the Company. In all cases, however, the Committee or its designee has the authority to revoke approved retiree status if an executive terminates employment for serious misconduct or is subsequently found to have engaged in competition with the Company or engaged in criminal conduct or other behavior that is actually or potentially harmful to the Company. A NEO who dies as an employee or while an approved retiree immediately vests in his or her EDC account, SARs and other stock awards. These provisions were developed based on an analysis of external market data. As of December 31, 2017, Messrs. Marriott, Sorenson and Grissen and Ms. Oberg met the age and service conditions for retirement eligibility. Mr. Capuano and Ms. Linnartz will meet those conditions if they remain employed until December 17, 2020 and March 28, 2023, respectively.</w:t>
      </w:r>
    </w:p>
    <w:p>
      <w:pPr>
        <w:spacing w:after="0" w:line="70" w:lineRule="exact"/>
        <w:rPr>
          <w:sz w:val="20"/>
          <w:szCs w:val="20"/>
          <w:color w:val="auto"/>
        </w:rPr>
      </w:pPr>
    </w:p>
    <w:p>
      <w:pPr>
        <w:ind w:left="220" w:right="60"/>
        <w:spacing w:after="0" w:line="239" w:lineRule="auto"/>
        <w:rPr>
          <w:sz w:val="20"/>
          <w:szCs w:val="20"/>
          <w:color w:val="auto"/>
        </w:rPr>
      </w:pPr>
      <w:r>
        <w:rPr>
          <w:rFonts w:ascii="Arial" w:cs="Arial" w:eastAsia="Arial" w:hAnsi="Arial"/>
          <w:sz w:val="17"/>
          <w:szCs w:val="17"/>
          <w:color w:val="auto"/>
        </w:rPr>
        <w:t>Under the Stock Plan, in the event of certain transactions involving a capital restructuring, reorganization or liquidation of the Company or similar event as defined in the plan, the Company or its successor may in its discretion provide substitute equity awards under the Stock Plan or, if no similar equity awards are available, an equivalent value as determined at that time will be credited to each NEO’s account in the EDC, provided that such action does not enlarge or diminish the value and rights under the awards. If the Company or its successor does not substitute equity awards or credit the EDC accounts, the Company or its successor will provide for the awards to be exercised, distributed, canceled or exchanged for value. The intrinsic values of the vested and unvested SARs and unvested stock awards as of the last day of the fiscal year are indicated for each NEO in the Outstanding Equity Awards at 2017 Fiscal Year-End table.</w:t>
      </w:r>
    </w:p>
    <w:p>
      <w:pPr>
        <w:spacing w:after="0" w:line="67" w:lineRule="exact"/>
        <w:rPr>
          <w:sz w:val="20"/>
          <w:szCs w:val="20"/>
          <w:color w:val="auto"/>
        </w:rPr>
      </w:pPr>
    </w:p>
    <w:p>
      <w:pPr>
        <w:ind w:left="220" w:right="220"/>
        <w:spacing w:after="0" w:line="246" w:lineRule="auto"/>
        <w:rPr>
          <w:sz w:val="20"/>
          <w:szCs w:val="20"/>
          <w:color w:val="auto"/>
        </w:rPr>
      </w:pPr>
      <w:r>
        <w:rPr>
          <w:rFonts w:ascii="Arial" w:cs="Arial" w:eastAsia="Arial" w:hAnsi="Arial"/>
          <w:sz w:val="17"/>
          <w:szCs w:val="17"/>
          <w:color w:val="auto"/>
        </w:rPr>
        <w:t>In addition, if any NEO’s employment is terminated by the Company other than for the executive’s misconduct or the executive resigns for good reason (as defined under the Stock Plan) beginning three months before and ending twelve months following a change in control (as defined under the Stock Plan) of the Company, the NEO will become fully vested in all unvested equity awards under the Stock Plan (including at the target performance level for PSUs). In those</w:t>
      </w:r>
    </w:p>
    <w:p>
      <w:pPr>
        <w:spacing w:after="0" w:line="107" w:lineRule="exact"/>
        <w:rPr>
          <w:sz w:val="20"/>
          <w:szCs w:val="20"/>
          <w:color w:val="auto"/>
        </w:rPr>
      </w:pPr>
    </w:p>
    <w:tbl>
      <w:tblPr>
        <w:tblLayout w:type="fixed"/>
        <w:tblInd w:w="9180" w:type="dxa"/>
        <w:tblCellMar>
          <w:top w:w="0" w:type="dxa"/>
          <w:left w:w="0" w:type="dxa"/>
          <w:bottom w:w="0" w:type="dxa"/>
          <w:right w:w="0" w:type="dxa"/>
        </w:tblCellMar>
      </w:tblPr>
      <w:tr>
        <w:trPr>
          <w:trHeight w:val="214"/>
        </w:trPr>
        <w:tc>
          <w:tcPr>
            <w:tcW w:w="1660" w:type="dxa"/>
            <w:vAlign w:val="bottom"/>
          </w:tcPr>
          <w:p>
            <w:pPr>
              <w:spacing w:after="0"/>
              <w:rPr>
                <w:sz w:val="20"/>
                <w:szCs w:val="20"/>
                <w:color w:val="auto"/>
              </w:rPr>
            </w:pPr>
            <w:r>
              <w:rPr>
                <w:rFonts w:ascii="Arial" w:cs="Arial" w:eastAsia="Arial" w:hAnsi="Arial"/>
                <w:sz w:val="15"/>
                <w:szCs w:val="15"/>
                <w:color w:val="998C87"/>
              </w:rPr>
              <w:t>2018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55</w:t>
            </w:r>
          </w:p>
        </w:tc>
      </w:tr>
    </w:tbl>
    <w:p>
      <w:pPr>
        <w:sectPr>
          <w:pgSz w:w="11900" w:h="16838" w:orient="portrait"/>
          <w:cols w:equalWidth="0" w:num="1">
            <w:col w:w="11220"/>
          </w:cols>
          <w:pgMar w:left="240" w:top="455" w:right="4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1" w:lineRule="exact"/>
        <w:rPr>
          <w:sz w:val="20"/>
          <w:szCs w:val="20"/>
          <w:color w:val="auto"/>
        </w:rPr>
      </w:pPr>
    </w:p>
    <w:p>
      <w:pPr>
        <w:ind w:left="220" w:right="60"/>
        <w:spacing w:after="0" w:line="236" w:lineRule="auto"/>
        <w:rPr>
          <w:sz w:val="20"/>
          <w:szCs w:val="20"/>
          <w:color w:val="auto"/>
        </w:rPr>
      </w:pPr>
      <w:r>
        <w:rPr>
          <w:rFonts w:ascii="Arial" w:cs="Arial" w:eastAsia="Arial" w:hAnsi="Arial"/>
          <w:sz w:val="17"/>
          <w:szCs w:val="17"/>
          <w:color w:val="auto"/>
        </w:rPr>
        <w:t>circumstances, all SARs will be exercisable until the earlier of the original expiration date of the awards or 12 months (or five years for an approved retiree) following the termination of employment, and all other stock awards shall be immediately distributed following the later of the termination of employment or the change in control event, except that certain stock awards subject to the requirements of Section 409A of the Internal Revenue Code may not be distributable for six months following termination of employment if the NEO is a “specified employee” under Section 409A, which is typical. In addition, any cash incentive payments under the annual cash incentive program will be made immediately based on the target performance level, pro-rated based on the days worked during the year until the NEO’s termination of employment in connection with or following a change in control, and any unvested EDC balances will immediately vest. Each of the NEOs was fully vested in their EDC accounts as of December 31, 2017. The Company does not provide any tax gross-ups on these benefits, but instead limits the benefits to avoid adverse tax consequences to the Company. Specifically, each of these benefits is subject to a cut-back, so that the benefit will not be provided to the extent it would result in the loss of a deduction or imposition of excise taxes under the “golden parachute” excess parachute payment provisions of the Internal Revenue Code.</w:t>
      </w:r>
    </w:p>
    <w:p>
      <w:pPr>
        <w:spacing w:after="0" w:line="71" w:lineRule="exact"/>
        <w:rPr>
          <w:sz w:val="20"/>
          <w:szCs w:val="20"/>
          <w:color w:val="auto"/>
        </w:rPr>
      </w:pPr>
    </w:p>
    <w:p>
      <w:pPr>
        <w:ind w:left="220" w:right="60"/>
        <w:spacing w:after="0" w:line="246" w:lineRule="auto"/>
        <w:rPr>
          <w:sz w:val="20"/>
          <w:szCs w:val="20"/>
          <w:color w:val="auto"/>
        </w:rPr>
      </w:pPr>
      <w:r>
        <w:rPr>
          <w:rFonts w:ascii="Arial" w:cs="Arial" w:eastAsia="Arial" w:hAnsi="Arial"/>
          <w:sz w:val="17"/>
          <w:szCs w:val="17"/>
          <w:color w:val="auto"/>
        </w:rPr>
        <w:t>The table below reflects the intrinsic value of unvested stock awards and cash incentive payments that each NEO would receive upon retirement, disability, death, or involuntary termination of employment in connection with a change in control as of December 31, 2017, the end of our fiscal-year (based on the Company’s closing stock price of $135.73 on December 29, 2017). Each of the NEOs was fully vested in their EDC accounts 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142875</wp:posOffset>
            </wp:positionV>
            <wp:extent cx="6989445" cy="191897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89445" cy="1918970"/>
                    </a:xfrm>
                    <a:prstGeom prst="rect">
                      <a:avLst/>
                    </a:prstGeom>
                    <a:noFill/>
                  </pic:spPr>
                </pic:pic>
              </a:graphicData>
            </a:graphic>
          </wp:anchor>
        </w:drawing>
      </w:r>
    </w:p>
    <w:p>
      <w:pPr>
        <w:spacing w:after="0" w:line="190"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4060" w:type="dxa"/>
            <w:vAlign w:val="bottom"/>
            <w:shd w:val="clear" w:color="auto" w:fill="998C87"/>
          </w:tcPr>
          <w:p>
            <w:pPr>
              <w:spacing w:after="0"/>
              <w:rPr>
                <w:sz w:val="16"/>
                <w:szCs w:val="16"/>
                <w:color w:val="auto"/>
              </w:rPr>
            </w:pPr>
          </w:p>
        </w:tc>
        <w:tc>
          <w:tcPr>
            <w:tcW w:w="1600" w:type="dxa"/>
            <w:vAlign w:val="bottom"/>
            <w:shd w:val="clear" w:color="auto" w:fill="998C87"/>
          </w:tcPr>
          <w:p>
            <w:pPr>
              <w:spacing w:after="0"/>
              <w:rPr>
                <w:sz w:val="16"/>
                <w:szCs w:val="16"/>
                <w:color w:val="auto"/>
              </w:rPr>
            </w:pPr>
          </w:p>
        </w:tc>
        <w:tc>
          <w:tcPr>
            <w:tcW w:w="1300" w:type="dxa"/>
            <w:vAlign w:val="bottom"/>
            <w:shd w:val="clear" w:color="auto" w:fill="998C87"/>
          </w:tcPr>
          <w:p>
            <w:pPr>
              <w:spacing w:after="0"/>
              <w:rPr>
                <w:sz w:val="16"/>
                <w:szCs w:val="16"/>
                <w:color w:val="auto"/>
              </w:rPr>
            </w:pPr>
          </w:p>
        </w:tc>
        <w:tc>
          <w:tcPr>
            <w:tcW w:w="1420" w:type="dxa"/>
            <w:vAlign w:val="bottom"/>
            <w:shd w:val="clear" w:color="auto" w:fill="998C87"/>
          </w:tcPr>
          <w:p>
            <w:pPr>
              <w:spacing w:after="0"/>
              <w:rPr>
                <w:sz w:val="16"/>
                <w:szCs w:val="16"/>
                <w:color w:val="auto"/>
              </w:rPr>
            </w:pPr>
          </w:p>
        </w:tc>
        <w:tc>
          <w:tcPr>
            <w:tcW w:w="1240" w:type="dxa"/>
            <w:vAlign w:val="bottom"/>
            <w:shd w:val="clear" w:color="auto" w:fill="998C87"/>
          </w:tcPr>
          <w:p>
            <w:pPr>
              <w:spacing w:after="0"/>
              <w:rPr>
                <w:sz w:val="16"/>
                <w:szCs w:val="16"/>
                <w:color w:val="auto"/>
              </w:rPr>
            </w:pPr>
          </w:p>
        </w:tc>
        <w:tc>
          <w:tcPr>
            <w:tcW w:w="1380" w:type="dxa"/>
            <w:vAlign w:val="bottom"/>
            <w:shd w:val="clear" w:color="auto" w:fill="998C87"/>
          </w:tcPr>
          <w:p>
            <w:pPr>
              <w:jc w:val="right"/>
              <w:ind w:right="196"/>
              <w:spacing w:after="0"/>
              <w:rPr>
                <w:sz w:val="20"/>
                <w:szCs w:val="20"/>
                <w:color w:val="auto"/>
              </w:rPr>
            </w:pPr>
            <w:r>
              <w:rPr>
                <w:rFonts w:ascii="Arial" w:cs="Arial" w:eastAsia="Arial" w:hAnsi="Arial"/>
                <w:sz w:val="16"/>
                <w:szCs w:val="16"/>
                <w:b w:val="1"/>
                <w:bCs w:val="1"/>
                <w:color w:val="FFFFFF"/>
              </w:rPr>
              <w:t>Change in</w:t>
            </w:r>
          </w:p>
        </w:tc>
      </w:tr>
      <w:tr>
        <w:trPr>
          <w:trHeight w:val="189"/>
        </w:trPr>
        <w:tc>
          <w:tcPr>
            <w:tcW w:w="4060" w:type="dxa"/>
            <w:vAlign w:val="bottom"/>
            <w:shd w:val="clear" w:color="auto" w:fill="998C87"/>
          </w:tcPr>
          <w:p>
            <w:pPr>
              <w:spacing w:after="0"/>
              <w:rPr>
                <w:sz w:val="16"/>
                <w:szCs w:val="16"/>
                <w:color w:val="auto"/>
              </w:rPr>
            </w:pPr>
          </w:p>
        </w:tc>
        <w:tc>
          <w:tcPr>
            <w:tcW w:w="1600" w:type="dxa"/>
            <w:vAlign w:val="bottom"/>
            <w:shd w:val="clear" w:color="auto" w:fill="998C87"/>
          </w:tcPr>
          <w:p>
            <w:pPr>
              <w:spacing w:after="0"/>
              <w:rPr>
                <w:sz w:val="16"/>
                <w:szCs w:val="16"/>
                <w:color w:val="auto"/>
              </w:rPr>
            </w:pPr>
          </w:p>
        </w:tc>
        <w:tc>
          <w:tcPr>
            <w:tcW w:w="1300" w:type="dxa"/>
            <w:vAlign w:val="bottom"/>
            <w:shd w:val="clear" w:color="auto" w:fill="998C87"/>
          </w:tcPr>
          <w:p>
            <w:pPr>
              <w:jc w:val="right"/>
              <w:ind w:right="135"/>
              <w:spacing w:after="0"/>
              <w:rPr>
                <w:sz w:val="20"/>
                <w:szCs w:val="20"/>
                <w:color w:val="auto"/>
              </w:rPr>
            </w:pPr>
            <w:r>
              <w:rPr>
                <w:rFonts w:ascii="Arial" w:cs="Arial" w:eastAsia="Arial" w:hAnsi="Arial"/>
                <w:sz w:val="16"/>
                <w:szCs w:val="16"/>
                <w:b w:val="1"/>
                <w:bCs w:val="1"/>
                <w:color w:val="FFFFFF"/>
              </w:rPr>
              <w:t>Retirement</w:t>
            </w:r>
          </w:p>
        </w:tc>
        <w:tc>
          <w:tcPr>
            <w:tcW w:w="1420" w:type="dxa"/>
            <w:vAlign w:val="bottom"/>
            <w:shd w:val="clear" w:color="auto" w:fill="998C87"/>
          </w:tcPr>
          <w:p>
            <w:pPr>
              <w:jc w:val="right"/>
              <w:ind w:right="295"/>
              <w:spacing w:after="0"/>
              <w:rPr>
                <w:sz w:val="20"/>
                <w:szCs w:val="20"/>
                <w:color w:val="auto"/>
              </w:rPr>
            </w:pPr>
            <w:r>
              <w:rPr>
                <w:rFonts w:ascii="Arial" w:cs="Arial" w:eastAsia="Arial" w:hAnsi="Arial"/>
                <w:sz w:val="16"/>
                <w:szCs w:val="16"/>
                <w:b w:val="1"/>
                <w:bCs w:val="1"/>
                <w:color w:val="FFFFFF"/>
              </w:rPr>
              <w:t>Disability</w:t>
            </w:r>
          </w:p>
        </w:tc>
        <w:tc>
          <w:tcPr>
            <w:tcW w:w="1240" w:type="dxa"/>
            <w:vAlign w:val="bottom"/>
            <w:shd w:val="clear" w:color="auto" w:fill="998C87"/>
          </w:tcPr>
          <w:p>
            <w:pPr>
              <w:spacing w:after="0"/>
              <w:rPr>
                <w:sz w:val="16"/>
                <w:szCs w:val="16"/>
                <w:color w:val="auto"/>
              </w:rPr>
            </w:pPr>
          </w:p>
        </w:tc>
        <w:tc>
          <w:tcPr>
            <w:tcW w:w="1380" w:type="dxa"/>
            <w:vAlign w:val="bottom"/>
            <w:shd w:val="clear" w:color="auto" w:fill="998C87"/>
          </w:tcPr>
          <w:p>
            <w:pPr>
              <w:jc w:val="right"/>
              <w:ind w:right="136"/>
              <w:spacing w:after="0"/>
              <w:rPr>
                <w:sz w:val="20"/>
                <w:szCs w:val="20"/>
                <w:color w:val="auto"/>
              </w:rPr>
            </w:pPr>
            <w:r>
              <w:rPr>
                <w:rFonts w:ascii="Arial" w:cs="Arial" w:eastAsia="Arial" w:hAnsi="Arial"/>
                <w:sz w:val="16"/>
                <w:szCs w:val="16"/>
                <w:b w:val="1"/>
                <w:bCs w:val="1"/>
                <w:color w:val="FFFFFF"/>
              </w:rPr>
              <w:t>Control and</w:t>
            </w:r>
          </w:p>
        </w:tc>
      </w:tr>
      <w:tr>
        <w:trPr>
          <w:trHeight w:val="236"/>
        </w:trPr>
        <w:tc>
          <w:tcPr>
            <w:tcW w:w="4060" w:type="dxa"/>
            <w:vAlign w:val="bottom"/>
            <w:shd w:val="clear" w:color="auto" w:fill="998C87"/>
          </w:tcPr>
          <w:p>
            <w:pPr>
              <w:ind w:left="160"/>
              <w:spacing w:after="0"/>
              <w:rPr>
                <w:sz w:val="20"/>
                <w:szCs w:val="20"/>
                <w:color w:val="auto"/>
              </w:rPr>
            </w:pPr>
            <w:r>
              <w:rPr>
                <w:rFonts w:ascii="Arial" w:cs="Arial" w:eastAsia="Arial" w:hAnsi="Arial"/>
                <w:sz w:val="16"/>
                <w:szCs w:val="16"/>
                <w:b w:val="1"/>
                <w:bCs w:val="1"/>
                <w:color w:val="FFFFFF"/>
              </w:rPr>
              <w:t>Name</w:t>
            </w:r>
          </w:p>
        </w:tc>
        <w:tc>
          <w:tcPr>
            <w:tcW w:w="1600" w:type="dxa"/>
            <w:vAlign w:val="bottom"/>
            <w:shd w:val="clear" w:color="auto" w:fill="998C87"/>
          </w:tcPr>
          <w:p>
            <w:pPr>
              <w:ind w:left="620"/>
              <w:spacing w:after="0"/>
              <w:rPr>
                <w:sz w:val="20"/>
                <w:szCs w:val="20"/>
                <w:color w:val="auto"/>
              </w:rPr>
            </w:pPr>
            <w:r>
              <w:rPr>
                <w:rFonts w:ascii="Arial" w:cs="Arial" w:eastAsia="Arial" w:hAnsi="Arial"/>
                <w:sz w:val="16"/>
                <w:szCs w:val="16"/>
                <w:b w:val="1"/>
                <w:bCs w:val="1"/>
                <w:color w:val="FFFFFF"/>
              </w:rPr>
              <w:t>Plan</w:t>
            </w:r>
          </w:p>
        </w:tc>
        <w:tc>
          <w:tcPr>
            <w:tcW w:w="1300" w:type="dxa"/>
            <w:vAlign w:val="bottom"/>
            <w:shd w:val="clear" w:color="auto" w:fill="998C87"/>
          </w:tcPr>
          <w:p>
            <w:pPr>
              <w:jc w:val="right"/>
              <w:ind w:right="355"/>
              <w:spacing w:after="0"/>
              <w:rPr>
                <w:sz w:val="20"/>
                <w:szCs w:val="20"/>
                <w:color w:val="auto"/>
              </w:rPr>
            </w:pPr>
            <w:r>
              <w:rPr>
                <w:rFonts w:ascii="Arial" w:cs="Arial" w:eastAsia="Arial" w:hAnsi="Arial"/>
                <w:sz w:val="16"/>
                <w:szCs w:val="16"/>
                <w:b w:val="1"/>
                <w:bCs w:val="1"/>
                <w:color w:val="FFFFFF"/>
              </w:rPr>
              <w:t>($)(1)</w:t>
            </w:r>
          </w:p>
        </w:tc>
        <w:tc>
          <w:tcPr>
            <w:tcW w:w="1420" w:type="dxa"/>
            <w:vAlign w:val="bottom"/>
            <w:shd w:val="clear" w:color="auto" w:fill="998C87"/>
          </w:tcPr>
          <w:p>
            <w:pPr>
              <w:jc w:val="right"/>
              <w:ind w:right="475"/>
              <w:spacing w:after="0"/>
              <w:rPr>
                <w:sz w:val="20"/>
                <w:szCs w:val="20"/>
                <w:color w:val="auto"/>
              </w:rPr>
            </w:pPr>
            <w:r>
              <w:rPr>
                <w:rFonts w:ascii="Arial" w:cs="Arial" w:eastAsia="Arial" w:hAnsi="Arial"/>
                <w:sz w:val="16"/>
                <w:szCs w:val="16"/>
                <w:b w:val="1"/>
                <w:bCs w:val="1"/>
                <w:color w:val="FFFFFF"/>
              </w:rPr>
              <w:t>($)(1)</w:t>
            </w:r>
          </w:p>
        </w:tc>
        <w:tc>
          <w:tcPr>
            <w:tcW w:w="1240" w:type="dxa"/>
            <w:vAlign w:val="bottom"/>
            <w:shd w:val="clear" w:color="auto" w:fill="998C87"/>
          </w:tcPr>
          <w:p>
            <w:pPr>
              <w:jc w:val="right"/>
              <w:ind w:right="215"/>
              <w:spacing w:after="0"/>
              <w:rPr>
                <w:sz w:val="20"/>
                <w:szCs w:val="20"/>
                <w:color w:val="auto"/>
              </w:rPr>
            </w:pPr>
            <w:r>
              <w:rPr>
                <w:rFonts w:ascii="Arial" w:cs="Arial" w:eastAsia="Arial" w:hAnsi="Arial"/>
                <w:sz w:val="16"/>
                <w:szCs w:val="16"/>
                <w:b w:val="1"/>
                <w:bCs w:val="1"/>
                <w:color w:val="FFFFFF"/>
              </w:rPr>
              <w:t>Death ($)</w:t>
            </w:r>
          </w:p>
        </w:tc>
        <w:tc>
          <w:tcPr>
            <w:tcW w:w="1380" w:type="dxa"/>
            <w:vAlign w:val="bottom"/>
            <w:shd w:val="clear" w:color="auto" w:fill="998C87"/>
          </w:tcPr>
          <w:p>
            <w:pPr>
              <w:jc w:val="right"/>
              <w:ind w:right="16"/>
              <w:spacing w:after="0"/>
              <w:rPr>
                <w:sz w:val="20"/>
                <w:szCs w:val="20"/>
                <w:color w:val="auto"/>
              </w:rPr>
            </w:pPr>
            <w:r>
              <w:rPr>
                <w:rFonts w:ascii="Arial" w:cs="Arial" w:eastAsia="Arial" w:hAnsi="Arial"/>
                <w:sz w:val="16"/>
                <w:szCs w:val="16"/>
                <w:b w:val="1"/>
                <w:bCs w:val="1"/>
                <w:color w:val="FFFFFF"/>
              </w:rPr>
              <w:t>Termination ($)</w:t>
            </w:r>
          </w:p>
        </w:tc>
      </w:tr>
      <w:tr>
        <w:trPr>
          <w:trHeight w:val="188"/>
        </w:trPr>
        <w:tc>
          <w:tcPr>
            <w:tcW w:w="4060" w:type="dxa"/>
            <w:vAlign w:val="bottom"/>
            <w:shd w:val="clear" w:color="auto" w:fill="F4F3F3"/>
          </w:tcPr>
          <w:p>
            <w:pPr>
              <w:ind w:left="160"/>
              <w:spacing w:after="0" w:line="188" w:lineRule="exact"/>
              <w:rPr>
                <w:sz w:val="20"/>
                <w:szCs w:val="20"/>
                <w:color w:val="auto"/>
              </w:rPr>
            </w:pPr>
            <w:r>
              <w:rPr>
                <w:rFonts w:ascii="Arial" w:cs="Arial" w:eastAsia="Arial" w:hAnsi="Arial"/>
                <w:sz w:val="17"/>
                <w:szCs w:val="17"/>
                <w:color w:val="998C87"/>
              </w:rPr>
              <w:t>Mr. Marriott</w:t>
            </w:r>
          </w:p>
        </w:tc>
        <w:tc>
          <w:tcPr>
            <w:tcW w:w="1600" w:type="dxa"/>
            <w:vAlign w:val="bottom"/>
            <w:shd w:val="clear" w:color="auto" w:fill="F4F3F3"/>
          </w:tcPr>
          <w:p>
            <w:pPr>
              <w:ind w:left="60"/>
              <w:spacing w:after="0" w:line="188" w:lineRule="exact"/>
              <w:rPr>
                <w:sz w:val="20"/>
                <w:szCs w:val="20"/>
                <w:color w:val="auto"/>
              </w:rPr>
            </w:pPr>
            <w:r>
              <w:rPr>
                <w:rFonts w:ascii="Arial" w:cs="Arial" w:eastAsia="Arial" w:hAnsi="Arial"/>
                <w:sz w:val="17"/>
                <w:szCs w:val="17"/>
                <w:color w:val="auto"/>
              </w:rPr>
              <w:t>Stock Plan</w:t>
            </w:r>
          </w:p>
        </w:tc>
        <w:tc>
          <w:tcPr>
            <w:tcW w:w="1300" w:type="dxa"/>
            <w:vAlign w:val="bottom"/>
            <w:shd w:val="clear" w:color="auto" w:fill="F4F3F3"/>
          </w:tcPr>
          <w:p>
            <w:pPr>
              <w:jc w:val="right"/>
              <w:ind w:right="175"/>
              <w:spacing w:after="0" w:line="188" w:lineRule="exact"/>
              <w:rPr>
                <w:sz w:val="20"/>
                <w:szCs w:val="20"/>
                <w:color w:val="auto"/>
              </w:rPr>
            </w:pPr>
            <w:r>
              <w:rPr>
                <w:rFonts w:ascii="Arial" w:cs="Arial" w:eastAsia="Arial" w:hAnsi="Arial"/>
                <w:sz w:val="17"/>
                <w:szCs w:val="17"/>
                <w:color w:val="auto"/>
              </w:rPr>
              <w:t>—</w:t>
            </w:r>
          </w:p>
        </w:tc>
        <w:tc>
          <w:tcPr>
            <w:tcW w:w="1420" w:type="dxa"/>
            <w:vAlign w:val="bottom"/>
            <w:shd w:val="clear" w:color="auto" w:fill="F4F3F3"/>
          </w:tcPr>
          <w:p>
            <w:pPr>
              <w:jc w:val="right"/>
              <w:ind w:right="275"/>
              <w:spacing w:after="0" w:line="188" w:lineRule="exact"/>
              <w:rPr>
                <w:sz w:val="20"/>
                <w:szCs w:val="20"/>
                <w:color w:val="auto"/>
              </w:rPr>
            </w:pPr>
            <w:r>
              <w:rPr>
                <w:rFonts w:ascii="Arial" w:cs="Arial" w:eastAsia="Arial" w:hAnsi="Arial"/>
                <w:sz w:val="17"/>
                <w:szCs w:val="17"/>
                <w:color w:val="auto"/>
              </w:rPr>
              <w:t>—</w:t>
            </w:r>
          </w:p>
        </w:tc>
        <w:tc>
          <w:tcPr>
            <w:tcW w:w="1240" w:type="dxa"/>
            <w:vAlign w:val="bottom"/>
            <w:shd w:val="clear" w:color="auto" w:fill="F4F3F3"/>
          </w:tcPr>
          <w:p>
            <w:pPr>
              <w:jc w:val="right"/>
              <w:ind w:right="155"/>
              <w:spacing w:after="0" w:line="188" w:lineRule="exact"/>
              <w:rPr>
                <w:sz w:val="20"/>
                <w:szCs w:val="20"/>
                <w:color w:val="auto"/>
              </w:rPr>
            </w:pPr>
            <w:r>
              <w:rPr>
                <w:rFonts w:ascii="Arial" w:cs="Arial" w:eastAsia="Arial" w:hAnsi="Arial"/>
                <w:sz w:val="17"/>
                <w:szCs w:val="17"/>
                <w:color w:val="auto"/>
              </w:rPr>
              <w:t>—</w:t>
            </w:r>
          </w:p>
        </w:tc>
        <w:tc>
          <w:tcPr>
            <w:tcW w:w="1380" w:type="dxa"/>
            <w:vAlign w:val="bottom"/>
            <w:shd w:val="clear" w:color="auto" w:fill="F4F3F3"/>
          </w:tcPr>
          <w:p>
            <w:pPr>
              <w:jc w:val="right"/>
              <w:ind w:right="196"/>
              <w:spacing w:after="0" w:line="188" w:lineRule="exact"/>
              <w:rPr>
                <w:sz w:val="20"/>
                <w:szCs w:val="20"/>
                <w:color w:val="auto"/>
              </w:rPr>
            </w:pPr>
            <w:r>
              <w:rPr>
                <w:rFonts w:ascii="Arial" w:cs="Arial" w:eastAsia="Arial" w:hAnsi="Arial"/>
                <w:sz w:val="17"/>
                <w:szCs w:val="17"/>
                <w:color w:val="auto"/>
              </w:rPr>
              <w:t>—</w:t>
            </w:r>
          </w:p>
        </w:tc>
      </w:tr>
      <w:tr>
        <w:trPr>
          <w:trHeight w:val="231"/>
        </w:trPr>
        <w:tc>
          <w:tcPr>
            <w:tcW w:w="4060" w:type="dxa"/>
            <w:vAlign w:val="bottom"/>
            <w:shd w:val="clear" w:color="auto" w:fill="F4F3F3"/>
          </w:tcPr>
          <w:p>
            <w:pPr>
              <w:spacing w:after="0"/>
              <w:rPr>
                <w:sz w:val="20"/>
                <w:szCs w:val="20"/>
                <w:color w:val="auto"/>
              </w:rPr>
            </w:pPr>
          </w:p>
        </w:tc>
        <w:tc>
          <w:tcPr>
            <w:tcW w:w="1600" w:type="dxa"/>
            <w:vAlign w:val="bottom"/>
            <w:shd w:val="clear" w:color="auto" w:fill="F4F3F3"/>
          </w:tcPr>
          <w:p>
            <w:pPr>
              <w:ind w:left="40"/>
              <w:spacing w:after="0"/>
              <w:rPr>
                <w:sz w:val="20"/>
                <w:szCs w:val="20"/>
                <w:color w:val="auto"/>
              </w:rPr>
            </w:pPr>
            <w:r>
              <w:rPr>
                <w:rFonts w:ascii="Arial" w:cs="Arial" w:eastAsia="Arial" w:hAnsi="Arial"/>
                <w:sz w:val="17"/>
                <w:szCs w:val="17"/>
                <w:color w:val="auto"/>
                <w:w w:val="99"/>
              </w:rPr>
              <w:t>Total Cash Incentive</w:t>
            </w:r>
          </w:p>
        </w:tc>
        <w:tc>
          <w:tcPr>
            <w:tcW w:w="1300" w:type="dxa"/>
            <w:vAlign w:val="bottom"/>
            <w:shd w:val="clear" w:color="auto" w:fill="F4F3F3"/>
          </w:tcPr>
          <w:p>
            <w:pPr>
              <w:jc w:val="right"/>
              <w:ind w:right="175"/>
              <w:spacing w:after="0"/>
              <w:rPr>
                <w:sz w:val="20"/>
                <w:szCs w:val="20"/>
                <w:color w:val="auto"/>
              </w:rPr>
            </w:pPr>
            <w:r>
              <w:rPr>
                <w:rFonts w:ascii="Arial" w:cs="Arial" w:eastAsia="Arial" w:hAnsi="Arial"/>
                <w:sz w:val="17"/>
                <w:szCs w:val="17"/>
                <w:color w:val="auto"/>
              </w:rPr>
              <w:t>—</w:t>
            </w:r>
          </w:p>
        </w:tc>
        <w:tc>
          <w:tcPr>
            <w:tcW w:w="1420" w:type="dxa"/>
            <w:vAlign w:val="bottom"/>
            <w:shd w:val="clear" w:color="auto" w:fill="F4F3F3"/>
          </w:tcPr>
          <w:p>
            <w:pPr>
              <w:jc w:val="right"/>
              <w:ind w:right="275"/>
              <w:spacing w:after="0"/>
              <w:rPr>
                <w:sz w:val="20"/>
                <w:szCs w:val="20"/>
                <w:color w:val="auto"/>
              </w:rPr>
            </w:pPr>
            <w:r>
              <w:rPr>
                <w:rFonts w:ascii="Arial" w:cs="Arial" w:eastAsia="Arial" w:hAnsi="Arial"/>
                <w:sz w:val="17"/>
                <w:szCs w:val="17"/>
                <w:color w:val="auto"/>
              </w:rPr>
              <w:t>—</w:t>
            </w:r>
          </w:p>
        </w:tc>
        <w:tc>
          <w:tcPr>
            <w:tcW w:w="1240" w:type="dxa"/>
            <w:vAlign w:val="bottom"/>
            <w:shd w:val="clear" w:color="auto" w:fill="F4F3F3"/>
          </w:tcPr>
          <w:p>
            <w:pPr>
              <w:jc w:val="right"/>
              <w:ind w:right="155"/>
              <w:spacing w:after="0"/>
              <w:rPr>
                <w:sz w:val="20"/>
                <w:szCs w:val="20"/>
                <w:color w:val="auto"/>
              </w:rPr>
            </w:pPr>
            <w:r>
              <w:rPr>
                <w:rFonts w:ascii="Arial" w:cs="Arial" w:eastAsia="Arial" w:hAnsi="Arial"/>
                <w:sz w:val="17"/>
                <w:szCs w:val="17"/>
                <w:color w:val="auto"/>
              </w:rPr>
              <w:t>—</w:t>
            </w:r>
          </w:p>
        </w:tc>
        <w:tc>
          <w:tcPr>
            <w:tcW w:w="1380" w:type="dxa"/>
            <w:vAlign w:val="bottom"/>
            <w:shd w:val="clear" w:color="auto" w:fill="F4F3F3"/>
          </w:tcPr>
          <w:p>
            <w:pPr>
              <w:jc w:val="right"/>
              <w:ind w:right="196"/>
              <w:spacing w:after="0"/>
              <w:rPr>
                <w:sz w:val="20"/>
                <w:szCs w:val="20"/>
                <w:color w:val="auto"/>
              </w:rPr>
            </w:pPr>
            <w:r>
              <w:rPr>
                <w:rFonts w:ascii="Arial" w:cs="Arial" w:eastAsia="Arial" w:hAnsi="Arial"/>
                <w:sz w:val="17"/>
                <w:szCs w:val="17"/>
                <w:color w:val="auto"/>
              </w:rPr>
              <w:t>—</w:t>
            </w:r>
          </w:p>
        </w:tc>
      </w:tr>
      <w:tr>
        <w:trPr>
          <w:trHeight w:val="174"/>
        </w:trPr>
        <w:tc>
          <w:tcPr>
            <w:tcW w:w="4060" w:type="dxa"/>
            <w:vAlign w:val="bottom"/>
            <w:shd w:val="clear" w:color="auto" w:fill="F4F3F3"/>
          </w:tcPr>
          <w:p>
            <w:pPr>
              <w:ind w:left="160"/>
              <w:spacing w:after="0" w:line="174" w:lineRule="exact"/>
              <w:rPr>
                <w:sz w:val="20"/>
                <w:szCs w:val="20"/>
                <w:color w:val="auto"/>
              </w:rPr>
            </w:pPr>
            <w:r>
              <w:rPr>
                <w:rFonts w:ascii="Arial" w:cs="Arial" w:eastAsia="Arial" w:hAnsi="Arial"/>
                <w:sz w:val="17"/>
                <w:szCs w:val="17"/>
                <w:color w:val="998C87"/>
              </w:rPr>
              <w:t>Mr. Sorenson</w:t>
            </w:r>
          </w:p>
        </w:tc>
        <w:tc>
          <w:tcPr>
            <w:tcW w:w="1600" w:type="dxa"/>
            <w:vAlign w:val="bottom"/>
            <w:shd w:val="clear" w:color="auto" w:fill="F4F3F3"/>
          </w:tcPr>
          <w:p>
            <w:pPr>
              <w:ind w:left="60"/>
              <w:spacing w:after="0" w:line="174" w:lineRule="exact"/>
              <w:rPr>
                <w:sz w:val="20"/>
                <w:szCs w:val="20"/>
                <w:color w:val="auto"/>
              </w:rPr>
            </w:pPr>
            <w:r>
              <w:rPr>
                <w:rFonts w:ascii="Arial" w:cs="Arial" w:eastAsia="Arial" w:hAnsi="Arial"/>
                <w:sz w:val="17"/>
                <w:szCs w:val="17"/>
                <w:color w:val="auto"/>
              </w:rPr>
              <w:t>Stock Plan</w:t>
            </w:r>
          </w:p>
        </w:tc>
        <w:tc>
          <w:tcPr>
            <w:tcW w:w="1300" w:type="dxa"/>
            <w:vAlign w:val="bottom"/>
            <w:shd w:val="clear" w:color="auto" w:fill="F4F3F3"/>
          </w:tcPr>
          <w:p>
            <w:pPr>
              <w:jc w:val="right"/>
              <w:ind w:right="95"/>
              <w:spacing w:after="0" w:line="174" w:lineRule="exact"/>
              <w:rPr>
                <w:sz w:val="20"/>
                <w:szCs w:val="20"/>
                <w:color w:val="auto"/>
              </w:rPr>
            </w:pPr>
            <w:r>
              <w:rPr>
                <w:rFonts w:ascii="Arial" w:cs="Arial" w:eastAsia="Arial" w:hAnsi="Arial"/>
                <w:sz w:val="17"/>
                <w:szCs w:val="17"/>
                <w:color w:val="auto"/>
              </w:rPr>
              <w:t>26,652,833</w:t>
            </w:r>
          </w:p>
        </w:tc>
        <w:tc>
          <w:tcPr>
            <w:tcW w:w="1420" w:type="dxa"/>
            <w:vAlign w:val="bottom"/>
            <w:shd w:val="clear" w:color="auto" w:fill="F4F3F3"/>
          </w:tcPr>
          <w:p>
            <w:pPr>
              <w:jc w:val="right"/>
              <w:ind w:right="175"/>
              <w:spacing w:after="0" w:line="174" w:lineRule="exact"/>
              <w:rPr>
                <w:sz w:val="20"/>
                <w:szCs w:val="20"/>
                <w:color w:val="auto"/>
              </w:rPr>
            </w:pPr>
            <w:r>
              <w:rPr>
                <w:rFonts w:ascii="Arial" w:cs="Arial" w:eastAsia="Arial" w:hAnsi="Arial"/>
                <w:sz w:val="17"/>
                <w:szCs w:val="17"/>
                <w:color w:val="auto"/>
              </w:rPr>
              <w:t>42,116,855</w:t>
            </w:r>
          </w:p>
        </w:tc>
        <w:tc>
          <w:tcPr>
            <w:tcW w:w="1240" w:type="dxa"/>
            <w:vAlign w:val="bottom"/>
            <w:shd w:val="clear" w:color="auto" w:fill="F4F3F3"/>
          </w:tcPr>
          <w:p>
            <w:pPr>
              <w:jc w:val="right"/>
              <w:ind w:right="55"/>
              <w:spacing w:after="0" w:line="174" w:lineRule="exact"/>
              <w:rPr>
                <w:sz w:val="20"/>
                <w:szCs w:val="20"/>
                <w:color w:val="auto"/>
              </w:rPr>
            </w:pPr>
            <w:r>
              <w:rPr>
                <w:rFonts w:ascii="Arial" w:cs="Arial" w:eastAsia="Arial" w:hAnsi="Arial"/>
                <w:sz w:val="17"/>
                <w:szCs w:val="17"/>
                <w:color w:val="auto"/>
              </w:rPr>
              <w:t>42,116,855</w:t>
            </w:r>
          </w:p>
        </w:tc>
        <w:tc>
          <w:tcPr>
            <w:tcW w:w="1380" w:type="dxa"/>
            <w:vAlign w:val="bottom"/>
            <w:shd w:val="clear" w:color="auto" w:fill="F4F3F3"/>
          </w:tcPr>
          <w:p>
            <w:pPr>
              <w:jc w:val="right"/>
              <w:ind w:right="96"/>
              <w:spacing w:after="0" w:line="174" w:lineRule="exact"/>
              <w:rPr>
                <w:sz w:val="20"/>
                <w:szCs w:val="20"/>
                <w:color w:val="auto"/>
              </w:rPr>
            </w:pPr>
            <w:r>
              <w:rPr>
                <w:rFonts w:ascii="Arial" w:cs="Arial" w:eastAsia="Arial" w:hAnsi="Arial"/>
                <w:sz w:val="17"/>
                <w:szCs w:val="17"/>
                <w:color w:val="auto"/>
              </w:rPr>
              <w:t>42,116,855</w:t>
            </w:r>
          </w:p>
        </w:tc>
      </w:tr>
      <w:tr>
        <w:trPr>
          <w:trHeight w:val="231"/>
        </w:trPr>
        <w:tc>
          <w:tcPr>
            <w:tcW w:w="4060" w:type="dxa"/>
            <w:vAlign w:val="bottom"/>
            <w:shd w:val="clear" w:color="auto" w:fill="F4F3F3"/>
          </w:tcPr>
          <w:p>
            <w:pPr>
              <w:spacing w:after="0"/>
              <w:rPr>
                <w:sz w:val="20"/>
                <w:szCs w:val="20"/>
                <w:color w:val="auto"/>
              </w:rPr>
            </w:pPr>
          </w:p>
        </w:tc>
        <w:tc>
          <w:tcPr>
            <w:tcW w:w="1600" w:type="dxa"/>
            <w:vAlign w:val="bottom"/>
            <w:shd w:val="clear" w:color="auto" w:fill="F4F3F3"/>
          </w:tcPr>
          <w:p>
            <w:pPr>
              <w:ind w:left="40"/>
              <w:spacing w:after="0"/>
              <w:rPr>
                <w:sz w:val="20"/>
                <w:szCs w:val="20"/>
                <w:color w:val="auto"/>
              </w:rPr>
            </w:pPr>
            <w:r>
              <w:rPr>
                <w:rFonts w:ascii="Arial" w:cs="Arial" w:eastAsia="Arial" w:hAnsi="Arial"/>
                <w:sz w:val="17"/>
                <w:szCs w:val="17"/>
                <w:color w:val="auto"/>
                <w:w w:val="99"/>
              </w:rPr>
              <w:t>Total Cash Incentive</w:t>
            </w:r>
          </w:p>
        </w:tc>
        <w:tc>
          <w:tcPr>
            <w:tcW w:w="1300" w:type="dxa"/>
            <w:vAlign w:val="bottom"/>
            <w:shd w:val="clear" w:color="auto" w:fill="F4F3F3"/>
          </w:tcPr>
          <w:p>
            <w:pPr>
              <w:jc w:val="right"/>
              <w:ind w:right="175"/>
              <w:spacing w:after="0"/>
              <w:rPr>
                <w:sz w:val="20"/>
                <w:szCs w:val="20"/>
                <w:color w:val="auto"/>
              </w:rPr>
            </w:pPr>
            <w:r>
              <w:rPr>
                <w:rFonts w:ascii="Arial" w:cs="Arial" w:eastAsia="Arial" w:hAnsi="Arial"/>
                <w:sz w:val="17"/>
                <w:szCs w:val="17"/>
                <w:color w:val="auto"/>
              </w:rPr>
              <w:t>—</w:t>
            </w:r>
          </w:p>
        </w:tc>
        <w:tc>
          <w:tcPr>
            <w:tcW w:w="1420" w:type="dxa"/>
            <w:vAlign w:val="bottom"/>
            <w:shd w:val="clear" w:color="auto" w:fill="F4F3F3"/>
          </w:tcPr>
          <w:p>
            <w:pPr>
              <w:jc w:val="right"/>
              <w:ind w:right="175"/>
              <w:spacing w:after="0"/>
              <w:rPr>
                <w:sz w:val="20"/>
                <w:szCs w:val="20"/>
                <w:color w:val="auto"/>
              </w:rPr>
            </w:pPr>
            <w:r>
              <w:rPr>
                <w:rFonts w:ascii="Arial" w:cs="Arial" w:eastAsia="Arial" w:hAnsi="Arial"/>
                <w:sz w:val="17"/>
                <w:szCs w:val="17"/>
                <w:color w:val="auto"/>
              </w:rPr>
              <w:t>1,950,000</w:t>
            </w:r>
          </w:p>
        </w:tc>
        <w:tc>
          <w:tcPr>
            <w:tcW w:w="1240" w:type="dxa"/>
            <w:vAlign w:val="bottom"/>
            <w:shd w:val="clear" w:color="auto" w:fill="F4F3F3"/>
          </w:tcPr>
          <w:p>
            <w:pPr>
              <w:jc w:val="right"/>
              <w:ind w:right="55"/>
              <w:spacing w:after="0"/>
              <w:rPr>
                <w:sz w:val="20"/>
                <w:szCs w:val="20"/>
                <w:color w:val="auto"/>
              </w:rPr>
            </w:pPr>
            <w:r>
              <w:rPr>
                <w:rFonts w:ascii="Arial" w:cs="Arial" w:eastAsia="Arial" w:hAnsi="Arial"/>
                <w:sz w:val="17"/>
                <w:szCs w:val="17"/>
                <w:color w:val="auto"/>
              </w:rPr>
              <w:t>1,950,000</w:t>
            </w:r>
          </w:p>
        </w:tc>
        <w:tc>
          <w:tcPr>
            <w:tcW w:w="138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1,950,000</w:t>
            </w:r>
          </w:p>
        </w:tc>
      </w:tr>
      <w:tr>
        <w:trPr>
          <w:trHeight w:val="174"/>
        </w:trPr>
        <w:tc>
          <w:tcPr>
            <w:tcW w:w="4060" w:type="dxa"/>
            <w:vAlign w:val="bottom"/>
            <w:shd w:val="clear" w:color="auto" w:fill="F4F3F3"/>
          </w:tcPr>
          <w:p>
            <w:pPr>
              <w:ind w:left="160"/>
              <w:spacing w:after="0" w:line="174" w:lineRule="exact"/>
              <w:rPr>
                <w:sz w:val="20"/>
                <w:szCs w:val="20"/>
                <w:color w:val="auto"/>
              </w:rPr>
            </w:pPr>
            <w:r>
              <w:rPr>
                <w:rFonts w:ascii="Arial" w:cs="Arial" w:eastAsia="Arial" w:hAnsi="Arial"/>
                <w:sz w:val="17"/>
                <w:szCs w:val="17"/>
                <w:color w:val="998C87"/>
              </w:rPr>
              <w:t>Mr. Capuano</w:t>
            </w:r>
          </w:p>
        </w:tc>
        <w:tc>
          <w:tcPr>
            <w:tcW w:w="1600" w:type="dxa"/>
            <w:vAlign w:val="bottom"/>
            <w:shd w:val="clear" w:color="auto" w:fill="F4F3F3"/>
          </w:tcPr>
          <w:p>
            <w:pPr>
              <w:ind w:left="60"/>
              <w:spacing w:after="0" w:line="174" w:lineRule="exact"/>
              <w:rPr>
                <w:sz w:val="20"/>
                <w:szCs w:val="20"/>
                <w:color w:val="auto"/>
              </w:rPr>
            </w:pPr>
            <w:r>
              <w:rPr>
                <w:rFonts w:ascii="Arial" w:cs="Arial" w:eastAsia="Arial" w:hAnsi="Arial"/>
                <w:sz w:val="17"/>
                <w:szCs w:val="17"/>
                <w:color w:val="auto"/>
              </w:rPr>
              <w:t>Stock Plan</w:t>
            </w:r>
          </w:p>
        </w:tc>
        <w:tc>
          <w:tcPr>
            <w:tcW w:w="1300" w:type="dxa"/>
            <w:vAlign w:val="bottom"/>
            <w:shd w:val="clear" w:color="auto" w:fill="F4F3F3"/>
          </w:tcPr>
          <w:p>
            <w:pPr>
              <w:jc w:val="right"/>
              <w:ind w:right="175"/>
              <w:spacing w:after="0" w:line="174" w:lineRule="exact"/>
              <w:rPr>
                <w:sz w:val="20"/>
                <w:szCs w:val="20"/>
                <w:color w:val="auto"/>
              </w:rPr>
            </w:pPr>
            <w:r>
              <w:rPr>
                <w:rFonts w:ascii="Arial" w:cs="Arial" w:eastAsia="Arial" w:hAnsi="Arial"/>
                <w:sz w:val="17"/>
                <w:szCs w:val="17"/>
                <w:color w:val="auto"/>
              </w:rPr>
              <w:t>—</w:t>
            </w:r>
          </w:p>
        </w:tc>
        <w:tc>
          <w:tcPr>
            <w:tcW w:w="1420" w:type="dxa"/>
            <w:vAlign w:val="bottom"/>
            <w:shd w:val="clear" w:color="auto" w:fill="F4F3F3"/>
          </w:tcPr>
          <w:p>
            <w:pPr>
              <w:jc w:val="right"/>
              <w:ind w:right="175"/>
              <w:spacing w:after="0" w:line="174" w:lineRule="exact"/>
              <w:rPr>
                <w:sz w:val="20"/>
                <w:szCs w:val="20"/>
                <w:color w:val="auto"/>
              </w:rPr>
            </w:pPr>
            <w:r>
              <w:rPr>
                <w:rFonts w:ascii="Arial" w:cs="Arial" w:eastAsia="Arial" w:hAnsi="Arial"/>
                <w:sz w:val="17"/>
                <w:szCs w:val="17"/>
                <w:color w:val="auto"/>
              </w:rPr>
              <w:t>18,233,624</w:t>
            </w:r>
          </w:p>
        </w:tc>
        <w:tc>
          <w:tcPr>
            <w:tcW w:w="1240" w:type="dxa"/>
            <w:vAlign w:val="bottom"/>
            <w:shd w:val="clear" w:color="auto" w:fill="F4F3F3"/>
          </w:tcPr>
          <w:p>
            <w:pPr>
              <w:jc w:val="right"/>
              <w:ind w:right="55"/>
              <w:spacing w:after="0" w:line="174" w:lineRule="exact"/>
              <w:rPr>
                <w:sz w:val="20"/>
                <w:szCs w:val="20"/>
                <w:color w:val="auto"/>
              </w:rPr>
            </w:pPr>
            <w:r>
              <w:rPr>
                <w:rFonts w:ascii="Arial" w:cs="Arial" w:eastAsia="Arial" w:hAnsi="Arial"/>
                <w:sz w:val="17"/>
                <w:szCs w:val="17"/>
                <w:color w:val="auto"/>
              </w:rPr>
              <w:t>18,233,624</w:t>
            </w:r>
          </w:p>
        </w:tc>
        <w:tc>
          <w:tcPr>
            <w:tcW w:w="1380" w:type="dxa"/>
            <w:vAlign w:val="bottom"/>
            <w:shd w:val="clear" w:color="auto" w:fill="F4F3F3"/>
          </w:tcPr>
          <w:p>
            <w:pPr>
              <w:jc w:val="right"/>
              <w:ind w:right="96"/>
              <w:spacing w:after="0" w:line="174" w:lineRule="exact"/>
              <w:rPr>
                <w:sz w:val="20"/>
                <w:szCs w:val="20"/>
                <w:color w:val="auto"/>
              </w:rPr>
            </w:pPr>
            <w:r>
              <w:rPr>
                <w:rFonts w:ascii="Arial" w:cs="Arial" w:eastAsia="Arial" w:hAnsi="Arial"/>
                <w:sz w:val="17"/>
                <w:szCs w:val="17"/>
                <w:color w:val="auto"/>
              </w:rPr>
              <w:t>18,233,624</w:t>
            </w:r>
          </w:p>
        </w:tc>
      </w:tr>
      <w:tr>
        <w:trPr>
          <w:trHeight w:val="231"/>
        </w:trPr>
        <w:tc>
          <w:tcPr>
            <w:tcW w:w="4060" w:type="dxa"/>
            <w:vAlign w:val="bottom"/>
            <w:shd w:val="clear" w:color="auto" w:fill="F4F3F3"/>
          </w:tcPr>
          <w:p>
            <w:pPr>
              <w:spacing w:after="0"/>
              <w:rPr>
                <w:sz w:val="20"/>
                <w:szCs w:val="20"/>
                <w:color w:val="auto"/>
              </w:rPr>
            </w:pPr>
          </w:p>
        </w:tc>
        <w:tc>
          <w:tcPr>
            <w:tcW w:w="1600" w:type="dxa"/>
            <w:vAlign w:val="bottom"/>
            <w:shd w:val="clear" w:color="auto" w:fill="F4F3F3"/>
          </w:tcPr>
          <w:p>
            <w:pPr>
              <w:ind w:left="40"/>
              <w:spacing w:after="0"/>
              <w:rPr>
                <w:sz w:val="20"/>
                <w:szCs w:val="20"/>
                <w:color w:val="auto"/>
              </w:rPr>
            </w:pPr>
            <w:r>
              <w:rPr>
                <w:rFonts w:ascii="Arial" w:cs="Arial" w:eastAsia="Arial" w:hAnsi="Arial"/>
                <w:sz w:val="17"/>
                <w:szCs w:val="17"/>
                <w:color w:val="auto"/>
                <w:w w:val="99"/>
              </w:rPr>
              <w:t>Total Cash Incentive</w:t>
            </w:r>
          </w:p>
        </w:tc>
        <w:tc>
          <w:tcPr>
            <w:tcW w:w="1300" w:type="dxa"/>
            <w:vAlign w:val="bottom"/>
            <w:shd w:val="clear" w:color="auto" w:fill="F4F3F3"/>
          </w:tcPr>
          <w:p>
            <w:pPr>
              <w:jc w:val="right"/>
              <w:ind w:right="175"/>
              <w:spacing w:after="0"/>
              <w:rPr>
                <w:sz w:val="20"/>
                <w:szCs w:val="20"/>
                <w:color w:val="auto"/>
              </w:rPr>
            </w:pPr>
            <w:r>
              <w:rPr>
                <w:rFonts w:ascii="Arial" w:cs="Arial" w:eastAsia="Arial" w:hAnsi="Arial"/>
                <w:sz w:val="17"/>
                <w:szCs w:val="17"/>
                <w:color w:val="auto"/>
              </w:rPr>
              <w:t>—</w:t>
            </w:r>
          </w:p>
        </w:tc>
        <w:tc>
          <w:tcPr>
            <w:tcW w:w="1420" w:type="dxa"/>
            <w:vAlign w:val="bottom"/>
            <w:shd w:val="clear" w:color="auto" w:fill="F4F3F3"/>
          </w:tcPr>
          <w:p>
            <w:pPr>
              <w:jc w:val="right"/>
              <w:ind w:right="175"/>
              <w:spacing w:after="0"/>
              <w:rPr>
                <w:sz w:val="20"/>
                <w:szCs w:val="20"/>
                <w:color w:val="auto"/>
              </w:rPr>
            </w:pPr>
            <w:r>
              <w:rPr>
                <w:rFonts w:ascii="Arial" w:cs="Arial" w:eastAsia="Arial" w:hAnsi="Arial"/>
                <w:sz w:val="17"/>
                <w:szCs w:val="17"/>
                <w:color w:val="auto"/>
              </w:rPr>
              <w:t>600,000</w:t>
            </w:r>
          </w:p>
        </w:tc>
        <w:tc>
          <w:tcPr>
            <w:tcW w:w="1240" w:type="dxa"/>
            <w:vAlign w:val="bottom"/>
            <w:shd w:val="clear" w:color="auto" w:fill="F4F3F3"/>
          </w:tcPr>
          <w:p>
            <w:pPr>
              <w:jc w:val="right"/>
              <w:ind w:right="55"/>
              <w:spacing w:after="0"/>
              <w:rPr>
                <w:sz w:val="20"/>
                <w:szCs w:val="20"/>
                <w:color w:val="auto"/>
              </w:rPr>
            </w:pPr>
            <w:r>
              <w:rPr>
                <w:rFonts w:ascii="Arial" w:cs="Arial" w:eastAsia="Arial" w:hAnsi="Arial"/>
                <w:sz w:val="17"/>
                <w:szCs w:val="17"/>
                <w:color w:val="auto"/>
              </w:rPr>
              <w:t>600,000</w:t>
            </w:r>
          </w:p>
        </w:tc>
        <w:tc>
          <w:tcPr>
            <w:tcW w:w="138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600,000</w:t>
            </w:r>
          </w:p>
        </w:tc>
      </w:tr>
      <w:tr>
        <w:trPr>
          <w:trHeight w:val="174"/>
        </w:trPr>
        <w:tc>
          <w:tcPr>
            <w:tcW w:w="4060" w:type="dxa"/>
            <w:vAlign w:val="bottom"/>
            <w:shd w:val="clear" w:color="auto" w:fill="F4F3F3"/>
          </w:tcPr>
          <w:p>
            <w:pPr>
              <w:ind w:left="160"/>
              <w:spacing w:after="0" w:line="174" w:lineRule="exact"/>
              <w:rPr>
                <w:sz w:val="20"/>
                <w:szCs w:val="20"/>
                <w:color w:val="auto"/>
              </w:rPr>
            </w:pPr>
            <w:r>
              <w:rPr>
                <w:rFonts w:ascii="Arial" w:cs="Arial" w:eastAsia="Arial" w:hAnsi="Arial"/>
                <w:sz w:val="17"/>
                <w:szCs w:val="17"/>
                <w:color w:val="998C87"/>
              </w:rPr>
              <w:t>Ms. Linnartz</w:t>
            </w:r>
          </w:p>
        </w:tc>
        <w:tc>
          <w:tcPr>
            <w:tcW w:w="1600" w:type="dxa"/>
            <w:vAlign w:val="bottom"/>
            <w:shd w:val="clear" w:color="auto" w:fill="F4F3F3"/>
          </w:tcPr>
          <w:p>
            <w:pPr>
              <w:ind w:left="60"/>
              <w:spacing w:after="0" w:line="174" w:lineRule="exact"/>
              <w:rPr>
                <w:sz w:val="20"/>
                <w:szCs w:val="20"/>
                <w:color w:val="auto"/>
              </w:rPr>
            </w:pPr>
            <w:r>
              <w:rPr>
                <w:rFonts w:ascii="Arial" w:cs="Arial" w:eastAsia="Arial" w:hAnsi="Arial"/>
                <w:sz w:val="17"/>
                <w:szCs w:val="17"/>
                <w:color w:val="auto"/>
              </w:rPr>
              <w:t>Stock Plan</w:t>
            </w:r>
          </w:p>
        </w:tc>
        <w:tc>
          <w:tcPr>
            <w:tcW w:w="1300" w:type="dxa"/>
            <w:vAlign w:val="bottom"/>
            <w:shd w:val="clear" w:color="auto" w:fill="F4F3F3"/>
          </w:tcPr>
          <w:p>
            <w:pPr>
              <w:jc w:val="right"/>
              <w:ind w:right="175"/>
              <w:spacing w:after="0" w:line="174" w:lineRule="exact"/>
              <w:rPr>
                <w:sz w:val="20"/>
                <w:szCs w:val="20"/>
                <w:color w:val="auto"/>
              </w:rPr>
            </w:pPr>
            <w:r>
              <w:rPr>
                <w:rFonts w:ascii="Arial" w:cs="Arial" w:eastAsia="Arial" w:hAnsi="Arial"/>
                <w:sz w:val="17"/>
                <w:szCs w:val="17"/>
                <w:color w:val="auto"/>
              </w:rPr>
              <w:t>—</w:t>
            </w:r>
          </w:p>
        </w:tc>
        <w:tc>
          <w:tcPr>
            <w:tcW w:w="1420" w:type="dxa"/>
            <w:vAlign w:val="bottom"/>
            <w:shd w:val="clear" w:color="auto" w:fill="F4F3F3"/>
          </w:tcPr>
          <w:p>
            <w:pPr>
              <w:jc w:val="right"/>
              <w:ind w:right="175"/>
              <w:spacing w:after="0" w:line="174" w:lineRule="exact"/>
              <w:rPr>
                <w:sz w:val="20"/>
                <w:szCs w:val="20"/>
                <w:color w:val="auto"/>
              </w:rPr>
            </w:pPr>
            <w:r>
              <w:rPr>
                <w:rFonts w:ascii="Arial" w:cs="Arial" w:eastAsia="Arial" w:hAnsi="Arial"/>
                <w:sz w:val="17"/>
                <w:szCs w:val="17"/>
                <w:color w:val="auto"/>
              </w:rPr>
              <w:t>13,173,675</w:t>
            </w:r>
          </w:p>
        </w:tc>
        <w:tc>
          <w:tcPr>
            <w:tcW w:w="1240" w:type="dxa"/>
            <w:vAlign w:val="bottom"/>
            <w:shd w:val="clear" w:color="auto" w:fill="F4F3F3"/>
          </w:tcPr>
          <w:p>
            <w:pPr>
              <w:jc w:val="right"/>
              <w:ind w:right="55"/>
              <w:spacing w:after="0" w:line="174" w:lineRule="exact"/>
              <w:rPr>
                <w:sz w:val="20"/>
                <w:szCs w:val="20"/>
                <w:color w:val="auto"/>
              </w:rPr>
            </w:pPr>
            <w:r>
              <w:rPr>
                <w:rFonts w:ascii="Arial" w:cs="Arial" w:eastAsia="Arial" w:hAnsi="Arial"/>
                <w:sz w:val="17"/>
                <w:szCs w:val="17"/>
                <w:color w:val="auto"/>
              </w:rPr>
              <w:t>13,173,675</w:t>
            </w:r>
          </w:p>
        </w:tc>
        <w:tc>
          <w:tcPr>
            <w:tcW w:w="1380" w:type="dxa"/>
            <w:vAlign w:val="bottom"/>
            <w:shd w:val="clear" w:color="auto" w:fill="F4F3F3"/>
          </w:tcPr>
          <w:p>
            <w:pPr>
              <w:jc w:val="right"/>
              <w:ind w:right="96"/>
              <w:spacing w:after="0" w:line="174" w:lineRule="exact"/>
              <w:rPr>
                <w:sz w:val="20"/>
                <w:szCs w:val="20"/>
                <w:color w:val="auto"/>
              </w:rPr>
            </w:pPr>
            <w:r>
              <w:rPr>
                <w:rFonts w:ascii="Arial" w:cs="Arial" w:eastAsia="Arial" w:hAnsi="Arial"/>
                <w:sz w:val="17"/>
                <w:szCs w:val="17"/>
                <w:color w:val="auto"/>
              </w:rPr>
              <w:t>13,173,675</w:t>
            </w:r>
          </w:p>
        </w:tc>
      </w:tr>
      <w:tr>
        <w:trPr>
          <w:trHeight w:val="231"/>
        </w:trPr>
        <w:tc>
          <w:tcPr>
            <w:tcW w:w="4060" w:type="dxa"/>
            <w:vAlign w:val="bottom"/>
            <w:shd w:val="clear" w:color="auto" w:fill="F4F3F3"/>
          </w:tcPr>
          <w:p>
            <w:pPr>
              <w:spacing w:after="0"/>
              <w:rPr>
                <w:sz w:val="20"/>
                <w:szCs w:val="20"/>
                <w:color w:val="auto"/>
              </w:rPr>
            </w:pPr>
          </w:p>
        </w:tc>
        <w:tc>
          <w:tcPr>
            <w:tcW w:w="1600" w:type="dxa"/>
            <w:vAlign w:val="bottom"/>
            <w:shd w:val="clear" w:color="auto" w:fill="F4F3F3"/>
          </w:tcPr>
          <w:p>
            <w:pPr>
              <w:ind w:left="40"/>
              <w:spacing w:after="0"/>
              <w:rPr>
                <w:sz w:val="20"/>
                <w:szCs w:val="20"/>
                <w:color w:val="auto"/>
              </w:rPr>
            </w:pPr>
            <w:r>
              <w:rPr>
                <w:rFonts w:ascii="Arial" w:cs="Arial" w:eastAsia="Arial" w:hAnsi="Arial"/>
                <w:sz w:val="17"/>
                <w:szCs w:val="17"/>
                <w:color w:val="auto"/>
                <w:w w:val="99"/>
              </w:rPr>
              <w:t>Total Cash Incentive</w:t>
            </w:r>
          </w:p>
        </w:tc>
        <w:tc>
          <w:tcPr>
            <w:tcW w:w="1300" w:type="dxa"/>
            <w:vAlign w:val="bottom"/>
            <w:shd w:val="clear" w:color="auto" w:fill="F4F3F3"/>
          </w:tcPr>
          <w:p>
            <w:pPr>
              <w:jc w:val="right"/>
              <w:ind w:right="175"/>
              <w:spacing w:after="0"/>
              <w:rPr>
                <w:sz w:val="20"/>
                <w:szCs w:val="20"/>
                <w:color w:val="auto"/>
              </w:rPr>
            </w:pPr>
            <w:r>
              <w:rPr>
                <w:rFonts w:ascii="Arial" w:cs="Arial" w:eastAsia="Arial" w:hAnsi="Arial"/>
                <w:sz w:val="17"/>
                <w:szCs w:val="17"/>
                <w:color w:val="auto"/>
              </w:rPr>
              <w:t>—</w:t>
            </w:r>
          </w:p>
        </w:tc>
        <w:tc>
          <w:tcPr>
            <w:tcW w:w="1420" w:type="dxa"/>
            <w:vAlign w:val="bottom"/>
            <w:shd w:val="clear" w:color="auto" w:fill="F4F3F3"/>
          </w:tcPr>
          <w:p>
            <w:pPr>
              <w:jc w:val="right"/>
              <w:ind w:right="175"/>
              <w:spacing w:after="0"/>
              <w:rPr>
                <w:sz w:val="20"/>
                <w:szCs w:val="20"/>
                <w:color w:val="auto"/>
              </w:rPr>
            </w:pPr>
            <w:r>
              <w:rPr>
                <w:rFonts w:ascii="Arial" w:cs="Arial" w:eastAsia="Arial" w:hAnsi="Arial"/>
                <w:sz w:val="17"/>
                <w:szCs w:val="17"/>
                <w:color w:val="auto"/>
              </w:rPr>
              <w:t>600,000</w:t>
            </w:r>
          </w:p>
        </w:tc>
        <w:tc>
          <w:tcPr>
            <w:tcW w:w="1240" w:type="dxa"/>
            <w:vAlign w:val="bottom"/>
            <w:shd w:val="clear" w:color="auto" w:fill="F4F3F3"/>
          </w:tcPr>
          <w:p>
            <w:pPr>
              <w:jc w:val="right"/>
              <w:ind w:right="55"/>
              <w:spacing w:after="0"/>
              <w:rPr>
                <w:sz w:val="20"/>
                <w:szCs w:val="20"/>
                <w:color w:val="auto"/>
              </w:rPr>
            </w:pPr>
            <w:r>
              <w:rPr>
                <w:rFonts w:ascii="Arial" w:cs="Arial" w:eastAsia="Arial" w:hAnsi="Arial"/>
                <w:sz w:val="17"/>
                <w:szCs w:val="17"/>
                <w:color w:val="auto"/>
              </w:rPr>
              <w:t>600,000</w:t>
            </w:r>
          </w:p>
        </w:tc>
        <w:tc>
          <w:tcPr>
            <w:tcW w:w="138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600,000</w:t>
            </w:r>
          </w:p>
        </w:tc>
      </w:tr>
      <w:tr>
        <w:trPr>
          <w:trHeight w:val="174"/>
        </w:trPr>
        <w:tc>
          <w:tcPr>
            <w:tcW w:w="4060" w:type="dxa"/>
            <w:vAlign w:val="bottom"/>
            <w:shd w:val="clear" w:color="auto" w:fill="F4F3F3"/>
          </w:tcPr>
          <w:p>
            <w:pPr>
              <w:ind w:left="160"/>
              <w:spacing w:after="0" w:line="174" w:lineRule="exact"/>
              <w:rPr>
                <w:sz w:val="20"/>
                <w:szCs w:val="20"/>
                <w:color w:val="auto"/>
              </w:rPr>
            </w:pPr>
            <w:r>
              <w:rPr>
                <w:rFonts w:ascii="Arial" w:cs="Arial" w:eastAsia="Arial" w:hAnsi="Arial"/>
                <w:sz w:val="17"/>
                <w:szCs w:val="17"/>
                <w:color w:val="998C87"/>
              </w:rPr>
              <w:t>Mr. Grissen</w:t>
            </w:r>
          </w:p>
        </w:tc>
        <w:tc>
          <w:tcPr>
            <w:tcW w:w="1600" w:type="dxa"/>
            <w:vAlign w:val="bottom"/>
            <w:shd w:val="clear" w:color="auto" w:fill="F4F3F3"/>
          </w:tcPr>
          <w:p>
            <w:pPr>
              <w:ind w:left="60"/>
              <w:spacing w:after="0" w:line="174" w:lineRule="exact"/>
              <w:rPr>
                <w:sz w:val="20"/>
                <w:szCs w:val="20"/>
                <w:color w:val="auto"/>
              </w:rPr>
            </w:pPr>
            <w:r>
              <w:rPr>
                <w:rFonts w:ascii="Arial" w:cs="Arial" w:eastAsia="Arial" w:hAnsi="Arial"/>
                <w:sz w:val="17"/>
                <w:szCs w:val="17"/>
                <w:color w:val="auto"/>
              </w:rPr>
              <w:t>Stock Plan</w:t>
            </w:r>
          </w:p>
        </w:tc>
        <w:tc>
          <w:tcPr>
            <w:tcW w:w="1300" w:type="dxa"/>
            <w:vAlign w:val="bottom"/>
            <w:shd w:val="clear" w:color="auto" w:fill="F4F3F3"/>
          </w:tcPr>
          <w:p>
            <w:pPr>
              <w:jc w:val="right"/>
              <w:ind w:right="95"/>
              <w:spacing w:after="0" w:line="174" w:lineRule="exact"/>
              <w:rPr>
                <w:sz w:val="20"/>
                <w:szCs w:val="20"/>
                <w:color w:val="auto"/>
              </w:rPr>
            </w:pPr>
            <w:r>
              <w:rPr>
                <w:rFonts w:ascii="Arial" w:cs="Arial" w:eastAsia="Arial" w:hAnsi="Arial"/>
                <w:sz w:val="17"/>
                <w:szCs w:val="17"/>
                <w:color w:val="auto"/>
              </w:rPr>
              <w:t>10,602,179</w:t>
            </w:r>
          </w:p>
        </w:tc>
        <w:tc>
          <w:tcPr>
            <w:tcW w:w="1420" w:type="dxa"/>
            <w:vAlign w:val="bottom"/>
            <w:shd w:val="clear" w:color="auto" w:fill="F4F3F3"/>
          </w:tcPr>
          <w:p>
            <w:pPr>
              <w:jc w:val="right"/>
              <w:ind w:right="175"/>
              <w:spacing w:after="0" w:line="174" w:lineRule="exact"/>
              <w:rPr>
                <w:sz w:val="20"/>
                <w:szCs w:val="20"/>
                <w:color w:val="auto"/>
              </w:rPr>
            </w:pPr>
            <w:r>
              <w:rPr>
                <w:rFonts w:ascii="Arial" w:cs="Arial" w:eastAsia="Arial" w:hAnsi="Arial"/>
                <w:sz w:val="17"/>
                <w:szCs w:val="17"/>
                <w:color w:val="auto"/>
              </w:rPr>
              <w:t>15,140,011</w:t>
            </w:r>
          </w:p>
        </w:tc>
        <w:tc>
          <w:tcPr>
            <w:tcW w:w="1240" w:type="dxa"/>
            <w:vAlign w:val="bottom"/>
            <w:shd w:val="clear" w:color="auto" w:fill="F4F3F3"/>
          </w:tcPr>
          <w:p>
            <w:pPr>
              <w:jc w:val="right"/>
              <w:ind w:right="55"/>
              <w:spacing w:after="0" w:line="174" w:lineRule="exact"/>
              <w:rPr>
                <w:sz w:val="20"/>
                <w:szCs w:val="20"/>
                <w:color w:val="auto"/>
              </w:rPr>
            </w:pPr>
            <w:r>
              <w:rPr>
                <w:rFonts w:ascii="Arial" w:cs="Arial" w:eastAsia="Arial" w:hAnsi="Arial"/>
                <w:sz w:val="17"/>
                <w:szCs w:val="17"/>
                <w:color w:val="auto"/>
              </w:rPr>
              <w:t>15,140,011</w:t>
            </w:r>
          </w:p>
        </w:tc>
        <w:tc>
          <w:tcPr>
            <w:tcW w:w="1380" w:type="dxa"/>
            <w:vAlign w:val="bottom"/>
            <w:shd w:val="clear" w:color="auto" w:fill="F4F3F3"/>
          </w:tcPr>
          <w:p>
            <w:pPr>
              <w:jc w:val="right"/>
              <w:ind w:right="96"/>
              <w:spacing w:after="0" w:line="174" w:lineRule="exact"/>
              <w:rPr>
                <w:sz w:val="20"/>
                <w:szCs w:val="20"/>
                <w:color w:val="auto"/>
              </w:rPr>
            </w:pPr>
            <w:r>
              <w:rPr>
                <w:rFonts w:ascii="Arial" w:cs="Arial" w:eastAsia="Arial" w:hAnsi="Arial"/>
                <w:sz w:val="17"/>
                <w:szCs w:val="17"/>
                <w:color w:val="auto"/>
              </w:rPr>
              <w:t>15,140,011</w:t>
            </w:r>
          </w:p>
        </w:tc>
      </w:tr>
      <w:tr>
        <w:trPr>
          <w:trHeight w:val="231"/>
        </w:trPr>
        <w:tc>
          <w:tcPr>
            <w:tcW w:w="4060" w:type="dxa"/>
            <w:vAlign w:val="bottom"/>
            <w:shd w:val="clear" w:color="auto" w:fill="F4F3F3"/>
          </w:tcPr>
          <w:p>
            <w:pPr>
              <w:spacing w:after="0"/>
              <w:rPr>
                <w:sz w:val="20"/>
                <w:szCs w:val="20"/>
                <w:color w:val="auto"/>
              </w:rPr>
            </w:pPr>
          </w:p>
        </w:tc>
        <w:tc>
          <w:tcPr>
            <w:tcW w:w="1600" w:type="dxa"/>
            <w:vAlign w:val="bottom"/>
            <w:shd w:val="clear" w:color="auto" w:fill="F4F3F3"/>
          </w:tcPr>
          <w:p>
            <w:pPr>
              <w:ind w:left="40"/>
              <w:spacing w:after="0"/>
              <w:rPr>
                <w:sz w:val="20"/>
                <w:szCs w:val="20"/>
                <w:color w:val="auto"/>
              </w:rPr>
            </w:pPr>
            <w:r>
              <w:rPr>
                <w:rFonts w:ascii="Arial" w:cs="Arial" w:eastAsia="Arial" w:hAnsi="Arial"/>
                <w:sz w:val="17"/>
                <w:szCs w:val="17"/>
                <w:color w:val="auto"/>
                <w:w w:val="99"/>
              </w:rPr>
              <w:t>Total Cash Incentive</w:t>
            </w:r>
          </w:p>
        </w:tc>
        <w:tc>
          <w:tcPr>
            <w:tcW w:w="1300" w:type="dxa"/>
            <w:vAlign w:val="bottom"/>
            <w:shd w:val="clear" w:color="auto" w:fill="F4F3F3"/>
          </w:tcPr>
          <w:p>
            <w:pPr>
              <w:jc w:val="right"/>
              <w:ind w:right="175"/>
              <w:spacing w:after="0"/>
              <w:rPr>
                <w:sz w:val="20"/>
                <w:szCs w:val="20"/>
                <w:color w:val="auto"/>
              </w:rPr>
            </w:pPr>
            <w:r>
              <w:rPr>
                <w:rFonts w:ascii="Arial" w:cs="Arial" w:eastAsia="Arial" w:hAnsi="Arial"/>
                <w:sz w:val="17"/>
                <w:szCs w:val="17"/>
                <w:color w:val="auto"/>
              </w:rPr>
              <w:t>—</w:t>
            </w:r>
          </w:p>
        </w:tc>
        <w:tc>
          <w:tcPr>
            <w:tcW w:w="1420" w:type="dxa"/>
            <w:vAlign w:val="bottom"/>
            <w:shd w:val="clear" w:color="auto" w:fill="F4F3F3"/>
          </w:tcPr>
          <w:p>
            <w:pPr>
              <w:jc w:val="right"/>
              <w:ind w:right="175"/>
              <w:spacing w:after="0"/>
              <w:rPr>
                <w:sz w:val="20"/>
                <w:szCs w:val="20"/>
                <w:color w:val="auto"/>
              </w:rPr>
            </w:pPr>
            <w:r>
              <w:rPr>
                <w:rFonts w:ascii="Arial" w:cs="Arial" w:eastAsia="Arial" w:hAnsi="Arial"/>
                <w:sz w:val="17"/>
                <w:szCs w:val="17"/>
                <w:color w:val="auto"/>
              </w:rPr>
              <w:t>600,000</w:t>
            </w:r>
          </w:p>
        </w:tc>
        <w:tc>
          <w:tcPr>
            <w:tcW w:w="1240" w:type="dxa"/>
            <w:vAlign w:val="bottom"/>
            <w:shd w:val="clear" w:color="auto" w:fill="F4F3F3"/>
          </w:tcPr>
          <w:p>
            <w:pPr>
              <w:jc w:val="right"/>
              <w:ind w:right="55"/>
              <w:spacing w:after="0"/>
              <w:rPr>
                <w:sz w:val="20"/>
                <w:szCs w:val="20"/>
                <w:color w:val="auto"/>
              </w:rPr>
            </w:pPr>
            <w:r>
              <w:rPr>
                <w:rFonts w:ascii="Arial" w:cs="Arial" w:eastAsia="Arial" w:hAnsi="Arial"/>
                <w:sz w:val="17"/>
                <w:szCs w:val="17"/>
                <w:color w:val="auto"/>
              </w:rPr>
              <w:t>600,000</w:t>
            </w:r>
          </w:p>
        </w:tc>
        <w:tc>
          <w:tcPr>
            <w:tcW w:w="138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600,000</w:t>
            </w:r>
          </w:p>
        </w:tc>
      </w:tr>
      <w:tr>
        <w:trPr>
          <w:trHeight w:val="174"/>
        </w:trPr>
        <w:tc>
          <w:tcPr>
            <w:tcW w:w="4060" w:type="dxa"/>
            <w:vAlign w:val="bottom"/>
            <w:shd w:val="clear" w:color="auto" w:fill="F4F3F3"/>
          </w:tcPr>
          <w:p>
            <w:pPr>
              <w:ind w:left="160"/>
              <w:spacing w:after="0" w:line="174" w:lineRule="exact"/>
              <w:rPr>
                <w:sz w:val="20"/>
                <w:szCs w:val="20"/>
                <w:color w:val="auto"/>
              </w:rPr>
            </w:pPr>
            <w:r>
              <w:rPr>
                <w:rFonts w:ascii="Arial" w:cs="Arial" w:eastAsia="Arial" w:hAnsi="Arial"/>
                <w:sz w:val="17"/>
                <w:szCs w:val="17"/>
                <w:color w:val="998C87"/>
              </w:rPr>
              <w:t>Ms. Oberg</w:t>
            </w:r>
          </w:p>
        </w:tc>
        <w:tc>
          <w:tcPr>
            <w:tcW w:w="1600" w:type="dxa"/>
            <w:vAlign w:val="bottom"/>
            <w:shd w:val="clear" w:color="auto" w:fill="F4F3F3"/>
          </w:tcPr>
          <w:p>
            <w:pPr>
              <w:ind w:left="60"/>
              <w:spacing w:after="0" w:line="174" w:lineRule="exact"/>
              <w:rPr>
                <w:sz w:val="20"/>
                <w:szCs w:val="20"/>
                <w:color w:val="auto"/>
              </w:rPr>
            </w:pPr>
            <w:r>
              <w:rPr>
                <w:rFonts w:ascii="Arial" w:cs="Arial" w:eastAsia="Arial" w:hAnsi="Arial"/>
                <w:sz w:val="17"/>
                <w:szCs w:val="17"/>
                <w:color w:val="auto"/>
              </w:rPr>
              <w:t>Stock Plan</w:t>
            </w:r>
          </w:p>
        </w:tc>
        <w:tc>
          <w:tcPr>
            <w:tcW w:w="1300" w:type="dxa"/>
            <w:vAlign w:val="bottom"/>
            <w:shd w:val="clear" w:color="auto" w:fill="F4F3F3"/>
          </w:tcPr>
          <w:p>
            <w:pPr>
              <w:jc w:val="right"/>
              <w:ind w:right="95"/>
              <w:spacing w:after="0" w:line="174" w:lineRule="exact"/>
              <w:rPr>
                <w:sz w:val="20"/>
                <w:szCs w:val="20"/>
                <w:color w:val="auto"/>
              </w:rPr>
            </w:pPr>
            <w:r>
              <w:rPr>
                <w:rFonts w:ascii="Arial" w:cs="Arial" w:eastAsia="Arial" w:hAnsi="Arial"/>
                <w:sz w:val="17"/>
                <w:szCs w:val="17"/>
                <w:color w:val="auto"/>
              </w:rPr>
              <w:t>7,074,884</w:t>
            </w:r>
          </w:p>
        </w:tc>
        <w:tc>
          <w:tcPr>
            <w:tcW w:w="1420" w:type="dxa"/>
            <w:vAlign w:val="bottom"/>
            <w:shd w:val="clear" w:color="auto" w:fill="F4F3F3"/>
          </w:tcPr>
          <w:p>
            <w:pPr>
              <w:jc w:val="right"/>
              <w:ind w:right="175"/>
              <w:spacing w:after="0" w:line="174" w:lineRule="exact"/>
              <w:rPr>
                <w:sz w:val="20"/>
                <w:szCs w:val="20"/>
                <w:color w:val="auto"/>
              </w:rPr>
            </w:pPr>
            <w:r>
              <w:rPr>
                <w:rFonts w:ascii="Arial" w:cs="Arial" w:eastAsia="Arial" w:hAnsi="Arial"/>
                <w:sz w:val="17"/>
                <w:szCs w:val="17"/>
                <w:color w:val="auto"/>
              </w:rPr>
              <w:t>11,557,569</w:t>
            </w:r>
          </w:p>
        </w:tc>
        <w:tc>
          <w:tcPr>
            <w:tcW w:w="1240" w:type="dxa"/>
            <w:vAlign w:val="bottom"/>
            <w:shd w:val="clear" w:color="auto" w:fill="F4F3F3"/>
          </w:tcPr>
          <w:p>
            <w:pPr>
              <w:jc w:val="right"/>
              <w:ind w:right="55"/>
              <w:spacing w:after="0" w:line="174" w:lineRule="exact"/>
              <w:rPr>
                <w:sz w:val="20"/>
                <w:szCs w:val="20"/>
                <w:color w:val="auto"/>
              </w:rPr>
            </w:pPr>
            <w:r>
              <w:rPr>
                <w:rFonts w:ascii="Arial" w:cs="Arial" w:eastAsia="Arial" w:hAnsi="Arial"/>
                <w:sz w:val="17"/>
                <w:szCs w:val="17"/>
                <w:color w:val="auto"/>
              </w:rPr>
              <w:t>11,557,569</w:t>
            </w:r>
          </w:p>
        </w:tc>
        <w:tc>
          <w:tcPr>
            <w:tcW w:w="1380" w:type="dxa"/>
            <w:vAlign w:val="bottom"/>
            <w:shd w:val="clear" w:color="auto" w:fill="F4F3F3"/>
          </w:tcPr>
          <w:p>
            <w:pPr>
              <w:jc w:val="right"/>
              <w:ind w:right="96"/>
              <w:spacing w:after="0" w:line="174" w:lineRule="exact"/>
              <w:rPr>
                <w:sz w:val="20"/>
                <w:szCs w:val="20"/>
                <w:color w:val="auto"/>
              </w:rPr>
            </w:pPr>
            <w:r>
              <w:rPr>
                <w:rFonts w:ascii="Arial" w:cs="Arial" w:eastAsia="Arial" w:hAnsi="Arial"/>
                <w:sz w:val="17"/>
                <w:szCs w:val="17"/>
                <w:color w:val="auto"/>
              </w:rPr>
              <w:t>11,557,569</w:t>
            </w:r>
          </w:p>
        </w:tc>
      </w:tr>
      <w:tr>
        <w:trPr>
          <w:trHeight w:val="217"/>
        </w:trPr>
        <w:tc>
          <w:tcPr>
            <w:tcW w:w="4060" w:type="dxa"/>
            <w:vAlign w:val="bottom"/>
            <w:shd w:val="clear" w:color="auto" w:fill="F4F3F3"/>
          </w:tcPr>
          <w:p>
            <w:pPr>
              <w:spacing w:after="0"/>
              <w:rPr>
                <w:sz w:val="18"/>
                <w:szCs w:val="18"/>
                <w:color w:val="auto"/>
              </w:rPr>
            </w:pPr>
          </w:p>
        </w:tc>
        <w:tc>
          <w:tcPr>
            <w:tcW w:w="1600" w:type="dxa"/>
            <w:vAlign w:val="bottom"/>
            <w:shd w:val="clear" w:color="auto" w:fill="F4F3F3"/>
          </w:tcPr>
          <w:p>
            <w:pPr>
              <w:ind w:left="40"/>
              <w:spacing w:after="0"/>
              <w:rPr>
                <w:sz w:val="20"/>
                <w:szCs w:val="20"/>
                <w:color w:val="auto"/>
              </w:rPr>
            </w:pPr>
            <w:r>
              <w:rPr>
                <w:rFonts w:ascii="Arial" w:cs="Arial" w:eastAsia="Arial" w:hAnsi="Arial"/>
                <w:sz w:val="17"/>
                <w:szCs w:val="17"/>
                <w:color w:val="auto"/>
                <w:w w:val="99"/>
              </w:rPr>
              <w:t>Total Cash Incentive</w:t>
            </w:r>
          </w:p>
        </w:tc>
        <w:tc>
          <w:tcPr>
            <w:tcW w:w="1300" w:type="dxa"/>
            <w:vAlign w:val="bottom"/>
            <w:shd w:val="clear" w:color="auto" w:fill="F4F3F3"/>
          </w:tcPr>
          <w:p>
            <w:pPr>
              <w:jc w:val="right"/>
              <w:ind w:right="175"/>
              <w:spacing w:after="0"/>
              <w:rPr>
                <w:sz w:val="20"/>
                <w:szCs w:val="20"/>
                <w:color w:val="auto"/>
              </w:rPr>
            </w:pPr>
            <w:r>
              <w:rPr>
                <w:rFonts w:ascii="Arial" w:cs="Arial" w:eastAsia="Arial" w:hAnsi="Arial"/>
                <w:sz w:val="17"/>
                <w:szCs w:val="17"/>
                <w:color w:val="auto"/>
              </w:rPr>
              <w:t>—</w:t>
            </w:r>
          </w:p>
        </w:tc>
        <w:tc>
          <w:tcPr>
            <w:tcW w:w="1420" w:type="dxa"/>
            <w:vAlign w:val="bottom"/>
            <w:shd w:val="clear" w:color="auto" w:fill="F4F3F3"/>
          </w:tcPr>
          <w:p>
            <w:pPr>
              <w:jc w:val="right"/>
              <w:ind w:right="175"/>
              <w:spacing w:after="0"/>
              <w:rPr>
                <w:sz w:val="20"/>
                <w:szCs w:val="20"/>
                <w:color w:val="auto"/>
              </w:rPr>
            </w:pPr>
            <w:r>
              <w:rPr>
                <w:rFonts w:ascii="Arial" w:cs="Arial" w:eastAsia="Arial" w:hAnsi="Arial"/>
                <w:sz w:val="17"/>
                <w:szCs w:val="17"/>
                <w:color w:val="auto"/>
              </w:rPr>
              <w:t>562,500</w:t>
            </w:r>
          </w:p>
        </w:tc>
        <w:tc>
          <w:tcPr>
            <w:tcW w:w="1240" w:type="dxa"/>
            <w:vAlign w:val="bottom"/>
            <w:shd w:val="clear" w:color="auto" w:fill="F4F3F3"/>
          </w:tcPr>
          <w:p>
            <w:pPr>
              <w:jc w:val="right"/>
              <w:ind w:right="55"/>
              <w:spacing w:after="0"/>
              <w:rPr>
                <w:sz w:val="20"/>
                <w:szCs w:val="20"/>
                <w:color w:val="auto"/>
              </w:rPr>
            </w:pPr>
            <w:r>
              <w:rPr>
                <w:rFonts w:ascii="Arial" w:cs="Arial" w:eastAsia="Arial" w:hAnsi="Arial"/>
                <w:sz w:val="17"/>
                <w:szCs w:val="17"/>
                <w:color w:val="auto"/>
              </w:rPr>
              <w:t>562,500</w:t>
            </w:r>
          </w:p>
        </w:tc>
        <w:tc>
          <w:tcPr>
            <w:tcW w:w="1380" w:type="dxa"/>
            <w:vAlign w:val="bottom"/>
            <w:shd w:val="clear" w:color="auto" w:fill="F4F3F3"/>
          </w:tcPr>
          <w:p>
            <w:pPr>
              <w:jc w:val="right"/>
              <w:ind w:right="96"/>
              <w:spacing w:after="0"/>
              <w:rPr>
                <w:sz w:val="20"/>
                <w:szCs w:val="20"/>
                <w:color w:val="auto"/>
              </w:rPr>
            </w:pPr>
            <w:r>
              <w:rPr>
                <w:rFonts w:ascii="Arial" w:cs="Arial" w:eastAsia="Arial" w:hAnsi="Arial"/>
                <w:sz w:val="17"/>
                <w:szCs w:val="17"/>
                <w:color w:val="auto"/>
              </w:rPr>
              <w:t>562,500</w:t>
            </w:r>
          </w:p>
        </w:tc>
      </w:tr>
    </w:tbl>
    <w:p>
      <w:pPr>
        <w:spacing w:after="0" w:line="230" w:lineRule="exact"/>
        <w:rPr>
          <w:sz w:val="20"/>
          <w:szCs w:val="20"/>
          <w:color w:val="auto"/>
        </w:rPr>
      </w:pPr>
    </w:p>
    <w:p>
      <w:pPr>
        <w:ind w:left="420" w:right="20" w:hanging="210"/>
        <w:spacing w:after="0" w:line="219" w:lineRule="auto"/>
        <w:tabs>
          <w:tab w:leader="none" w:pos="420" w:val="left"/>
        </w:tabs>
        <w:numPr>
          <w:ilvl w:val="0"/>
          <w:numId w:val="120"/>
        </w:numPr>
        <w:rPr>
          <w:rFonts w:ascii="Arial" w:cs="Arial" w:eastAsia="Arial" w:hAnsi="Arial"/>
          <w:sz w:val="24"/>
          <w:szCs w:val="24"/>
          <w:color w:val="333333"/>
          <w:vertAlign w:val="superscript"/>
        </w:rPr>
      </w:pPr>
      <w:r>
        <w:rPr>
          <w:rFonts w:ascii="Arial" w:cs="Arial" w:eastAsia="Arial" w:hAnsi="Arial"/>
          <w:sz w:val="14"/>
          <w:szCs w:val="14"/>
          <w:color w:val="333333"/>
        </w:rPr>
        <w:t>These Stock Plan amounts will become exercisable or be distributed following termination of employment over the period described in the awards, subject to the conditions not to engage in competition or other conduct injurious to the Company as described in more detail above, provided that, upon retirement for retirement-eligible NEOs, a portion of the RSUs, SARs, and PSUs granted on February 21, 2017 (except for Mr. Capuano’s separate RSU award described in the CD&amp;A) will be earned based on the number of days from the grant date through the retirement date, and, upon a qualifying disability, such awards (including Mr. Capuano’s separate RSU award) will vest in full, including at target performance level for PSUs.</w:t>
      </w:r>
    </w:p>
    <w:p>
      <w:pPr>
        <w:spacing w:after="0" w:line="63" w:lineRule="exact"/>
        <w:rPr>
          <w:sz w:val="20"/>
          <w:szCs w:val="20"/>
          <w:color w:val="auto"/>
        </w:rPr>
      </w:pPr>
    </w:p>
    <w:p>
      <w:pPr>
        <w:ind w:left="220" w:right="60"/>
        <w:spacing w:after="0" w:line="236" w:lineRule="auto"/>
        <w:rPr>
          <w:sz w:val="20"/>
          <w:szCs w:val="20"/>
          <w:color w:val="auto"/>
        </w:rPr>
      </w:pPr>
      <w:r>
        <w:rPr>
          <w:rFonts w:ascii="Arial" w:cs="Arial" w:eastAsia="Arial" w:hAnsi="Arial"/>
          <w:sz w:val="17"/>
          <w:szCs w:val="17"/>
          <w:color w:val="auto"/>
        </w:rPr>
        <w:t>The benefits presented in the table above are in addition to benefits available prior to the occurrence of any termination of employment, including benefits available under then-exercisable SARs and vested EDC balances, and benefits available generally to salaried associates such as benefits under the Company’s 401(k) plan, group medical and dental plans, life and accidental death insurance plans, disability programs, health and dependent care spending accounts, and accrued paid time off. The actual amounts that would be paid upon a NEO’s termination of employment can be determined only at the time of any such event. Due to the number of factors that affect the nature and amount of any benefits provided upon the events discussed above, any actual amounts paid or distributed may be higher or lower than reported above. Factors that could affect these amounts include the timing during the year of any such event, the Company’s stock price and the executive’s age. In addition, in connection with any actual termination of employment or change in control transaction, the Company may determine to enter into an agreement or to establish an arrangement providing additional benefits or amounts, or altering the terms of benefits described above, as the Committee determines appropriate.</w:t>
      </w:r>
    </w:p>
    <w:p>
      <w:pPr>
        <w:spacing w:after="0" w:line="120" w:lineRule="exact"/>
        <w:rPr>
          <w:sz w:val="20"/>
          <w:szCs w:val="20"/>
          <w:color w:val="auto"/>
        </w:rPr>
      </w:pPr>
    </w:p>
    <w:p>
      <w:pPr>
        <w:ind w:left="540" w:hanging="330"/>
        <w:spacing w:after="0"/>
        <w:tabs>
          <w:tab w:leader="none" w:pos="540" w:val="left"/>
        </w:tabs>
        <w:numPr>
          <w:ilvl w:val="0"/>
          <w:numId w:val="121"/>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20"/>
          </w:cols>
          <w:pgMar w:left="240" w:top="455" w:right="4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F7F7F"/>
        </w:rPr>
        <w:t>CEO Pay Ratio</w:t>
      </w:r>
    </w:p>
    <w:p>
      <w:pPr>
        <w:spacing w:after="0" w:line="103" w:lineRule="exact"/>
        <w:rPr>
          <w:sz w:val="20"/>
          <w:szCs w:val="20"/>
          <w:color w:val="auto"/>
        </w:rPr>
      </w:pPr>
    </w:p>
    <w:p>
      <w:pPr>
        <w:jc w:val="both"/>
        <w:ind w:left="220" w:right="140"/>
        <w:spacing w:after="0" w:line="253" w:lineRule="auto"/>
        <w:rPr>
          <w:sz w:val="20"/>
          <w:szCs w:val="20"/>
          <w:color w:val="auto"/>
        </w:rPr>
      </w:pPr>
      <w:r>
        <w:rPr>
          <w:rFonts w:ascii="Arial" w:cs="Arial" w:eastAsia="Arial" w:hAnsi="Arial"/>
          <w:sz w:val="17"/>
          <w:szCs w:val="17"/>
          <w:color w:val="auto"/>
        </w:rPr>
        <w:t>We determined that the 2017 annual total compensation of the median compensated of all our employees who were employed as of October 1, 2017, other than our CEO, Mr. Sorenson, was $33,697; Mr. Sorenson’s 2017 annual total compensation was $13,311,617, and the ratio of these amounts was 1-to-395.</w:t>
      </w:r>
    </w:p>
    <w:p>
      <w:pPr>
        <w:spacing w:after="0" w:line="56" w:lineRule="exact"/>
        <w:rPr>
          <w:sz w:val="20"/>
          <w:szCs w:val="20"/>
          <w:color w:val="auto"/>
        </w:rPr>
      </w:pPr>
    </w:p>
    <w:p>
      <w:pPr>
        <w:ind w:left="220" w:right="140"/>
        <w:spacing w:after="0" w:line="236" w:lineRule="auto"/>
        <w:rPr>
          <w:sz w:val="20"/>
          <w:szCs w:val="20"/>
          <w:color w:val="auto"/>
        </w:rPr>
      </w:pPr>
      <w:r>
        <w:rPr>
          <w:rFonts w:ascii="Arial" w:cs="Arial" w:eastAsia="Arial" w:hAnsi="Arial"/>
          <w:sz w:val="17"/>
          <w:szCs w:val="17"/>
          <w:color w:val="auto"/>
        </w:rPr>
        <w:t>This pay ratio is a reasonable estimate calculated in a manner consistent with SEC rules based on our payroll and employment records and the methodology described below. Because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 To identify the median compensated employee, we used total gross earnings, which we measured over a 9-month period that included the January 1 to September 30, 2017 payroll cycles, and estimated total gross earnings for full- and part-time permanent employees who did not work for the entire 9-month period, based on their earnings for the portion of the period that they worked. At non-U.S. managed hotels, where employment laws and practices may vary, we included only those individuals who are identified as employees on the records of the business units where they work.</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Director Compensation</w:t>
      </w:r>
    </w:p>
    <w:p>
      <w:pPr>
        <w:spacing w:after="0" w:line="104" w:lineRule="exact"/>
        <w:rPr>
          <w:sz w:val="20"/>
          <w:szCs w:val="20"/>
          <w:color w:val="auto"/>
        </w:rPr>
      </w:pPr>
    </w:p>
    <w:p>
      <w:pPr>
        <w:ind w:left="220" w:right="420"/>
        <w:spacing w:after="0" w:line="274" w:lineRule="auto"/>
        <w:rPr>
          <w:sz w:val="20"/>
          <w:szCs w:val="20"/>
          <w:color w:val="auto"/>
        </w:rPr>
      </w:pPr>
      <w:r>
        <w:rPr>
          <w:rFonts w:ascii="Arial" w:cs="Arial" w:eastAsia="Arial" w:hAnsi="Arial"/>
          <w:sz w:val="17"/>
          <w:szCs w:val="17"/>
          <w:color w:val="auto"/>
        </w:rPr>
        <w:t>For 2017, we paid non-employee directors compensation in the form of annual cash retainer fees and Non-Employee Director Share Awards under the Stock Plan,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128270</wp:posOffset>
            </wp:positionV>
            <wp:extent cx="6989445" cy="10534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89445" cy="1053465"/>
                    </a:xfrm>
                    <a:prstGeom prst="rect">
                      <a:avLst/>
                    </a:prstGeom>
                    <a:noFill/>
                  </pic:spPr>
                </pic:pic>
              </a:graphicData>
            </a:graphic>
          </wp:anchor>
        </w:drawing>
      </w:r>
    </w:p>
    <w:p>
      <w:pPr>
        <w:spacing w:after="0" w:line="167"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9440" w:type="dxa"/>
            <w:vAlign w:val="bottom"/>
            <w:shd w:val="clear" w:color="auto" w:fill="998C87"/>
          </w:tcPr>
          <w:p>
            <w:pPr>
              <w:spacing w:after="0"/>
              <w:rPr>
                <w:sz w:val="16"/>
                <w:szCs w:val="16"/>
                <w:color w:val="auto"/>
              </w:rPr>
            </w:pPr>
          </w:p>
        </w:tc>
        <w:tc>
          <w:tcPr>
            <w:tcW w:w="1560" w:type="dxa"/>
            <w:vAlign w:val="bottom"/>
            <w:shd w:val="clear" w:color="auto" w:fill="998C87"/>
          </w:tcPr>
          <w:p>
            <w:pPr>
              <w:jc w:val="right"/>
              <w:ind w:right="116"/>
              <w:spacing w:after="0"/>
              <w:rPr>
                <w:sz w:val="20"/>
                <w:szCs w:val="20"/>
                <w:color w:val="auto"/>
              </w:rPr>
            </w:pPr>
            <w:r>
              <w:rPr>
                <w:rFonts w:ascii="Arial" w:cs="Arial" w:eastAsia="Arial" w:hAnsi="Arial"/>
                <w:sz w:val="16"/>
                <w:szCs w:val="16"/>
                <w:b w:val="1"/>
                <w:bCs w:val="1"/>
                <w:color w:val="FFFFFF"/>
              </w:rPr>
              <w:t>Amount of Fee</w:t>
            </w:r>
          </w:p>
        </w:tc>
      </w:tr>
      <w:tr>
        <w:trPr>
          <w:trHeight w:val="236"/>
        </w:trPr>
        <w:tc>
          <w:tcPr>
            <w:tcW w:w="9440" w:type="dxa"/>
            <w:vAlign w:val="bottom"/>
            <w:shd w:val="clear" w:color="auto" w:fill="998C87"/>
          </w:tcPr>
          <w:p>
            <w:pPr>
              <w:ind w:left="160"/>
              <w:spacing w:after="0"/>
              <w:rPr>
                <w:sz w:val="20"/>
                <w:szCs w:val="20"/>
                <w:color w:val="auto"/>
              </w:rPr>
            </w:pPr>
            <w:r>
              <w:rPr>
                <w:rFonts w:ascii="Arial" w:cs="Arial" w:eastAsia="Arial" w:hAnsi="Arial"/>
                <w:sz w:val="16"/>
                <w:szCs w:val="16"/>
                <w:b w:val="1"/>
                <w:bCs w:val="1"/>
                <w:color w:val="FFFFFF"/>
              </w:rPr>
              <w:t>Type of Fee (all fees below are annual)</w:t>
            </w:r>
          </w:p>
        </w:tc>
        <w:tc>
          <w:tcPr>
            <w:tcW w:w="1560" w:type="dxa"/>
            <w:vAlign w:val="bottom"/>
            <w:shd w:val="clear" w:color="auto" w:fill="998C87"/>
          </w:tcPr>
          <w:p>
            <w:pPr>
              <w:jc w:val="right"/>
              <w:ind w:right="596"/>
              <w:spacing w:after="0"/>
              <w:rPr>
                <w:sz w:val="20"/>
                <w:szCs w:val="20"/>
                <w:color w:val="auto"/>
              </w:rPr>
            </w:pPr>
            <w:r>
              <w:rPr>
                <w:rFonts w:ascii="Arial" w:cs="Arial" w:eastAsia="Arial" w:hAnsi="Arial"/>
                <w:sz w:val="16"/>
                <w:szCs w:val="16"/>
                <w:b w:val="1"/>
                <w:bCs w:val="1"/>
                <w:color w:val="FFFFFF"/>
              </w:rPr>
              <w:t>($)</w:t>
            </w:r>
          </w:p>
        </w:tc>
      </w:tr>
      <w:tr>
        <w:trPr>
          <w:trHeight w:val="243"/>
        </w:trPr>
        <w:tc>
          <w:tcPr>
            <w:tcW w:w="9440" w:type="dxa"/>
            <w:vAlign w:val="bottom"/>
            <w:shd w:val="clear" w:color="auto" w:fill="F4F3F3"/>
          </w:tcPr>
          <w:p>
            <w:pPr>
              <w:ind w:left="160"/>
              <w:spacing w:after="0"/>
              <w:rPr>
                <w:sz w:val="20"/>
                <w:szCs w:val="20"/>
                <w:color w:val="auto"/>
              </w:rPr>
            </w:pPr>
            <w:r>
              <w:rPr>
                <w:rFonts w:ascii="Arial" w:cs="Arial" w:eastAsia="Arial" w:hAnsi="Arial"/>
                <w:sz w:val="17"/>
                <w:szCs w:val="17"/>
                <w:color w:val="auto"/>
              </w:rPr>
              <w:t>Board Retainer Fee</w:t>
            </w:r>
          </w:p>
        </w:tc>
        <w:tc>
          <w:tcPr>
            <w:tcW w:w="1560" w:type="dxa"/>
            <w:vAlign w:val="bottom"/>
            <w:shd w:val="clear" w:color="auto" w:fill="F4F3F3"/>
          </w:tcPr>
          <w:p>
            <w:pPr>
              <w:jc w:val="right"/>
              <w:spacing w:after="0"/>
              <w:rPr>
                <w:sz w:val="20"/>
                <w:szCs w:val="20"/>
                <w:color w:val="auto"/>
              </w:rPr>
            </w:pPr>
            <w:r>
              <w:rPr>
                <w:rFonts w:ascii="Arial" w:cs="Arial" w:eastAsia="Arial" w:hAnsi="Arial"/>
                <w:sz w:val="17"/>
                <w:szCs w:val="17"/>
                <w:color w:val="auto"/>
              </w:rPr>
              <w:t>85,000</w:t>
            </w:r>
          </w:p>
        </w:tc>
      </w:tr>
      <w:tr>
        <w:trPr>
          <w:trHeight w:val="243"/>
        </w:trPr>
        <w:tc>
          <w:tcPr>
            <w:tcW w:w="9440" w:type="dxa"/>
            <w:vAlign w:val="bottom"/>
            <w:shd w:val="clear" w:color="auto" w:fill="F4F3F3"/>
          </w:tcPr>
          <w:p>
            <w:pPr>
              <w:ind w:left="160"/>
              <w:spacing w:after="0"/>
              <w:rPr>
                <w:sz w:val="20"/>
                <w:szCs w:val="20"/>
                <w:color w:val="auto"/>
              </w:rPr>
            </w:pPr>
            <w:r>
              <w:rPr>
                <w:rFonts w:ascii="Arial" w:cs="Arial" w:eastAsia="Arial" w:hAnsi="Arial"/>
                <w:sz w:val="17"/>
                <w:szCs w:val="17"/>
                <w:color w:val="auto"/>
              </w:rPr>
              <w:t>Share Award</w:t>
            </w:r>
          </w:p>
        </w:tc>
        <w:tc>
          <w:tcPr>
            <w:tcW w:w="1560" w:type="dxa"/>
            <w:vAlign w:val="bottom"/>
            <w:shd w:val="clear" w:color="auto" w:fill="F4F3F3"/>
          </w:tcPr>
          <w:p>
            <w:pPr>
              <w:jc w:val="right"/>
              <w:spacing w:after="0"/>
              <w:rPr>
                <w:sz w:val="20"/>
                <w:szCs w:val="20"/>
                <w:color w:val="auto"/>
              </w:rPr>
            </w:pPr>
            <w:r>
              <w:rPr>
                <w:rFonts w:ascii="Arial" w:cs="Arial" w:eastAsia="Arial" w:hAnsi="Arial"/>
                <w:sz w:val="17"/>
                <w:szCs w:val="17"/>
                <w:color w:val="auto"/>
              </w:rPr>
              <w:t>140,000</w:t>
            </w:r>
          </w:p>
        </w:tc>
      </w:tr>
      <w:tr>
        <w:trPr>
          <w:trHeight w:val="243"/>
        </w:trPr>
        <w:tc>
          <w:tcPr>
            <w:tcW w:w="9440" w:type="dxa"/>
            <w:vAlign w:val="bottom"/>
            <w:shd w:val="clear" w:color="auto" w:fill="F4F3F3"/>
          </w:tcPr>
          <w:p>
            <w:pPr>
              <w:ind w:left="160"/>
              <w:spacing w:after="0"/>
              <w:rPr>
                <w:sz w:val="20"/>
                <w:szCs w:val="20"/>
                <w:color w:val="auto"/>
              </w:rPr>
            </w:pPr>
            <w:r>
              <w:rPr>
                <w:rFonts w:ascii="Arial" w:cs="Arial" w:eastAsia="Arial" w:hAnsi="Arial"/>
                <w:sz w:val="17"/>
                <w:szCs w:val="17"/>
                <w:color w:val="auto"/>
              </w:rPr>
              <w:t>Audit Committee Chair Fee</w:t>
            </w:r>
          </w:p>
        </w:tc>
        <w:tc>
          <w:tcPr>
            <w:tcW w:w="1560" w:type="dxa"/>
            <w:vAlign w:val="bottom"/>
            <w:shd w:val="clear" w:color="auto" w:fill="F4F3F3"/>
          </w:tcPr>
          <w:p>
            <w:pPr>
              <w:jc w:val="right"/>
              <w:spacing w:after="0"/>
              <w:rPr>
                <w:sz w:val="20"/>
                <w:szCs w:val="20"/>
                <w:color w:val="auto"/>
              </w:rPr>
            </w:pPr>
            <w:r>
              <w:rPr>
                <w:rFonts w:ascii="Arial" w:cs="Arial" w:eastAsia="Arial" w:hAnsi="Arial"/>
                <w:sz w:val="17"/>
                <w:szCs w:val="17"/>
                <w:color w:val="auto"/>
              </w:rPr>
              <w:t>20,000</w:t>
            </w:r>
          </w:p>
        </w:tc>
      </w:tr>
      <w:tr>
        <w:trPr>
          <w:trHeight w:val="243"/>
        </w:trPr>
        <w:tc>
          <w:tcPr>
            <w:tcW w:w="9440" w:type="dxa"/>
            <w:vAlign w:val="bottom"/>
            <w:shd w:val="clear" w:color="auto" w:fill="F4F3F3"/>
          </w:tcPr>
          <w:p>
            <w:pPr>
              <w:ind w:left="160"/>
              <w:spacing w:after="0"/>
              <w:rPr>
                <w:sz w:val="20"/>
                <w:szCs w:val="20"/>
                <w:color w:val="auto"/>
              </w:rPr>
            </w:pPr>
            <w:r>
              <w:rPr>
                <w:rFonts w:ascii="Arial" w:cs="Arial" w:eastAsia="Arial" w:hAnsi="Arial"/>
                <w:sz w:val="17"/>
                <w:szCs w:val="17"/>
                <w:color w:val="auto"/>
              </w:rPr>
              <w:t>Other (Non-Audit) Committee Chair Fee</w:t>
            </w:r>
          </w:p>
        </w:tc>
        <w:tc>
          <w:tcPr>
            <w:tcW w:w="1560" w:type="dxa"/>
            <w:vAlign w:val="bottom"/>
            <w:shd w:val="clear" w:color="auto" w:fill="F4F3F3"/>
          </w:tcPr>
          <w:p>
            <w:pPr>
              <w:jc w:val="right"/>
              <w:spacing w:after="0"/>
              <w:rPr>
                <w:sz w:val="20"/>
                <w:szCs w:val="20"/>
                <w:color w:val="auto"/>
              </w:rPr>
            </w:pPr>
            <w:r>
              <w:rPr>
                <w:rFonts w:ascii="Arial" w:cs="Arial" w:eastAsia="Arial" w:hAnsi="Arial"/>
                <w:sz w:val="17"/>
                <w:szCs w:val="17"/>
                <w:color w:val="auto"/>
              </w:rPr>
              <w:t>10,000</w:t>
            </w:r>
          </w:p>
        </w:tc>
      </w:tr>
      <w:tr>
        <w:trPr>
          <w:trHeight w:val="243"/>
        </w:trPr>
        <w:tc>
          <w:tcPr>
            <w:tcW w:w="9440" w:type="dxa"/>
            <w:vAlign w:val="bottom"/>
            <w:shd w:val="clear" w:color="auto" w:fill="F4F3F3"/>
          </w:tcPr>
          <w:p>
            <w:pPr>
              <w:ind w:left="160"/>
              <w:spacing w:after="0"/>
              <w:rPr>
                <w:sz w:val="20"/>
                <w:szCs w:val="20"/>
                <w:color w:val="auto"/>
              </w:rPr>
            </w:pPr>
            <w:r>
              <w:rPr>
                <w:rFonts w:ascii="Arial" w:cs="Arial" w:eastAsia="Arial" w:hAnsi="Arial"/>
                <w:sz w:val="17"/>
                <w:szCs w:val="17"/>
                <w:color w:val="auto"/>
              </w:rPr>
              <w:t>Audit Committee Member Retainer</w:t>
            </w:r>
          </w:p>
        </w:tc>
        <w:tc>
          <w:tcPr>
            <w:tcW w:w="1560" w:type="dxa"/>
            <w:vAlign w:val="bottom"/>
            <w:shd w:val="clear" w:color="auto" w:fill="F4F3F3"/>
          </w:tcPr>
          <w:p>
            <w:pPr>
              <w:jc w:val="right"/>
              <w:spacing w:after="0"/>
              <w:rPr>
                <w:sz w:val="20"/>
                <w:szCs w:val="20"/>
                <w:color w:val="auto"/>
              </w:rPr>
            </w:pPr>
            <w:r>
              <w:rPr>
                <w:rFonts w:ascii="Arial" w:cs="Arial" w:eastAsia="Arial" w:hAnsi="Arial"/>
                <w:sz w:val="17"/>
                <w:szCs w:val="17"/>
                <w:color w:val="auto"/>
              </w:rPr>
              <w:t>10,000</w:t>
            </w:r>
          </w:p>
        </w:tc>
      </w:tr>
      <w:tr>
        <w:trPr>
          <w:trHeight w:val="27"/>
        </w:trPr>
        <w:tc>
          <w:tcPr>
            <w:tcW w:w="9440" w:type="dxa"/>
            <w:vAlign w:val="bottom"/>
            <w:shd w:val="clear" w:color="auto" w:fill="F4F3F3"/>
          </w:tcPr>
          <w:p>
            <w:pPr>
              <w:spacing w:after="0"/>
              <w:rPr>
                <w:sz w:val="2"/>
                <w:szCs w:val="2"/>
                <w:color w:val="auto"/>
              </w:rPr>
            </w:pPr>
          </w:p>
        </w:tc>
        <w:tc>
          <w:tcPr>
            <w:tcW w:w="1560" w:type="dxa"/>
            <w:vAlign w:val="bottom"/>
            <w:shd w:val="clear" w:color="auto" w:fill="F4F3F3"/>
          </w:tcPr>
          <w:p>
            <w:pPr>
              <w:spacing w:after="0"/>
              <w:rPr>
                <w:sz w:val="2"/>
                <w:szCs w:val="2"/>
                <w:color w:val="auto"/>
              </w:rPr>
            </w:pPr>
          </w:p>
        </w:tc>
      </w:tr>
    </w:tbl>
    <w:p>
      <w:pPr>
        <w:spacing w:after="0" w:line="93" w:lineRule="exact"/>
        <w:rPr>
          <w:sz w:val="20"/>
          <w:szCs w:val="20"/>
          <w:color w:val="auto"/>
        </w:rPr>
      </w:pPr>
    </w:p>
    <w:p>
      <w:pPr>
        <w:ind w:left="220" w:right="60"/>
        <w:spacing w:after="0" w:line="238" w:lineRule="auto"/>
        <w:rPr>
          <w:sz w:val="20"/>
          <w:szCs w:val="20"/>
          <w:color w:val="auto"/>
        </w:rPr>
      </w:pPr>
      <w:r>
        <w:rPr>
          <w:rFonts w:ascii="Arial" w:cs="Arial" w:eastAsia="Arial" w:hAnsi="Arial"/>
          <w:sz w:val="17"/>
          <w:szCs w:val="17"/>
          <w:color w:val="auto"/>
        </w:rPr>
        <w:t>We pay a retainer and chair fees on a quarterly basis. However, in accordance with established Company procedures, a director may make an advance election to defer payment of all or a portion of his or her director fees pursuant to the Stock Plan and/or the EDC. Annual retainer and chair fees that are deferred pursuant to the Stock Plan will be credited as stock units to the director’s stock unit account in the plan. As elected by the director, retainer and chair fees that are credited to the director’s stock unit account as stock units may be distributed as an equal number of shares in a lump sum or in one to 10 annual installments following termination of service as a Board member. Additional stock units are credited to the director’s stock unit account to reflect any dividends paid on our Class A common stock in a number equal to (x) the per-share cash dividend amount multiplied by the number of stock units in the director’s account divided by (y) the average of the high and low prices of a share of our Class A common stock on the dividend payment date.</w:t>
      </w:r>
    </w:p>
    <w:p>
      <w:pPr>
        <w:spacing w:after="0" w:line="68" w:lineRule="exact"/>
        <w:rPr>
          <w:sz w:val="20"/>
          <w:szCs w:val="20"/>
          <w:color w:val="auto"/>
        </w:rPr>
      </w:pPr>
    </w:p>
    <w:p>
      <w:pPr>
        <w:ind w:left="220" w:right="140"/>
        <w:spacing w:after="0" w:line="246" w:lineRule="auto"/>
        <w:rPr>
          <w:sz w:val="20"/>
          <w:szCs w:val="20"/>
          <w:color w:val="auto"/>
        </w:rPr>
      </w:pPr>
      <w:r>
        <w:rPr>
          <w:rFonts w:ascii="Arial" w:cs="Arial" w:eastAsia="Arial" w:hAnsi="Arial"/>
          <w:sz w:val="17"/>
          <w:szCs w:val="17"/>
          <w:color w:val="auto"/>
        </w:rPr>
        <w:t>Alternatively, a director may make an advance election to receive payment of all or any part of his or her retainer fees (not chair fees) in the form of SARs having an equivalent grant date value. We grant director SARs with an exercise price equal to fair market value on the grant date and with a 10-year term. The SARs become vested and exercisable on the last business day immediately preceding the next annual meeting of stockholders or, if earlier, upon the director’s termination of service due to death or permanent disability.</w:t>
      </w:r>
    </w:p>
    <w:p>
      <w:pPr>
        <w:spacing w:after="0" w:line="62" w:lineRule="exact"/>
        <w:rPr>
          <w:sz w:val="20"/>
          <w:szCs w:val="20"/>
          <w:color w:val="auto"/>
        </w:rPr>
      </w:pPr>
    </w:p>
    <w:p>
      <w:pPr>
        <w:ind w:left="220" w:right="20"/>
        <w:spacing w:after="0" w:line="242" w:lineRule="auto"/>
        <w:rPr>
          <w:sz w:val="20"/>
          <w:szCs w:val="20"/>
          <w:color w:val="auto"/>
        </w:rPr>
      </w:pPr>
      <w:r>
        <w:rPr>
          <w:rFonts w:ascii="Arial" w:cs="Arial" w:eastAsia="Arial" w:hAnsi="Arial"/>
          <w:sz w:val="17"/>
          <w:szCs w:val="17"/>
          <w:color w:val="auto"/>
        </w:rPr>
        <w:t>The Company grants the Non-Employee Director Share Awards following the Company’s annual meeting of stockholders. A Director Share Award is a fully vested grant of stock that the director may choose to have distributed in a lump sum on the one-year anniversary of the grant or in a lump sum or one to 10 annual installments following termination of service as a Board member. Directors make their elections in the year prior to grant of the award. The annual Non-Employee Director Share Awards neither accrue dividend equivalents nor provide voting rights until the stock is distributed.</w:t>
      </w:r>
    </w:p>
    <w:p>
      <w:pPr>
        <w:spacing w:after="0" w:line="112" w:lineRule="exact"/>
        <w:rPr>
          <w:sz w:val="20"/>
          <w:szCs w:val="20"/>
          <w:color w:val="auto"/>
        </w:rPr>
      </w:pPr>
    </w:p>
    <w:tbl>
      <w:tblPr>
        <w:tblLayout w:type="fixed"/>
        <w:tblInd w:w="9180" w:type="dxa"/>
        <w:tblCellMar>
          <w:top w:w="0" w:type="dxa"/>
          <w:left w:w="0" w:type="dxa"/>
          <w:bottom w:w="0" w:type="dxa"/>
          <w:right w:w="0" w:type="dxa"/>
        </w:tblCellMar>
      </w:tblPr>
      <w:tr>
        <w:trPr>
          <w:trHeight w:val="214"/>
        </w:trPr>
        <w:tc>
          <w:tcPr>
            <w:tcW w:w="1660" w:type="dxa"/>
            <w:vAlign w:val="bottom"/>
          </w:tcPr>
          <w:p>
            <w:pPr>
              <w:spacing w:after="0"/>
              <w:rPr>
                <w:sz w:val="20"/>
                <w:szCs w:val="20"/>
                <w:color w:val="auto"/>
              </w:rPr>
            </w:pPr>
            <w:r>
              <w:rPr>
                <w:rFonts w:ascii="Arial" w:cs="Arial" w:eastAsia="Arial" w:hAnsi="Arial"/>
                <w:sz w:val="15"/>
                <w:szCs w:val="15"/>
                <w:color w:val="998C87"/>
              </w:rPr>
              <w:t>2018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57</w:t>
            </w:r>
          </w:p>
        </w:tc>
      </w:tr>
    </w:tbl>
    <w:p>
      <w:pPr>
        <w:sectPr>
          <w:pgSz w:w="11900" w:h="16838" w:orient="portrait"/>
          <w:cols w:equalWidth="0" w:num="1">
            <w:col w:w="11220"/>
          </w:cols>
          <w:pgMar w:left="240" w:top="455" w:right="4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1" w:lineRule="exact"/>
        <w:rPr>
          <w:sz w:val="20"/>
          <w:szCs w:val="20"/>
          <w:color w:val="auto"/>
        </w:rPr>
      </w:pPr>
    </w:p>
    <w:p>
      <w:pPr>
        <w:ind w:left="220" w:right="80"/>
        <w:spacing w:after="0" w:line="242" w:lineRule="auto"/>
        <w:rPr>
          <w:sz w:val="20"/>
          <w:szCs w:val="20"/>
          <w:color w:val="auto"/>
        </w:rPr>
      </w:pPr>
      <w:r>
        <w:rPr>
          <w:rFonts w:ascii="Arial" w:cs="Arial" w:eastAsia="Arial" w:hAnsi="Arial"/>
          <w:sz w:val="17"/>
          <w:szCs w:val="17"/>
          <w:color w:val="auto"/>
        </w:rPr>
        <w:t>The Company reimburses directors for travel expenses, other out-of-pocket costs they incur when attending meetings and, for one meeting per year, attendance by spouses. To encourage our directors to visit and personally evaluate our properties, the directors also receive complimentary rooms, food and beverages at Company-owned, operated or franchised hotels, as well as the use of hotel-related services such as Marriott-managed golf and spa facilities, when on personal travel. We report the value of these benefits to the directors as taxable compensation and do not provide the directors any gross-up to cover such taxes.</w:t>
      </w:r>
    </w:p>
    <w:p>
      <w:pPr>
        <w:spacing w:after="0" w:line="67" w:lineRule="exact"/>
        <w:rPr>
          <w:sz w:val="20"/>
          <w:szCs w:val="20"/>
          <w:color w:val="auto"/>
        </w:rPr>
      </w:pPr>
    </w:p>
    <w:p>
      <w:pPr>
        <w:ind w:left="220" w:right="40"/>
        <w:spacing w:after="0" w:line="246" w:lineRule="auto"/>
        <w:rPr>
          <w:sz w:val="20"/>
          <w:szCs w:val="20"/>
          <w:color w:val="auto"/>
        </w:rPr>
      </w:pPr>
      <w:r>
        <w:rPr>
          <w:rFonts w:ascii="Arial" w:cs="Arial" w:eastAsia="Arial" w:hAnsi="Arial"/>
          <w:sz w:val="17"/>
          <w:szCs w:val="17"/>
          <w:color w:val="auto"/>
        </w:rPr>
        <w:t>The Board of Directors believes that stock ownership by non-employee directors is essential for aligning their interests with those of stockholders. To emphasize this principle, Board stock ownership guidelines require that each non-employee director own Company stock or stock units valued at three times the director’s combined annual cash and stock retainers, or roughly eight times the annual cash retainer. All non-employee directors who have served as directors of the Company for five years or more have met this goal.</w:t>
      </w:r>
    </w:p>
    <w:p>
      <w:pPr>
        <w:spacing w:after="0" w:line="271"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Director Compensation for Fiscal Year 2017</w:t>
      </w:r>
    </w:p>
    <w:p>
      <w:pPr>
        <w:spacing w:after="0" w:line="104" w:lineRule="exact"/>
        <w:rPr>
          <w:sz w:val="20"/>
          <w:szCs w:val="20"/>
          <w:color w:val="auto"/>
        </w:rPr>
      </w:pPr>
    </w:p>
    <w:p>
      <w:pPr>
        <w:ind w:left="220" w:right="460"/>
        <w:spacing w:after="0" w:line="274" w:lineRule="auto"/>
        <w:rPr>
          <w:sz w:val="20"/>
          <w:szCs w:val="20"/>
          <w:color w:val="auto"/>
        </w:rPr>
      </w:pPr>
      <w:r>
        <w:rPr>
          <w:rFonts w:ascii="Arial" w:cs="Arial" w:eastAsia="Arial" w:hAnsi="Arial"/>
          <w:sz w:val="17"/>
          <w:szCs w:val="17"/>
          <w:color w:val="auto"/>
        </w:rPr>
        <w:t>The following Director Compensation Table presents the compensation we paid in 2017 to our non-employee directors. As officers, Deborah Marriott Harrison, J.W. Marriott, Jr. and Arne M. Sorenson are not paid for their service as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128270</wp:posOffset>
            </wp:positionV>
            <wp:extent cx="6989445" cy="256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89445" cy="2569845"/>
                    </a:xfrm>
                    <a:prstGeom prst="rect">
                      <a:avLst/>
                    </a:prstGeom>
                    <a:noFill/>
                  </pic:spPr>
                </pic:pic>
              </a:graphicData>
            </a:graphic>
          </wp:anchor>
        </w:drawing>
      </w:r>
    </w:p>
    <w:p>
      <w:pPr>
        <w:spacing w:after="0" w:line="167"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3520" w:type="dxa"/>
            <w:vAlign w:val="bottom"/>
            <w:shd w:val="clear" w:color="auto" w:fill="998C87"/>
          </w:tcPr>
          <w:p>
            <w:pPr>
              <w:spacing w:after="0"/>
              <w:rPr>
                <w:sz w:val="16"/>
                <w:szCs w:val="16"/>
                <w:color w:val="auto"/>
              </w:rPr>
            </w:pPr>
          </w:p>
        </w:tc>
        <w:tc>
          <w:tcPr>
            <w:tcW w:w="1540" w:type="dxa"/>
            <w:vAlign w:val="bottom"/>
            <w:shd w:val="clear" w:color="auto" w:fill="998C87"/>
          </w:tcPr>
          <w:p>
            <w:pPr>
              <w:spacing w:after="0"/>
              <w:rPr>
                <w:sz w:val="16"/>
                <w:szCs w:val="16"/>
                <w:color w:val="auto"/>
              </w:rPr>
            </w:pPr>
          </w:p>
        </w:tc>
        <w:tc>
          <w:tcPr>
            <w:tcW w:w="1420" w:type="dxa"/>
            <w:vAlign w:val="bottom"/>
            <w:shd w:val="clear" w:color="auto" w:fill="998C87"/>
          </w:tcPr>
          <w:p>
            <w:pPr>
              <w:spacing w:after="0"/>
              <w:rPr>
                <w:sz w:val="16"/>
                <w:szCs w:val="16"/>
                <w:color w:val="auto"/>
              </w:rPr>
            </w:pPr>
          </w:p>
        </w:tc>
        <w:tc>
          <w:tcPr>
            <w:tcW w:w="162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Change in</w:t>
            </w:r>
          </w:p>
        </w:tc>
        <w:tc>
          <w:tcPr>
            <w:tcW w:w="1560" w:type="dxa"/>
            <w:vAlign w:val="bottom"/>
            <w:shd w:val="clear" w:color="auto" w:fill="998C87"/>
          </w:tcPr>
          <w:p>
            <w:pPr>
              <w:spacing w:after="0"/>
              <w:rPr>
                <w:sz w:val="16"/>
                <w:szCs w:val="16"/>
                <w:color w:val="auto"/>
              </w:rPr>
            </w:pPr>
          </w:p>
        </w:tc>
        <w:tc>
          <w:tcPr>
            <w:tcW w:w="1340" w:type="dxa"/>
            <w:vAlign w:val="bottom"/>
            <w:shd w:val="clear" w:color="auto" w:fill="998C87"/>
          </w:tcPr>
          <w:p>
            <w:pPr>
              <w:spacing w:after="0"/>
              <w:rPr>
                <w:sz w:val="16"/>
                <w:szCs w:val="16"/>
                <w:color w:val="auto"/>
              </w:rPr>
            </w:pPr>
          </w:p>
        </w:tc>
      </w:tr>
      <w:tr>
        <w:trPr>
          <w:trHeight w:val="189"/>
        </w:trPr>
        <w:tc>
          <w:tcPr>
            <w:tcW w:w="3520" w:type="dxa"/>
            <w:vAlign w:val="bottom"/>
            <w:shd w:val="clear" w:color="auto" w:fill="998C87"/>
          </w:tcPr>
          <w:p>
            <w:pPr>
              <w:spacing w:after="0"/>
              <w:rPr>
                <w:sz w:val="16"/>
                <w:szCs w:val="16"/>
                <w:color w:val="auto"/>
              </w:rPr>
            </w:pPr>
          </w:p>
        </w:tc>
        <w:tc>
          <w:tcPr>
            <w:tcW w:w="1540" w:type="dxa"/>
            <w:vAlign w:val="bottom"/>
            <w:shd w:val="clear" w:color="auto" w:fill="998C87"/>
          </w:tcPr>
          <w:p>
            <w:pPr>
              <w:spacing w:after="0"/>
              <w:rPr>
                <w:sz w:val="16"/>
                <w:szCs w:val="16"/>
                <w:color w:val="auto"/>
              </w:rPr>
            </w:pPr>
          </w:p>
        </w:tc>
        <w:tc>
          <w:tcPr>
            <w:tcW w:w="1420" w:type="dxa"/>
            <w:vAlign w:val="bottom"/>
            <w:shd w:val="clear" w:color="auto" w:fill="998C87"/>
          </w:tcPr>
          <w:p>
            <w:pPr>
              <w:spacing w:after="0"/>
              <w:rPr>
                <w:sz w:val="16"/>
                <w:szCs w:val="16"/>
                <w:color w:val="auto"/>
              </w:rPr>
            </w:pPr>
          </w:p>
        </w:tc>
        <w:tc>
          <w:tcPr>
            <w:tcW w:w="162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Pension Value</w:t>
            </w:r>
          </w:p>
        </w:tc>
        <w:tc>
          <w:tcPr>
            <w:tcW w:w="1560" w:type="dxa"/>
            <w:vAlign w:val="bottom"/>
            <w:shd w:val="clear" w:color="auto" w:fill="998C87"/>
          </w:tcPr>
          <w:p>
            <w:pPr>
              <w:spacing w:after="0"/>
              <w:rPr>
                <w:sz w:val="16"/>
                <w:szCs w:val="16"/>
                <w:color w:val="auto"/>
              </w:rPr>
            </w:pPr>
          </w:p>
        </w:tc>
        <w:tc>
          <w:tcPr>
            <w:tcW w:w="1340" w:type="dxa"/>
            <w:vAlign w:val="bottom"/>
            <w:shd w:val="clear" w:color="auto" w:fill="998C87"/>
          </w:tcPr>
          <w:p>
            <w:pPr>
              <w:spacing w:after="0"/>
              <w:rPr>
                <w:sz w:val="16"/>
                <w:szCs w:val="16"/>
                <w:color w:val="auto"/>
              </w:rPr>
            </w:pPr>
          </w:p>
        </w:tc>
      </w:tr>
      <w:tr>
        <w:trPr>
          <w:trHeight w:val="189"/>
        </w:trPr>
        <w:tc>
          <w:tcPr>
            <w:tcW w:w="3520" w:type="dxa"/>
            <w:vAlign w:val="bottom"/>
            <w:shd w:val="clear" w:color="auto" w:fill="998C87"/>
          </w:tcPr>
          <w:p>
            <w:pPr>
              <w:spacing w:after="0"/>
              <w:rPr>
                <w:sz w:val="16"/>
                <w:szCs w:val="16"/>
                <w:color w:val="auto"/>
              </w:rPr>
            </w:pPr>
          </w:p>
        </w:tc>
        <w:tc>
          <w:tcPr>
            <w:tcW w:w="1540" w:type="dxa"/>
            <w:vAlign w:val="bottom"/>
            <w:shd w:val="clear" w:color="auto" w:fill="998C87"/>
          </w:tcPr>
          <w:p>
            <w:pPr>
              <w:spacing w:after="0"/>
              <w:rPr>
                <w:sz w:val="16"/>
                <w:szCs w:val="16"/>
                <w:color w:val="auto"/>
              </w:rPr>
            </w:pPr>
          </w:p>
        </w:tc>
        <w:tc>
          <w:tcPr>
            <w:tcW w:w="1420" w:type="dxa"/>
            <w:vAlign w:val="bottom"/>
            <w:shd w:val="clear" w:color="auto" w:fill="998C87"/>
          </w:tcPr>
          <w:p>
            <w:pPr>
              <w:spacing w:after="0"/>
              <w:rPr>
                <w:sz w:val="16"/>
                <w:szCs w:val="16"/>
                <w:color w:val="auto"/>
              </w:rPr>
            </w:pPr>
          </w:p>
        </w:tc>
        <w:tc>
          <w:tcPr>
            <w:tcW w:w="162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and Nonqualified</w:t>
            </w:r>
          </w:p>
        </w:tc>
        <w:tc>
          <w:tcPr>
            <w:tcW w:w="1560" w:type="dxa"/>
            <w:vAlign w:val="bottom"/>
            <w:shd w:val="clear" w:color="auto" w:fill="998C87"/>
          </w:tcPr>
          <w:p>
            <w:pPr>
              <w:spacing w:after="0"/>
              <w:rPr>
                <w:sz w:val="16"/>
                <w:szCs w:val="16"/>
                <w:color w:val="auto"/>
              </w:rPr>
            </w:pPr>
          </w:p>
        </w:tc>
        <w:tc>
          <w:tcPr>
            <w:tcW w:w="1340" w:type="dxa"/>
            <w:vAlign w:val="bottom"/>
            <w:shd w:val="clear" w:color="auto" w:fill="998C87"/>
          </w:tcPr>
          <w:p>
            <w:pPr>
              <w:spacing w:after="0"/>
              <w:rPr>
                <w:sz w:val="16"/>
                <w:szCs w:val="16"/>
                <w:color w:val="auto"/>
              </w:rPr>
            </w:pPr>
          </w:p>
        </w:tc>
      </w:tr>
      <w:tr>
        <w:trPr>
          <w:trHeight w:val="189"/>
        </w:trPr>
        <w:tc>
          <w:tcPr>
            <w:tcW w:w="3520" w:type="dxa"/>
            <w:vAlign w:val="bottom"/>
            <w:shd w:val="clear" w:color="auto" w:fill="998C87"/>
          </w:tcPr>
          <w:p>
            <w:pPr>
              <w:spacing w:after="0"/>
              <w:rPr>
                <w:sz w:val="16"/>
                <w:szCs w:val="16"/>
                <w:color w:val="auto"/>
              </w:rPr>
            </w:pPr>
          </w:p>
        </w:tc>
        <w:tc>
          <w:tcPr>
            <w:tcW w:w="1540" w:type="dxa"/>
            <w:vAlign w:val="bottom"/>
            <w:shd w:val="clear" w:color="auto" w:fill="998C87"/>
          </w:tcPr>
          <w:p>
            <w:pPr>
              <w:spacing w:after="0"/>
              <w:rPr>
                <w:sz w:val="16"/>
                <w:szCs w:val="16"/>
                <w:color w:val="auto"/>
              </w:rPr>
            </w:pPr>
          </w:p>
        </w:tc>
        <w:tc>
          <w:tcPr>
            <w:tcW w:w="1420" w:type="dxa"/>
            <w:vAlign w:val="bottom"/>
            <w:shd w:val="clear" w:color="auto" w:fill="998C87"/>
          </w:tcPr>
          <w:p>
            <w:pPr>
              <w:spacing w:after="0"/>
              <w:rPr>
                <w:sz w:val="16"/>
                <w:szCs w:val="16"/>
                <w:color w:val="auto"/>
              </w:rPr>
            </w:pPr>
          </w:p>
        </w:tc>
        <w:tc>
          <w:tcPr>
            <w:tcW w:w="162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Deferred</w:t>
            </w:r>
          </w:p>
        </w:tc>
        <w:tc>
          <w:tcPr>
            <w:tcW w:w="1560" w:type="dxa"/>
            <w:vAlign w:val="bottom"/>
            <w:shd w:val="clear" w:color="auto" w:fill="998C87"/>
          </w:tcPr>
          <w:p>
            <w:pPr>
              <w:spacing w:after="0"/>
              <w:rPr>
                <w:sz w:val="16"/>
                <w:szCs w:val="16"/>
                <w:color w:val="auto"/>
              </w:rPr>
            </w:pPr>
          </w:p>
        </w:tc>
        <w:tc>
          <w:tcPr>
            <w:tcW w:w="1340" w:type="dxa"/>
            <w:vAlign w:val="bottom"/>
            <w:shd w:val="clear" w:color="auto" w:fill="998C87"/>
          </w:tcPr>
          <w:p>
            <w:pPr>
              <w:spacing w:after="0"/>
              <w:rPr>
                <w:sz w:val="16"/>
                <w:szCs w:val="16"/>
                <w:color w:val="auto"/>
              </w:rPr>
            </w:pPr>
          </w:p>
        </w:tc>
      </w:tr>
      <w:tr>
        <w:trPr>
          <w:trHeight w:val="189"/>
        </w:trPr>
        <w:tc>
          <w:tcPr>
            <w:tcW w:w="3520" w:type="dxa"/>
            <w:vAlign w:val="bottom"/>
            <w:shd w:val="clear" w:color="auto" w:fill="998C87"/>
          </w:tcPr>
          <w:p>
            <w:pPr>
              <w:spacing w:after="0"/>
              <w:rPr>
                <w:sz w:val="16"/>
                <w:szCs w:val="16"/>
                <w:color w:val="auto"/>
              </w:rPr>
            </w:pPr>
          </w:p>
        </w:tc>
        <w:tc>
          <w:tcPr>
            <w:tcW w:w="15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Fees Earned or</w:t>
            </w:r>
          </w:p>
        </w:tc>
        <w:tc>
          <w:tcPr>
            <w:tcW w:w="1420" w:type="dxa"/>
            <w:vAlign w:val="bottom"/>
            <w:shd w:val="clear" w:color="auto" w:fill="998C87"/>
          </w:tcPr>
          <w:p>
            <w:pPr>
              <w:spacing w:after="0"/>
              <w:rPr>
                <w:sz w:val="16"/>
                <w:szCs w:val="16"/>
                <w:color w:val="auto"/>
              </w:rPr>
            </w:pPr>
          </w:p>
        </w:tc>
        <w:tc>
          <w:tcPr>
            <w:tcW w:w="162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Compensation</w:t>
            </w:r>
          </w:p>
        </w:tc>
        <w:tc>
          <w:tcPr>
            <w:tcW w:w="1560" w:type="dxa"/>
            <w:vAlign w:val="bottom"/>
            <w:shd w:val="clear" w:color="auto" w:fill="998C87"/>
          </w:tcPr>
          <w:p>
            <w:pPr>
              <w:jc w:val="center"/>
              <w:ind w:right="76"/>
              <w:spacing w:after="0"/>
              <w:rPr>
                <w:sz w:val="20"/>
                <w:szCs w:val="20"/>
                <w:color w:val="auto"/>
              </w:rPr>
            </w:pPr>
            <w:r>
              <w:rPr>
                <w:rFonts w:ascii="Arial" w:cs="Arial" w:eastAsia="Arial" w:hAnsi="Arial"/>
                <w:sz w:val="16"/>
                <w:szCs w:val="16"/>
                <w:b w:val="1"/>
                <w:bCs w:val="1"/>
                <w:color w:val="FFFFFF"/>
              </w:rPr>
              <w:t>All Other</w:t>
            </w:r>
          </w:p>
        </w:tc>
        <w:tc>
          <w:tcPr>
            <w:tcW w:w="1340" w:type="dxa"/>
            <w:vAlign w:val="bottom"/>
            <w:shd w:val="clear" w:color="auto" w:fill="998C87"/>
          </w:tcPr>
          <w:p>
            <w:pPr>
              <w:spacing w:after="0"/>
              <w:rPr>
                <w:sz w:val="16"/>
                <w:szCs w:val="16"/>
                <w:color w:val="auto"/>
              </w:rPr>
            </w:pPr>
          </w:p>
        </w:tc>
      </w:tr>
      <w:tr>
        <w:trPr>
          <w:trHeight w:val="189"/>
        </w:trPr>
        <w:tc>
          <w:tcPr>
            <w:tcW w:w="3520" w:type="dxa"/>
            <w:vAlign w:val="bottom"/>
            <w:shd w:val="clear" w:color="auto" w:fill="998C87"/>
          </w:tcPr>
          <w:p>
            <w:pPr>
              <w:spacing w:after="0"/>
              <w:rPr>
                <w:sz w:val="16"/>
                <w:szCs w:val="16"/>
                <w:color w:val="auto"/>
              </w:rPr>
            </w:pPr>
          </w:p>
        </w:tc>
        <w:tc>
          <w:tcPr>
            <w:tcW w:w="15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Paid in Cash</w:t>
            </w:r>
          </w:p>
        </w:tc>
        <w:tc>
          <w:tcPr>
            <w:tcW w:w="1420" w:type="dxa"/>
            <w:vAlign w:val="bottom"/>
            <w:shd w:val="clear" w:color="auto" w:fill="998C87"/>
          </w:tcPr>
          <w:p>
            <w:pPr>
              <w:jc w:val="right"/>
              <w:ind w:right="75"/>
              <w:spacing w:after="0"/>
              <w:rPr>
                <w:sz w:val="20"/>
                <w:szCs w:val="20"/>
                <w:color w:val="auto"/>
              </w:rPr>
            </w:pPr>
            <w:r>
              <w:rPr>
                <w:rFonts w:ascii="Arial" w:cs="Arial" w:eastAsia="Arial" w:hAnsi="Arial"/>
                <w:sz w:val="16"/>
                <w:szCs w:val="16"/>
                <w:b w:val="1"/>
                <w:bCs w:val="1"/>
                <w:color w:val="FFFFFF"/>
              </w:rPr>
              <w:t>Stock Awards</w:t>
            </w:r>
          </w:p>
        </w:tc>
        <w:tc>
          <w:tcPr>
            <w:tcW w:w="162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Earnings</w:t>
            </w:r>
          </w:p>
        </w:tc>
        <w:tc>
          <w:tcPr>
            <w:tcW w:w="1560" w:type="dxa"/>
            <w:vAlign w:val="bottom"/>
            <w:shd w:val="clear" w:color="auto" w:fill="998C87"/>
          </w:tcPr>
          <w:p>
            <w:pPr>
              <w:jc w:val="center"/>
              <w:ind w:right="76"/>
              <w:spacing w:after="0"/>
              <w:rPr>
                <w:sz w:val="20"/>
                <w:szCs w:val="20"/>
                <w:color w:val="auto"/>
              </w:rPr>
            </w:pPr>
            <w:r>
              <w:rPr>
                <w:rFonts w:ascii="Arial" w:cs="Arial" w:eastAsia="Arial" w:hAnsi="Arial"/>
                <w:sz w:val="16"/>
                <w:szCs w:val="16"/>
                <w:b w:val="1"/>
                <w:bCs w:val="1"/>
                <w:color w:val="FFFFFF"/>
              </w:rPr>
              <w:t>Compensation</w:t>
            </w:r>
          </w:p>
        </w:tc>
        <w:tc>
          <w:tcPr>
            <w:tcW w:w="1340" w:type="dxa"/>
            <w:vAlign w:val="bottom"/>
            <w:shd w:val="clear" w:color="auto" w:fill="998C87"/>
          </w:tcPr>
          <w:p>
            <w:pPr>
              <w:spacing w:after="0"/>
              <w:rPr>
                <w:sz w:val="16"/>
                <w:szCs w:val="16"/>
                <w:color w:val="auto"/>
              </w:rPr>
            </w:pPr>
          </w:p>
        </w:tc>
      </w:tr>
      <w:tr>
        <w:trPr>
          <w:trHeight w:val="236"/>
        </w:trPr>
        <w:tc>
          <w:tcPr>
            <w:tcW w:w="3520" w:type="dxa"/>
            <w:vAlign w:val="bottom"/>
            <w:shd w:val="clear" w:color="auto" w:fill="998C87"/>
          </w:tcPr>
          <w:p>
            <w:pPr>
              <w:ind w:left="220"/>
              <w:spacing w:after="0"/>
              <w:rPr>
                <w:sz w:val="20"/>
                <w:szCs w:val="20"/>
                <w:color w:val="auto"/>
              </w:rPr>
            </w:pPr>
            <w:r>
              <w:rPr>
                <w:rFonts w:ascii="Arial" w:cs="Arial" w:eastAsia="Arial" w:hAnsi="Arial"/>
                <w:sz w:val="16"/>
                <w:szCs w:val="16"/>
                <w:b w:val="1"/>
                <w:bCs w:val="1"/>
                <w:color w:val="FFFFFF"/>
              </w:rPr>
              <w:t>Name</w:t>
            </w:r>
          </w:p>
        </w:tc>
        <w:tc>
          <w:tcPr>
            <w:tcW w:w="15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($)(1)</w:t>
            </w:r>
          </w:p>
        </w:tc>
        <w:tc>
          <w:tcPr>
            <w:tcW w:w="1420" w:type="dxa"/>
            <w:vAlign w:val="bottom"/>
            <w:shd w:val="clear" w:color="auto" w:fill="998C87"/>
          </w:tcPr>
          <w:p>
            <w:pPr>
              <w:jc w:val="right"/>
              <w:ind w:right="315"/>
              <w:spacing w:after="0"/>
              <w:rPr>
                <w:sz w:val="20"/>
                <w:szCs w:val="20"/>
                <w:color w:val="auto"/>
              </w:rPr>
            </w:pPr>
            <w:r>
              <w:rPr>
                <w:rFonts w:ascii="Arial" w:cs="Arial" w:eastAsia="Arial" w:hAnsi="Arial"/>
                <w:sz w:val="16"/>
                <w:szCs w:val="16"/>
                <w:b w:val="1"/>
                <w:bCs w:val="1"/>
                <w:color w:val="FFFFFF"/>
              </w:rPr>
              <w:t>($)(2)(3)</w:t>
            </w:r>
          </w:p>
        </w:tc>
        <w:tc>
          <w:tcPr>
            <w:tcW w:w="162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w w:val="97"/>
              </w:rPr>
              <w:t>($)(4)</w:t>
            </w:r>
          </w:p>
        </w:tc>
        <w:tc>
          <w:tcPr>
            <w:tcW w:w="1560" w:type="dxa"/>
            <w:vAlign w:val="bottom"/>
            <w:shd w:val="clear" w:color="auto" w:fill="998C87"/>
          </w:tcPr>
          <w:p>
            <w:pPr>
              <w:jc w:val="center"/>
              <w:ind w:right="76"/>
              <w:spacing w:after="0"/>
              <w:rPr>
                <w:sz w:val="20"/>
                <w:szCs w:val="20"/>
                <w:color w:val="auto"/>
              </w:rPr>
            </w:pPr>
            <w:r>
              <w:rPr>
                <w:rFonts w:ascii="Arial" w:cs="Arial" w:eastAsia="Arial" w:hAnsi="Arial"/>
                <w:sz w:val="16"/>
                <w:szCs w:val="16"/>
                <w:b w:val="1"/>
                <w:bCs w:val="1"/>
                <w:color w:val="FFFFFF"/>
              </w:rPr>
              <w:t>($)(5)</w:t>
            </w:r>
          </w:p>
        </w:tc>
        <w:tc>
          <w:tcPr>
            <w:tcW w:w="1340" w:type="dxa"/>
            <w:vAlign w:val="bottom"/>
            <w:shd w:val="clear" w:color="auto" w:fill="998C87"/>
          </w:tcPr>
          <w:p>
            <w:pPr>
              <w:jc w:val="right"/>
              <w:ind w:right="335"/>
              <w:spacing w:after="0"/>
              <w:rPr>
                <w:sz w:val="20"/>
                <w:szCs w:val="20"/>
                <w:color w:val="auto"/>
              </w:rPr>
            </w:pPr>
            <w:r>
              <w:rPr>
                <w:rFonts w:ascii="Arial" w:cs="Arial" w:eastAsia="Arial" w:hAnsi="Arial"/>
                <w:sz w:val="16"/>
                <w:szCs w:val="16"/>
                <w:b w:val="1"/>
                <w:bCs w:val="1"/>
                <w:color w:val="FFFFFF"/>
              </w:rPr>
              <w:t>Total ($)</w:t>
            </w:r>
          </w:p>
        </w:tc>
      </w:tr>
      <w:tr>
        <w:trPr>
          <w:trHeight w:val="231"/>
        </w:trPr>
        <w:tc>
          <w:tcPr>
            <w:tcW w:w="3520" w:type="dxa"/>
            <w:vAlign w:val="bottom"/>
            <w:shd w:val="clear" w:color="auto" w:fill="F4F3F3"/>
          </w:tcPr>
          <w:p>
            <w:pPr>
              <w:ind w:left="220"/>
              <w:spacing w:after="0"/>
              <w:rPr>
                <w:sz w:val="20"/>
                <w:szCs w:val="20"/>
                <w:color w:val="auto"/>
              </w:rPr>
            </w:pPr>
            <w:r>
              <w:rPr>
                <w:rFonts w:ascii="Arial" w:cs="Arial" w:eastAsia="Arial" w:hAnsi="Arial"/>
                <w:sz w:val="17"/>
                <w:szCs w:val="17"/>
                <w:color w:val="998C87"/>
              </w:rPr>
              <w:t>Mary K. Bush</w:t>
            </w:r>
          </w:p>
        </w:tc>
        <w:tc>
          <w:tcPr>
            <w:tcW w:w="1540" w:type="dxa"/>
            <w:vAlign w:val="bottom"/>
            <w:shd w:val="clear" w:color="auto" w:fill="F4F3F3"/>
          </w:tcPr>
          <w:p>
            <w:pPr>
              <w:ind w:left="840"/>
              <w:spacing w:after="0"/>
              <w:rPr>
                <w:sz w:val="20"/>
                <w:szCs w:val="20"/>
                <w:color w:val="auto"/>
              </w:rPr>
            </w:pPr>
            <w:r>
              <w:rPr>
                <w:rFonts w:ascii="Arial" w:cs="Arial" w:eastAsia="Arial" w:hAnsi="Arial"/>
                <w:sz w:val="17"/>
                <w:szCs w:val="17"/>
                <w:color w:val="auto"/>
              </w:rPr>
              <w:t>95,000</w:t>
            </w:r>
          </w:p>
        </w:tc>
        <w:tc>
          <w:tcPr>
            <w:tcW w:w="1420" w:type="dxa"/>
            <w:vAlign w:val="bottom"/>
            <w:shd w:val="clear" w:color="auto" w:fill="F4F3F3"/>
          </w:tcPr>
          <w:p>
            <w:pPr>
              <w:jc w:val="right"/>
              <w:ind w:right="55"/>
              <w:spacing w:after="0"/>
              <w:rPr>
                <w:sz w:val="20"/>
                <w:szCs w:val="20"/>
                <w:color w:val="auto"/>
              </w:rPr>
            </w:pPr>
            <w:r>
              <w:rPr>
                <w:rFonts w:ascii="Arial" w:cs="Arial" w:eastAsia="Arial" w:hAnsi="Arial"/>
                <w:sz w:val="17"/>
                <w:szCs w:val="17"/>
                <w:color w:val="auto"/>
              </w:rPr>
              <w:t>140,010</w:t>
            </w:r>
          </w:p>
        </w:tc>
        <w:tc>
          <w:tcPr>
            <w:tcW w:w="1620" w:type="dxa"/>
            <w:vAlign w:val="bottom"/>
            <w:shd w:val="clear" w:color="auto" w:fill="F4F3F3"/>
          </w:tcPr>
          <w:p>
            <w:pPr>
              <w:jc w:val="right"/>
              <w:ind w:right="216"/>
              <w:spacing w:after="0"/>
              <w:rPr>
                <w:sz w:val="20"/>
                <w:szCs w:val="20"/>
                <w:color w:val="auto"/>
              </w:rPr>
            </w:pPr>
            <w:r>
              <w:rPr>
                <w:rFonts w:ascii="Arial" w:cs="Arial" w:eastAsia="Arial" w:hAnsi="Arial"/>
                <w:sz w:val="17"/>
                <w:szCs w:val="17"/>
                <w:color w:val="auto"/>
              </w:rPr>
              <w:t>—</w:t>
            </w:r>
          </w:p>
        </w:tc>
        <w:tc>
          <w:tcPr>
            <w:tcW w:w="1560" w:type="dxa"/>
            <w:vAlign w:val="bottom"/>
            <w:shd w:val="clear" w:color="auto" w:fill="F4F3F3"/>
          </w:tcPr>
          <w:p>
            <w:pPr>
              <w:jc w:val="right"/>
              <w:ind w:right="316"/>
              <w:spacing w:after="0"/>
              <w:rPr>
                <w:sz w:val="20"/>
                <w:szCs w:val="20"/>
                <w:color w:val="auto"/>
              </w:rPr>
            </w:pPr>
            <w:r>
              <w:rPr>
                <w:rFonts w:ascii="Arial" w:cs="Arial" w:eastAsia="Arial" w:hAnsi="Arial"/>
                <w:sz w:val="17"/>
                <w:szCs w:val="17"/>
                <w:color w:val="auto"/>
              </w:rPr>
              <w:t>—</w:t>
            </w:r>
          </w:p>
        </w:tc>
        <w:tc>
          <w:tcPr>
            <w:tcW w:w="134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235,010</w:t>
            </w:r>
          </w:p>
        </w:tc>
      </w:tr>
      <w:tr>
        <w:trPr>
          <w:trHeight w:val="242"/>
        </w:trPr>
        <w:tc>
          <w:tcPr>
            <w:tcW w:w="3520" w:type="dxa"/>
            <w:vAlign w:val="bottom"/>
            <w:shd w:val="clear" w:color="auto" w:fill="F4F3F3"/>
          </w:tcPr>
          <w:p>
            <w:pPr>
              <w:ind w:left="220"/>
              <w:spacing w:after="0"/>
              <w:rPr>
                <w:sz w:val="20"/>
                <w:szCs w:val="20"/>
                <w:color w:val="auto"/>
              </w:rPr>
            </w:pPr>
            <w:r>
              <w:rPr>
                <w:rFonts w:ascii="Arial" w:cs="Arial" w:eastAsia="Arial" w:hAnsi="Arial"/>
                <w:sz w:val="17"/>
                <w:szCs w:val="17"/>
                <w:color w:val="998C87"/>
              </w:rPr>
              <w:t>Bruce W. Duncan</w:t>
            </w:r>
          </w:p>
        </w:tc>
        <w:tc>
          <w:tcPr>
            <w:tcW w:w="1540" w:type="dxa"/>
            <w:vAlign w:val="bottom"/>
            <w:shd w:val="clear" w:color="auto" w:fill="F4F3F3"/>
          </w:tcPr>
          <w:p>
            <w:pPr>
              <w:ind w:left="840"/>
              <w:spacing w:after="0"/>
              <w:rPr>
                <w:sz w:val="20"/>
                <w:szCs w:val="20"/>
                <w:color w:val="auto"/>
              </w:rPr>
            </w:pPr>
            <w:r>
              <w:rPr>
                <w:rFonts w:ascii="Arial" w:cs="Arial" w:eastAsia="Arial" w:hAnsi="Arial"/>
                <w:sz w:val="17"/>
                <w:szCs w:val="17"/>
                <w:color w:val="auto"/>
              </w:rPr>
              <w:t>85,000</w:t>
            </w:r>
          </w:p>
        </w:tc>
        <w:tc>
          <w:tcPr>
            <w:tcW w:w="1420" w:type="dxa"/>
            <w:vAlign w:val="bottom"/>
            <w:shd w:val="clear" w:color="auto" w:fill="F4F3F3"/>
          </w:tcPr>
          <w:p>
            <w:pPr>
              <w:jc w:val="right"/>
              <w:ind w:right="55"/>
              <w:spacing w:after="0"/>
              <w:rPr>
                <w:sz w:val="20"/>
                <w:szCs w:val="20"/>
                <w:color w:val="auto"/>
              </w:rPr>
            </w:pPr>
            <w:r>
              <w:rPr>
                <w:rFonts w:ascii="Arial" w:cs="Arial" w:eastAsia="Arial" w:hAnsi="Arial"/>
                <w:sz w:val="17"/>
                <w:szCs w:val="17"/>
                <w:color w:val="auto"/>
              </w:rPr>
              <w:t>140,010</w:t>
            </w:r>
          </w:p>
        </w:tc>
        <w:tc>
          <w:tcPr>
            <w:tcW w:w="1620" w:type="dxa"/>
            <w:vAlign w:val="bottom"/>
            <w:shd w:val="clear" w:color="auto" w:fill="F4F3F3"/>
          </w:tcPr>
          <w:p>
            <w:pPr>
              <w:jc w:val="right"/>
              <w:ind w:right="216"/>
              <w:spacing w:after="0"/>
              <w:rPr>
                <w:sz w:val="20"/>
                <w:szCs w:val="20"/>
                <w:color w:val="auto"/>
              </w:rPr>
            </w:pPr>
            <w:r>
              <w:rPr>
                <w:rFonts w:ascii="Arial" w:cs="Arial" w:eastAsia="Arial" w:hAnsi="Arial"/>
                <w:sz w:val="17"/>
                <w:szCs w:val="17"/>
                <w:color w:val="auto"/>
              </w:rPr>
              <w:t>—</w:t>
            </w:r>
          </w:p>
        </w:tc>
        <w:tc>
          <w:tcPr>
            <w:tcW w:w="1560" w:type="dxa"/>
            <w:vAlign w:val="bottom"/>
            <w:shd w:val="clear" w:color="auto" w:fill="F4F3F3"/>
          </w:tcPr>
          <w:p>
            <w:pPr>
              <w:jc w:val="right"/>
              <w:ind w:right="316"/>
              <w:spacing w:after="0"/>
              <w:rPr>
                <w:sz w:val="20"/>
                <w:szCs w:val="20"/>
                <w:color w:val="auto"/>
              </w:rPr>
            </w:pPr>
            <w:r>
              <w:rPr>
                <w:rFonts w:ascii="Arial" w:cs="Arial" w:eastAsia="Arial" w:hAnsi="Arial"/>
                <w:sz w:val="17"/>
                <w:szCs w:val="17"/>
                <w:color w:val="auto"/>
              </w:rPr>
              <w:t>—</w:t>
            </w:r>
          </w:p>
        </w:tc>
        <w:tc>
          <w:tcPr>
            <w:tcW w:w="134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225,010</w:t>
            </w:r>
          </w:p>
        </w:tc>
      </w:tr>
      <w:tr>
        <w:trPr>
          <w:trHeight w:val="243"/>
        </w:trPr>
        <w:tc>
          <w:tcPr>
            <w:tcW w:w="3520" w:type="dxa"/>
            <w:vAlign w:val="bottom"/>
            <w:shd w:val="clear" w:color="auto" w:fill="F4F3F3"/>
          </w:tcPr>
          <w:p>
            <w:pPr>
              <w:ind w:left="220"/>
              <w:spacing w:after="0"/>
              <w:rPr>
                <w:sz w:val="20"/>
                <w:szCs w:val="20"/>
                <w:color w:val="auto"/>
              </w:rPr>
            </w:pPr>
            <w:r>
              <w:rPr>
                <w:rFonts w:ascii="Arial" w:cs="Arial" w:eastAsia="Arial" w:hAnsi="Arial"/>
                <w:sz w:val="17"/>
                <w:szCs w:val="17"/>
                <w:color w:val="998C87"/>
              </w:rPr>
              <w:t>Frederick A. Henderson</w:t>
            </w:r>
          </w:p>
        </w:tc>
        <w:tc>
          <w:tcPr>
            <w:tcW w:w="1540" w:type="dxa"/>
            <w:vAlign w:val="bottom"/>
            <w:shd w:val="clear" w:color="auto" w:fill="F4F3F3"/>
          </w:tcPr>
          <w:p>
            <w:pPr>
              <w:ind w:left="760"/>
              <w:spacing w:after="0"/>
              <w:rPr>
                <w:sz w:val="20"/>
                <w:szCs w:val="20"/>
                <w:color w:val="auto"/>
              </w:rPr>
            </w:pPr>
            <w:r>
              <w:rPr>
                <w:rFonts w:ascii="Arial" w:cs="Arial" w:eastAsia="Arial" w:hAnsi="Arial"/>
                <w:sz w:val="17"/>
                <w:szCs w:val="17"/>
                <w:color w:val="auto"/>
              </w:rPr>
              <w:t>105,000</w:t>
            </w:r>
          </w:p>
        </w:tc>
        <w:tc>
          <w:tcPr>
            <w:tcW w:w="1420" w:type="dxa"/>
            <w:vAlign w:val="bottom"/>
            <w:shd w:val="clear" w:color="auto" w:fill="F4F3F3"/>
          </w:tcPr>
          <w:p>
            <w:pPr>
              <w:jc w:val="right"/>
              <w:ind w:right="55"/>
              <w:spacing w:after="0"/>
              <w:rPr>
                <w:sz w:val="20"/>
                <w:szCs w:val="20"/>
                <w:color w:val="auto"/>
              </w:rPr>
            </w:pPr>
            <w:r>
              <w:rPr>
                <w:rFonts w:ascii="Arial" w:cs="Arial" w:eastAsia="Arial" w:hAnsi="Arial"/>
                <w:sz w:val="17"/>
                <w:szCs w:val="17"/>
                <w:color w:val="auto"/>
              </w:rPr>
              <w:t>140,010</w:t>
            </w:r>
          </w:p>
        </w:tc>
        <w:tc>
          <w:tcPr>
            <w:tcW w:w="1620" w:type="dxa"/>
            <w:vAlign w:val="bottom"/>
            <w:shd w:val="clear" w:color="auto" w:fill="F4F3F3"/>
          </w:tcPr>
          <w:p>
            <w:pPr>
              <w:jc w:val="right"/>
              <w:ind w:right="216"/>
              <w:spacing w:after="0"/>
              <w:rPr>
                <w:sz w:val="20"/>
                <w:szCs w:val="20"/>
                <w:color w:val="auto"/>
              </w:rPr>
            </w:pPr>
            <w:r>
              <w:rPr>
                <w:rFonts w:ascii="Arial" w:cs="Arial" w:eastAsia="Arial" w:hAnsi="Arial"/>
                <w:sz w:val="17"/>
                <w:szCs w:val="17"/>
                <w:color w:val="auto"/>
              </w:rPr>
              <w:t>—</w:t>
            </w:r>
          </w:p>
        </w:tc>
        <w:tc>
          <w:tcPr>
            <w:tcW w:w="1560" w:type="dxa"/>
            <w:vAlign w:val="bottom"/>
            <w:shd w:val="clear" w:color="auto" w:fill="F4F3F3"/>
          </w:tcPr>
          <w:p>
            <w:pPr>
              <w:jc w:val="right"/>
              <w:ind w:right="316"/>
              <w:spacing w:after="0"/>
              <w:rPr>
                <w:sz w:val="20"/>
                <w:szCs w:val="20"/>
                <w:color w:val="auto"/>
              </w:rPr>
            </w:pPr>
            <w:r>
              <w:rPr>
                <w:rFonts w:ascii="Arial" w:cs="Arial" w:eastAsia="Arial" w:hAnsi="Arial"/>
                <w:sz w:val="17"/>
                <w:szCs w:val="17"/>
                <w:color w:val="auto"/>
              </w:rPr>
              <w:t>—</w:t>
            </w:r>
          </w:p>
        </w:tc>
        <w:tc>
          <w:tcPr>
            <w:tcW w:w="134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245,010</w:t>
            </w:r>
          </w:p>
        </w:tc>
      </w:tr>
      <w:tr>
        <w:trPr>
          <w:trHeight w:val="243"/>
        </w:trPr>
        <w:tc>
          <w:tcPr>
            <w:tcW w:w="3520" w:type="dxa"/>
            <w:vAlign w:val="bottom"/>
            <w:shd w:val="clear" w:color="auto" w:fill="F4F3F3"/>
          </w:tcPr>
          <w:p>
            <w:pPr>
              <w:ind w:left="220"/>
              <w:spacing w:after="0"/>
              <w:rPr>
                <w:sz w:val="20"/>
                <w:szCs w:val="20"/>
                <w:color w:val="auto"/>
              </w:rPr>
            </w:pPr>
            <w:r>
              <w:rPr>
                <w:rFonts w:ascii="Arial" w:cs="Arial" w:eastAsia="Arial" w:hAnsi="Arial"/>
                <w:sz w:val="17"/>
                <w:szCs w:val="17"/>
                <w:color w:val="998C87"/>
              </w:rPr>
              <w:t>Eric Hippeau</w:t>
            </w:r>
          </w:p>
        </w:tc>
        <w:tc>
          <w:tcPr>
            <w:tcW w:w="1540" w:type="dxa"/>
            <w:vAlign w:val="bottom"/>
            <w:shd w:val="clear" w:color="auto" w:fill="F4F3F3"/>
          </w:tcPr>
          <w:p>
            <w:pPr>
              <w:ind w:left="840"/>
              <w:spacing w:after="0"/>
              <w:rPr>
                <w:sz w:val="20"/>
                <w:szCs w:val="20"/>
                <w:color w:val="auto"/>
              </w:rPr>
            </w:pPr>
            <w:r>
              <w:rPr>
                <w:rFonts w:ascii="Arial" w:cs="Arial" w:eastAsia="Arial" w:hAnsi="Arial"/>
                <w:sz w:val="17"/>
                <w:szCs w:val="17"/>
                <w:color w:val="auto"/>
              </w:rPr>
              <w:t>85,000</w:t>
            </w:r>
          </w:p>
        </w:tc>
        <w:tc>
          <w:tcPr>
            <w:tcW w:w="1420" w:type="dxa"/>
            <w:vAlign w:val="bottom"/>
            <w:shd w:val="clear" w:color="auto" w:fill="F4F3F3"/>
          </w:tcPr>
          <w:p>
            <w:pPr>
              <w:jc w:val="right"/>
              <w:ind w:right="55"/>
              <w:spacing w:after="0"/>
              <w:rPr>
                <w:sz w:val="20"/>
                <w:szCs w:val="20"/>
                <w:color w:val="auto"/>
              </w:rPr>
            </w:pPr>
            <w:r>
              <w:rPr>
                <w:rFonts w:ascii="Arial" w:cs="Arial" w:eastAsia="Arial" w:hAnsi="Arial"/>
                <w:sz w:val="17"/>
                <w:szCs w:val="17"/>
                <w:color w:val="auto"/>
              </w:rPr>
              <w:t>140,010</w:t>
            </w:r>
          </w:p>
        </w:tc>
        <w:tc>
          <w:tcPr>
            <w:tcW w:w="1620" w:type="dxa"/>
            <w:vAlign w:val="bottom"/>
            <w:shd w:val="clear" w:color="auto" w:fill="F4F3F3"/>
          </w:tcPr>
          <w:p>
            <w:pPr>
              <w:jc w:val="right"/>
              <w:ind w:right="216"/>
              <w:spacing w:after="0"/>
              <w:rPr>
                <w:sz w:val="20"/>
                <w:szCs w:val="20"/>
                <w:color w:val="auto"/>
              </w:rPr>
            </w:pPr>
            <w:r>
              <w:rPr>
                <w:rFonts w:ascii="Arial" w:cs="Arial" w:eastAsia="Arial" w:hAnsi="Arial"/>
                <w:sz w:val="17"/>
                <w:szCs w:val="17"/>
                <w:color w:val="auto"/>
              </w:rPr>
              <w:t>—</w:t>
            </w:r>
          </w:p>
        </w:tc>
        <w:tc>
          <w:tcPr>
            <w:tcW w:w="1560" w:type="dxa"/>
            <w:vAlign w:val="bottom"/>
            <w:shd w:val="clear" w:color="auto" w:fill="F4F3F3"/>
          </w:tcPr>
          <w:p>
            <w:pPr>
              <w:jc w:val="right"/>
              <w:ind w:right="316"/>
              <w:spacing w:after="0"/>
              <w:rPr>
                <w:sz w:val="20"/>
                <w:szCs w:val="20"/>
                <w:color w:val="auto"/>
              </w:rPr>
            </w:pPr>
            <w:r>
              <w:rPr>
                <w:rFonts w:ascii="Arial" w:cs="Arial" w:eastAsia="Arial" w:hAnsi="Arial"/>
                <w:sz w:val="17"/>
                <w:szCs w:val="17"/>
                <w:color w:val="auto"/>
              </w:rPr>
              <w:t>—</w:t>
            </w:r>
          </w:p>
        </w:tc>
        <w:tc>
          <w:tcPr>
            <w:tcW w:w="134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225,010</w:t>
            </w:r>
          </w:p>
        </w:tc>
      </w:tr>
      <w:tr>
        <w:trPr>
          <w:trHeight w:val="243"/>
        </w:trPr>
        <w:tc>
          <w:tcPr>
            <w:tcW w:w="3520" w:type="dxa"/>
            <w:vAlign w:val="bottom"/>
            <w:shd w:val="clear" w:color="auto" w:fill="F4F3F3"/>
          </w:tcPr>
          <w:p>
            <w:pPr>
              <w:ind w:left="220"/>
              <w:spacing w:after="0"/>
              <w:rPr>
                <w:sz w:val="20"/>
                <w:szCs w:val="20"/>
                <w:color w:val="auto"/>
              </w:rPr>
            </w:pPr>
            <w:r>
              <w:rPr>
                <w:rFonts w:ascii="Arial" w:cs="Arial" w:eastAsia="Arial" w:hAnsi="Arial"/>
                <w:sz w:val="17"/>
                <w:szCs w:val="17"/>
                <w:color w:val="998C87"/>
              </w:rPr>
              <w:t>Lawrence W. Kellner</w:t>
            </w:r>
          </w:p>
        </w:tc>
        <w:tc>
          <w:tcPr>
            <w:tcW w:w="1540" w:type="dxa"/>
            <w:vAlign w:val="bottom"/>
            <w:shd w:val="clear" w:color="auto" w:fill="F4F3F3"/>
          </w:tcPr>
          <w:p>
            <w:pPr>
              <w:ind w:left="840"/>
              <w:spacing w:after="0"/>
              <w:rPr>
                <w:sz w:val="20"/>
                <w:szCs w:val="20"/>
                <w:color w:val="auto"/>
              </w:rPr>
            </w:pPr>
            <w:r>
              <w:rPr>
                <w:rFonts w:ascii="Arial" w:cs="Arial" w:eastAsia="Arial" w:hAnsi="Arial"/>
                <w:sz w:val="17"/>
                <w:szCs w:val="17"/>
                <w:color w:val="auto"/>
              </w:rPr>
              <w:t>95,000</w:t>
            </w:r>
          </w:p>
        </w:tc>
        <w:tc>
          <w:tcPr>
            <w:tcW w:w="1420" w:type="dxa"/>
            <w:vAlign w:val="bottom"/>
            <w:shd w:val="clear" w:color="auto" w:fill="F4F3F3"/>
          </w:tcPr>
          <w:p>
            <w:pPr>
              <w:jc w:val="right"/>
              <w:ind w:right="55"/>
              <w:spacing w:after="0"/>
              <w:rPr>
                <w:sz w:val="20"/>
                <w:szCs w:val="20"/>
                <w:color w:val="auto"/>
              </w:rPr>
            </w:pPr>
            <w:r>
              <w:rPr>
                <w:rFonts w:ascii="Arial" w:cs="Arial" w:eastAsia="Arial" w:hAnsi="Arial"/>
                <w:sz w:val="17"/>
                <w:szCs w:val="17"/>
                <w:color w:val="auto"/>
              </w:rPr>
              <w:t>140,010</w:t>
            </w:r>
          </w:p>
        </w:tc>
        <w:tc>
          <w:tcPr>
            <w:tcW w:w="1620" w:type="dxa"/>
            <w:vAlign w:val="bottom"/>
            <w:shd w:val="clear" w:color="auto" w:fill="F4F3F3"/>
          </w:tcPr>
          <w:p>
            <w:pPr>
              <w:jc w:val="right"/>
              <w:ind w:right="216"/>
              <w:spacing w:after="0"/>
              <w:rPr>
                <w:sz w:val="20"/>
                <w:szCs w:val="20"/>
                <w:color w:val="auto"/>
              </w:rPr>
            </w:pPr>
            <w:r>
              <w:rPr>
                <w:rFonts w:ascii="Arial" w:cs="Arial" w:eastAsia="Arial" w:hAnsi="Arial"/>
                <w:sz w:val="17"/>
                <w:szCs w:val="17"/>
                <w:color w:val="auto"/>
              </w:rPr>
              <w:t>—</w:t>
            </w:r>
          </w:p>
        </w:tc>
        <w:tc>
          <w:tcPr>
            <w:tcW w:w="1560" w:type="dxa"/>
            <w:vAlign w:val="bottom"/>
            <w:shd w:val="clear" w:color="auto" w:fill="F4F3F3"/>
          </w:tcPr>
          <w:p>
            <w:pPr>
              <w:jc w:val="right"/>
              <w:ind w:right="316"/>
              <w:spacing w:after="0"/>
              <w:rPr>
                <w:sz w:val="20"/>
                <w:szCs w:val="20"/>
                <w:color w:val="auto"/>
              </w:rPr>
            </w:pPr>
            <w:r>
              <w:rPr>
                <w:rFonts w:ascii="Arial" w:cs="Arial" w:eastAsia="Arial" w:hAnsi="Arial"/>
                <w:sz w:val="17"/>
                <w:szCs w:val="17"/>
                <w:color w:val="auto"/>
              </w:rPr>
              <w:t>—</w:t>
            </w:r>
          </w:p>
        </w:tc>
        <w:tc>
          <w:tcPr>
            <w:tcW w:w="134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235,010</w:t>
            </w:r>
          </w:p>
        </w:tc>
      </w:tr>
      <w:tr>
        <w:trPr>
          <w:trHeight w:val="243"/>
        </w:trPr>
        <w:tc>
          <w:tcPr>
            <w:tcW w:w="3520" w:type="dxa"/>
            <w:vAlign w:val="bottom"/>
            <w:shd w:val="clear" w:color="auto" w:fill="F4F3F3"/>
          </w:tcPr>
          <w:p>
            <w:pPr>
              <w:ind w:left="220"/>
              <w:spacing w:after="0"/>
              <w:rPr>
                <w:sz w:val="20"/>
                <w:szCs w:val="20"/>
                <w:color w:val="auto"/>
              </w:rPr>
            </w:pPr>
            <w:r>
              <w:rPr>
                <w:rFonts w:ascii="Arial" w:cs="Arial" w:eastAsia="Arial" w:hAnsi="Arial"/>
                <w:sz w:val="17"/>
                <w:szCs w:val="17"/>
                <w:color w:val="998C87"/>
              </w:rPr>
              <w:t>Debra L. Lee</w:t>
            </w:r>
          </w:p>
        </w:tc>
        <w:tc>
          <w:tcPr>
            <w:tcW w:w="1540" w:type="dxa"/>
            <w:vAlign w:val="bottom"/>
            <w:shd w:val="clear" w:color="auto" w:fill="F4F3F3"/>
          </w:tcPr>
          <w:p>
            <w:pPr>
              <w:ind w:left="840"/>
              <w:spacing w:after="0"/>
              <w:rPr>
                <w:sz w:val="20"/>
                <w:szCs w:val="20"/>
                <w:color w:val="auto"/>
              </w:rPr>
            </w:pPr>
            <w:r>
              <w:rPr>
                <w:rFonts w:ascii="Arial" w:cs="Arial" w:eastAsia="Arial" w:hAnsi="Arial"/>
                <w:sz w:val="17"/>
                <w:szCs w:val="17"/>
                <w:color w:val="auto"/>
              </w:rPr>
              <w:t>95,000</w:t>
            </w:r>
          </w:p>
        </w:tc>
        <w:tc>
          <w:tcPr>
            <w:tcW w:w="1420" w:type="dxa"/>
            <w:vAlign w:val="bottom"/>
            <w:shd w:val="clear" w:color="auto" w:fill="F4F3F3"/>
          </w:tcPr>
          <w:p>
            <w:pPr>
              <w:jc w:val="right"/>
              <w:ind w:right="55"/>
              <w:spacing w:after="0"/>
              <w:rPr>
                <w:sz w:val="20"/>
                <w:szCs w:val="20"/>
                <w:color w:val="auto"/>
              </w:rPr>
            </w:pPr>
            <w:r>
              <w:rPr>
                <w:rFonts w:ascii="Arial" w:cs="Arial" w:eastAsia="Arial" w:hAnsi="Arial"/>
                <w:sz w:val="17"/>
                <w:szCs w:val="17"/>
                <w:color w:val="auto"/>
              </w:rPr>
              <w:t>140,010</w:t>
            </w:r>
          </w:p>
        </w:tc>
        <w:tc>
          <w:tcPr>
            <w:tcW w:w="1620" w:type="dxa"/>
            <w:vAlign w:val="bottom"/>
            <w:shd w:val="clear" w:color="auto" w:fill="F4F3F3"/>
          </w:tcPr>
          <w:p>
            <w:pPr>
              <w:jc w:val="right"/>
              <w:ind w:right="116"/>
              <w:spacing w:after="0"/>
              <w:rPr>
                <w:sz w:val="20"/>
                <w:szCs w:val="20"/>
                <w:color w:val="auto"/>
              </w:rPr>
            </w:pPr>
            <w:r>
              <w:rPr>
                <w:rFonts w:ascii="Arial" w:cs="Arial" w:eastAsia="Arial" w:hAnsi="Arial"/>
                <w:sz w:val="17"/>
                <w:szCs w:val="17"/>
                <w:color w:val="auto"/>
              </w:rPr>
              <w:t>929</w:t>
            </w:r>
          </w:p>
        </w:tc>
        <w:tc>
          <w:tcPr>
            <w:tcW w:w="1560" w:type="dxa"/>
            <w:vAlign w:val="bottom"/>
            <w:shd w:val="clear" w:color="auto" w:fill="F4F3F3"/>
          </w:tcPr>
          <w:p>
            <w:pPr>
              <w:jc w:val="right"/>
              <w:ind w:right="216"/>
              <w:spacing w:after="0"/>
              <w:rPr>
                <w:sz w:val="20"/>
                <w:szCs w:val="20"/>
                <w:color w:val="auto"/>
              </w:rPr>
            </w:pPr>
            <w:r>
              <w:rPr>
                <w:rFonts w:ascii="Arial" w:cs="Arial" w:eastAsia="Arial" w:hAnsi="Arial"/>
                <w:sz w:val="17"/>
                <w:szCs w:val="17"/>
                <w:color w:val="auto"/>
              </w:rPr>
              <w:t>3,563</w:t>
            </w:r>
          </w:p>
        </w:tc>
        <w:tc>
          <w:tcPr>
            <w:tcW w:w="134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239,502</w:t>
            </w:r>
          </w:p>
        </w:tc>
      </w:tr>
      <w:tr>
        <w:trPr>
          <w:trHeight w:val="243"/>
        </w:trPr>
        <w:tc>
          <w:tcPr>
            <w:tcW w:w="3520" w:type="dxa"/>
            <w:vAlign w:val="bottom"/>
            <w:shd w:val="clear" w:color="auto" w:fill="F4F3F3"/>
          </w:tcPr>
          <w:p>
            <w:pPr>
              <w:ind w:left="220"/>
              <w:spacing w:after="0"/>
              <w:rPr>
                <w:sz w:val="20"/>
                <w:szCs w:val="20"/>
                <w:color w:val="auto"/>
              </w:rPr>
            </w:pPr>
            <w:r>
              <w:rPr>
                <w:rFonts w:ascii="Arial" w:cs="Arial" w:eastAsia="Arial" w:hAnsi="Arial"/>
                <w:sz w:val="17"/>
                <w:szCs w:val="17"/>
                <w:color w:val="998C87"/>
              </w:rPr>
              <w:t>Aylwin B. Lewis</w:t>
            </w:r>
          </w:p>
        </w:tc>
        <w:tc>
          <w:tcPr>
            <w:tcW w:w="1540" w:type="dxa"/>
            <w:vAlign w:val="bottom"/>
            <w:shd w:val="clear" w:color="auto" w:fill="F4F3F3"/>
          </w:tcPr>
          <w:p>
            <w:pPr>
              <w:ind w:left="840"/>
              <w:spacing w:after="0"/>
              <w:rPr>
                <w:sz w:val="20"/>
                <w:szCs w:val="20"/>
                <w:color w:val="auto"/>
              </w:rPr>
            </w:pPr>
            <w:r>
              <w:rPr>
                <w:rFonts w:ascii="Arial" w:cs="Arial" w:eastAsia="Arial" w:hAnsi="Arial"/>
                <w:sz w:val="17"/>
                <w:szCs w:val="17"/>
                <w:color w:val="auto"/>
              </w:rPr>
              <w:t>95,000</w:t>
            </w:r>
          </w:p>
        </w:tc>
        <w:tc>
          <w:tcPr>
            <w:tcW w:w="1420" w:type="dxa"/>
            <w:vAlign w:val="bottom"/>
            <w:shd w:val="clear" w:color="auto" w:fill="F4F3F3"/>
          </w:tcPr>
          <w:p>
            <w:pPr>
              <w:jc w:val="right"/>
              <w:ind w:right="55"/>
              <w:spacing w:after="0"/>
              <w:rPr>
                <w:sz w:val="20"/>
                <w:szCs w:val="20"/>
                <w:color w:val="auto"/>
              </w:rPr>
            </w:pPr>
            <w:r>
              <w:rPr>
                <w:rFonts w:ascii="Arial" w:cs="Arial" w:eastAsia="Arial" w:hAnsi="Arial"/>
                <w:sz w:val="17"/>
                <w:szCs w:val="17"/>
                <w:color w:val="auto"/>
              </w:rPr>
              <w:t>140,010</w:t>
            </w:r>
          </w:p>
        </w:tc>
        <w:tc>
          <w:tcPr>
            <w:tcW w:w="1620" w:type="dxa"/>
            <w:vAlign w:val="bottom"/>
            <w:shd w:val="clear" w:color="auto" w:fill="F4F3F3"/>
          </w:tcPr>
          <w:p>
            <w:pPr>
              <w:jc w:val="right"/>
              <w:ind w:right="116"/>
              <w:spacing w:after="0"/>
              <w:rPr>
                <w:sz w:val="20"/>
                <w:szCs w:val="20"/>
                <w:color w:val="auto"/>
              </w:rPr>
            </w:pPr>
            <w:r>
              <w:rPr>
                <w:rFonts w:ascii="Arial" w:cs="Arial" w:eastAsia="Arial" w:hAnsi="Arial"/>
                <w:sz w:val="17"/>
                <w:szCs w:val="17"/>
                <w:color w:val="auto"/>
              </w:rPr>
              <w:t>82</w:t>
            </w:r>
          </w:p>
        </w:tc>
        <w:tc>
          <w:tcPr>
            <w:tcW w:w="1560" w:type="dxa"/>
            <w:vAlign w:val="bottom"/>
            <w:shd w:val="clear" w:color="auto" w:fill="F4F3F3"/>
          </w:tcPr>
          <w:p>
            <w:pPr>
              <w:jc w:val="right"/>
              <w:ind w:right="216"/>
              <w:spacing w:after="0"/>
              <w:rPr>
                <w:sz w:val="20"/>
                <w:szCs w:val="20"/>
                <w:color w:val="auto"/>
              </w:rPr>
            </w:pPr>
            <w:r>
              <w:rPr>
                <w:rFonts w:ascii="Arial" w:cs="Arial" w:eastAsia="Arial" w:hAnsi="Arial"/>
                <w:sz w:val="17"/>
                <w:szCs w:val="17"/>
                <w:color w:val="auto"/>
              </w:rPr>
              <w:t>13,831</w:t>
            </w:r>
          </w:p>
        </w:tc>
        <w:tc>
          <w:tcPr>
            <w:tcW w:w="134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248,923</w:t>
            </w:r>
          </w:p>
        </w:tc>
      </w:tr>
      <w:tr>
        <w:trPr>
          <w:trHeight w:val="243"/>
        </w:trPr>
        <w:tc>
          <w:tcPr>
            <w:tcW w:w="3520" w:type="dxa"/>
            <w:vAlign w:val="bottom"/>
            <w:shd w:val="clear" w:color="auto" w:fill="F4F3F3"/>
          </w:tcPr>
          <w:p>
            <w:pPr>
              <w:ind w:left="220"/>
              <w:spacing w:after="0"/>
              <w:rPr>
                <w:sz w:val="20"/>
                <w:szCs w:val="20"/>
                <w:color w:val="auto"/>
              </w:rPr>
            </w:pPr>
            <w:r>
              <w:rPr>
                <w:rFonts w:ascii="Arial" w:cs="Arial" w:eastAsia="Arial" w:hAnsi="Arial"/>
                <w:sz w:val="17"/>
                <w:szCs w:val="17"/>
                <w:color w:val="998C87"/>
              </w:rPr>
              <w:t>George Muñoz</w:t>
            </w:r>
          </w:p>
        </w:tc>
        <w:tc>
          <w:tcPr>
            <w:tcW w:w="1540" w:type="dxa"/>
            <w:vAlign w:val="bottom"/>
            <w:shd w:val="clear" w:color="auto" w:fill="F4F3F3"/>
          </w:tcPr>
          <w:p>
            <w:pPr>
              <w:ind w:left="840"/>
              <w:spacing w:after="0"/>
              <w:rPr>
                <w:sz w:val="20"/>
                <w:szCs w:val="20"/>
                <w:color w:val="auto"/>
              </w:rPr>
            </w:pPr>
            <w:r>
              <w:rPr>
                <w:rFonts w:ascii="Arial" w:cs="Arial" w:eastAsia="Arial" w:hAnsi="Arial"/>
                <w:sz w:val="17"/>
                <w:szCs w:val="17"/>
                <w:color w:val="auto"/>
              </w:rPr>
              <w:t>66,017</w:t>
            </w:r>
          </w:p>
        </w:tc>
        <w:tc>
          <w:tcPr>
            <w:tcW w:w="1420" w:type="dxa"/>
            <w:vAlign w:val="bottom"/>
            <w:shd w:val="clear" w:color="auto" w:fill="F4F3F3"/>
          </w:tcPr>
          <w:p>
            <w:pPr>
              <w:jc w:val="right"/>
              <w:ind w:right="55"/>
              <w:spacing w:after="0"/>
              <w:rPr>
                <w:sz w:val="20"/>
                <w:szCs w:val="20"/>
                <w:color w:val="auto"/>
              </w:rPr>
            </w:pPr>
            <w:r>
              <w:rPr>
                <w:rFonts w:ascii="Arial" w:cs="Arial" w:eastAsia="Arial" w:hAnsi="Arial"/>
                <w:sz w:val="17"/>
                <w:szCs w:val="17"/>
                <w:color w:val="auto"/>
              </w:rPr>
              <w:t>140,010</w:t>
            </w:r>
          </w:p>
        </w:tc>
        <w:tc>
          <w:tcPr>
            <w:tcW w:w="1620" w:type="dxa"/>
            <w:vAlign w:val="bottom"/>
            <w:shd w:val="clear" w:color="auto" w:fill="F4F3F3"/>
          </w:tcPr>
          <w:p>
            <w:pPr>
              <w:jc w:val="right"/>
              <w:ind w:right="116"/>
              <w:spacing w:after="0"/>
              <w:rPr>
                <w:sz w:val="20"/>
                <w:szCs w:val="20"/>
                <w:color w:val="auto"/>
              </w:rPr>
            </w:pPr>
            <w:r>
              <w:rPr>
                <w:rFonts w:ascii="Arial" w:cs="Arial" w:eastAsia="Arial" w:hAnsi="Arial"/>
                <w:sz w:val="17"/>
                <w:szCs w:val="17"/>
                <w:color w:val="auto"/>
              </w:rPr>
              <w:t>1,444</w:t>
            </w:r>
          </w:p>
        </w:tc>
        <w:tc>
          <w:tcPr>
            <w:tcW w:w="1560" w:type="dxa"/>
            <w:vAlign w:val="bottom"/>
            <w:shd w:val="clear" w:color="auto" w:fill="F4F3F3"/>
          </w:tcPr>
          <w:p>
            <w:pPr>
              <w:jc w:val="right"/>
              <w:ind w:right="216"/>
              <w:spacing w:after="0"/>
              <w:rPr>
                <w:sz w:val="20"/>
                <w:szCs w:val="20"/>
                <w:color w:val="auto"/>
              </w:rPr>
            </w:pPr>
            <w:r>
              <w:rPr>
                <w:rFonts w:ascii="Arial" w:cs="Arial" w:eastAsia="Arial" w:hAnsi="Arial"/>
                <w:sz w:val="17"/>
                <w:szCs w:val="17"/>
                <w:color w:val="auto"/>
              </w:rPr>
              <w:t>22,914</w:t>
            </w:r>
          </w:p>
        </w:tc>
        <w:tc>
          <w:tcPr>
            <w:tcW w:w="134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230,385</w:t>
            </w:r>
          </w:p>
        </w:tc>
      </w:tr>
      <w:tr>
        <w:trPr>
          <w:trHeight w:val="243"/>
        </w:trPr>
        <w:tc>
          <w:tcPr>
            <w:tcW w:w="3520" w:type="dxa"/>
            <w:vAlign w:val="bottom"/>
            <w:shd w:val="clear" w:color="auto" w:fill="F4F3F3"/>
          </w:tcPr>
          <w:p>
            <w:pPr>
              <w:ind w:left="220"/>
              <w:spacing w:after="0"/>
              <w:rPr>
                <w:sz w:val="20"/>
                <w:szCs w:val="20"/>
                <w:color w:val="auto"/>
              </w:rPr>
            </w:pPr>
            <w:r>
              <w:rPr>
                <w:rFonts w:ascii="Arial" w:cs="Arial" w:eastAsia="Arial" w:hAnsi="Arial"/>
                <w:sz w:val="17"/>
                <w:szCs w:val="17"/>
                <w:color w:val="998C87"/>
              </w:rPr>
              <w:t>Steven S Reinemund</w:t>
            </w:r>
          </w:p>
        </w:tc>
        <w:tc>
          <w:tcPr>
            <w:tcW w:w="1540" w:type="dxa"/>
            <w:vAlign w:val="bottom"/>
            <w:shd w:val="clear" w:color="auto" w:fill="F4F3F3"/>
          </w:tcPr>
          <w:p>
            <w:pPr>
              <w:ind w:left="840"/>
              <w:spacing w:after="0"/>
              <w:rPr>
                <w:sz w:val="20"/>
                <w:szCs w:val="20"/>
                <w:color w:val="auto"/>
              </w:rPr>
            </w:pPr>
            <w:r>
              <w:rPr>
                <w:rFonts w:ascii="Arial" w:cs="Arial" w:eastAsia="Arial" w:hAnsi="Arial"/>
                <w:sz w:val="17"/>
                <w:szCs w:val="17"/>
                <w:color w:val="auto"/>
              </w:rPr>
              <w:t>95,000</w:t>
            </w:r>
          </w:p>
        </w:tc>
        <w:tc>
          <w:tcPr>
            <w:tcW w:w="1420" w:type="dxa"/>
            <w:vAlign w:val="bottom"/>
            <w:shd w:val="clear" w:color="auto" w:fill="F4F3F3"/>
          </w:tcPr>
          <w:p>
            <w:pPr>
              <w:jc w:val="right"/>
              <w:ind w:right="55"/>
              <w:spacing w:after="0"/>
              <w:rPr>
                <w:sz w:val="20"/>
                <w:szCs w:val="20"/>
                <w:color w:val="auto"/>
              </w:rPr>
            </w:pPr>
            <w:r>
              <w:rPr>
                <w:rFonts w:ascii="Arial" w:cs="Arial" w:eastAsia="Arial" w:hAnsi="Arial"/>
                <w:sz w:val="17"/>
                <w:szCs w:val="17"/>
                <w:color w:val="auto"/>
              </w:rPr>
              <w:t>140,010</w:t>
            </w:r>
          </w:p>
        </w:tc>
        <w:tc>
          <w:tcPr>
            <w:tcW w:w="1620" w:type="dxa"/>
            <w:vAlign w:val="bottom"/>
            <w:shd w:val="clear" w:color="auto" w:fill="F4F3F3"/>
          </w:tcPr>
          <w:p>
            <w:pPr>
              <w:jc w:val="right"/>
              <w:ind w:right="116"/>
              <w:spacing w:after="0"/>
              <w:rPr>
                <w:sz w:val="20"/>
                <w:szCs w:val="20"/>
                <w:color w:val="auto"/>
              </w:rPr>
            </w:pPr>
            <w:r>
              <w:rPr>
                <w:rFonts w:ascii="Arial" w:cs="Arial" w:eastAsia="Arial" w:hAnsi="Arial"/>
                <w:sz w:val="17"/>
                <w:szCs w:val="17"/>
                <w:color w:val="auto"/>
              </w:rPr>
              <w:t>2,080</w:t>
            </w:r>
          </w:p>
        </w:tc>
        <w:tc>
          <w:tcPr>
            <w:tcW w:w="1560" w:type="dxa"/>
            <w:vAlign w:val="bottom"/>
            <w:shd w:val="clear" w:color="auto" w:fill="F4F3F3"/>
          </w:tcPr>
          <w:p>
            <w:pPr>
              <w:jc w:val="right"/>
              <w:ind w:right="216"/>
              <w:spacing w:after="0"/>
              <w:rPr>
                <w:sz w:val="20"/>
                <w:szCs w:val="20"/>
                <w:color w:val="auto"/>
              </w:rPr>
            </w:pPr>
            <w:r>
              <w:rPr>
                <w:rFonts w:ascii="Arial" w:cs="Arial" w:eastAsia="Arial" w:hAnsi="Arial"/>
                <w:sz w:val="17"/>
                <w:szCs w:val="17"/>
                <w:color w:val="auto"/>
              </w:rPr>
              <w:t>2,406</w:t>
            </w:r>
          </w:p>
        </w:tc>
        <w:tc>
          <w:tcPr>
            <w:tcW w:w="134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239,496</w:t>
            </w:r>
          </w:p>
        </w:tc>
      </w:tr>
      <w:tr>
        <w:trPr>
          <w:trHeight w:val="243"/>
        </w:trPr>
        <w:tc>
          <w:tcPr>
            <w:tcW w:w="3520" w:type="dxa"/>
            <w:vAlign w:val="bottom"/>
            <w:shd w:val="clear" w:color="auto" w:fill="F4F3F3"/>
          </w:tcPr>
          <w:p>
            <w:pPr>
              <w:ind w:left="220"/>
              <w:spacing w:after="0"/>
              <w:rPr>
                <w:sz w:val="20"/>
                <w:szCs w:val="20"/>
                <w:color w:val="auto"/>
              </w:rPr>
            </w:pPr>
            <w:r>
              <w:rPr>
                <w:rFonts w:ascii="Arial" w:cs="Arial" w:eastAsia="Arial" w:hAnsi="Arial"/>
                <w:sz w:val="17"/>
                <w:szCs w:val="17"/>
                <w:color w:val="998C87"/>
              </w:rPr>
              <w:t>W. Mitt Romney</w:t>
            </w:r>
          </w:p>
        </w:tc>
        <w:tc>
          <w:tcPr>
            <w:tcW w:w="1540" w:type="dxa"/>
            <w:vAlign w:val="bottom"/>
            <w:shd w:val="clear" w:color="auto" w:fill="F4F3F3"/>
          </w:tcPr>
          <w:p>
            <w:pPr>
              <w:ind w:left="840"/>
              <w:spacing w:after="0"/>
              <w:rPr>
                <w:sz w:val="20"/>
                <w:szCs w:val="20"/>
                <w:color w:val="auto"/>
              </w:rPr>
            </w:pPr>
            <w:r>
              <w:rPr>
                <w:rFonts w:ascii="Arial" w:cs="Arial" w:eastAsia="Arial" w:hAnsi="Arial"/>
                <w:sz w:val="17"/>
                <w:szCs w:val="17"/>
                <w:color w:val="auto"/>
              </w:rPr>
              <w:t>95,000</w:t>
            </w:r>
          </w:p>
        </w:tc>
        <w:tc>
          <w:tcPr>
            <w:tcW w:w="1420" w:type="dxa"/>
            <w:vAlign w:val="bottom"/>
            <w:shd w:val="clear" w:color="auto" w:fill="F4F3F3"/>
          </w:tcPr>
          <w:p>
            <w:pPr>
              <w:jc w:val="right"/>
              <w:ind w:right="55"/>
              <w:spacing w:after="0"/>
              <w:rPr>
                <w:sz w:val="20"/>
                <w:szCs w:val="20"/>
                <w:color w:val="auto"/>
              </w:rPr>
            </w:pPr>
            <w:r>
              <w:rPr>
                <w:rFonts w:ascii="Arial" w:cs="Arial" w:eastAsia="Arial" w:hAnsi="Arial"/>
                <w:sz w:val="17"/>
                <w:szCs w:val="17"/>
                <w:color w:val="auto"/>
              </w:rPr>
              <w:t>140,010</w:t>
            </w:r>
          </w:p>
        </w:tc>
        <w:tc>
          <w:tcPr>
            <w:tcW w:w="1620" w:type="dxa"/>
            <w:vAlign w:val="bottom"/>
            <w:shd w:val="clear" w:color="auto" w:fill="F4F3F3"/>
          </w:tcPr>
          <w:p>
            <w:pPr>
              <w:jc w:val="right"/>
              <w:ind w:right="216"/>
              <w:spacing w:after="0"/>
              <w:rPr>
                <w:sz w:val="20"/>
                <w:szCs w:val="20"/>
                <w:color w:val="auto"/>
              </w:rPr>
            </w:pPr>
            <w:r>
              <w:rPr>
                <w:rFonts w:ascii="Arial" w:cs="Arial" w:eastAsia="Arial" w:hAnsi="Arial"/>
                <w:sz w:val="17"/>
                <w:szCs w:val="17"/>
                <w:color w:val="auto"/>
              </w:rPr>
              <w:t>—</w:t>
            </w:r>
          </w:p>
        </w:tc>
        <w:tc>
          <w:tcPr>
            <w:tcW w:w="1560" w:type="dxa"/>
            <w:vAlign w:val="bottom"/>
            <w:shd w:val="clear" w:color="auto" w:fill="F4F3F3"/>
          </w:tcPr>
          <w:p>
            <w:pPr>
              <w:jc w:val="right"/>
              <w:ind w:right="216"/>
              <w:spacing w:after="0"/>
              <w:rPr>
                <w:sz w:val="20"/>
                <w:szCs w:val="20"/>
                <w:color w:val="auto"/>
              </w:rPr>
            </w:pPr>
            <w:r>
              <w:rPr>
                <w:rFonts w:ascii="Arial" w:cs="Arial" w:eastAsia="Arial" w:hAnsi="Arial"/>
                <w:sz w:val="17"/>
                <w:szCs w:val="17"/>
                <w:color w:val="auto"/>
              </w:rPr>
              <w:t>12,289</w:t>
            </w:r>
          </w:p>
        </w:tc>
        <w:tc>
          <w:tcPr>
            <w:tcW w:w="134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247,299</w:t>
            </w:r>
          </w:p>
        </w:tc>
      </w:tr>
      <w:tr>
        <w:trPr>
          <w:trHeight w:val="243"/>
        </w:trPr>
        <w:tc>
          <w:tcPr>
            <w:tcW w:w="3520" w:type="dxa"/>
            <w:vAlign w:val="bottom"/>
            <w:shd w:val="clear" w:color="auto" w:fill="F4F3F3"/>
          </w:tcPr>
          <w:p>
            <w:pPr>
              <w:ind w:left="220"/>
              <w:spacing w:after="0"/>
              <w:rPr>
                <w:sz w:val="20"/>
                <w:szCs w:val="20"/>
                <w:color w:val="auto"/>
              </w:rPr>
            </w:pPr>
            <w:r>
              <w:rPr>
                <w:rFonts w:ascii="Arial" w:cs="Arial" w:eastAsia="Arial" w:hAnsi="Arial"/>
                <w:sz w:val="17"/>
                <w:szCs w:val="17"/>
                <w:color w:val="998C87"/>
              </w:rPr>
              <w:t>Susan C. Schwab</w:t>
            </w:r>
          </w:p>
        </w:tc>
        <w:tc>
          <w:tcPr>
            <w:tcW w:w="1540" w:type="dxa"/>
            <w:vAlign w:val="bottom"/>
            <w:shd w:val="clear" w:color="auto" w:fill="F4F3F3"/>
          </w:tcPr>
          <w:p>
            <w:pPr>
              <w:ind w:left="840"/>
              <w:spacing w:after="0"/>
              <w:rPr>
                <w:sz w:val="20"/>
                <w:szCs w:val="20"/>
                <w:color w:val="auto"/>
              </w:rPr>
            </w:pPr>
            <w:r>
              <w:rPr>
                <w:rFonts w:ascii="Arial" w:cs="Arial" w:eastAsia="Arial" w:hAnsi="Arial"/>
                <w:sz w:val="17"/>
                <w:szCs w:val="17"/>
                <w:color w:val="auto"/>
              </w:rPr>
              <w:t>85,000</w:t>
            </w:r>
          </w:p>
        </w:tc>
        <w:tc>
          <w:tcPr>
            <w:tcW w:w="1420" w:type="dxa"/>
            <w:vAlign w:val="bottom"/>
            <w:shd w:val="clear" w:color="auto" w:fill="F4F3F3"/>
          </w:tcPr>
          <w:p>
            <w:pPr>
              <w:jc w:val="right"/>
              <w:ind w:right="55"/>
              <w:spacing w:after="0"/>
              <w:rPr>
                <w:sz w:val="20"/>
                <w:szCs w:val="20"/>
                <w:color w:val="auto"/>
              </w:rPr>
            </w:pPr>
            <w:r>
              <w:rPr>
                <w:rFonts w:ascii="Arial" w:cs="Arial" w:eastAsia="Arial" w:hAnsi="Arial"/>
                <w:sz w:val="17"/>
                <w:szCs w:val="17"/>
                <w:color w:val="auto"/>
              </w:rPr>
              <w:t>140,010</w:t>
            </w:r>
          </w:p>
        </w:tc>
        <w:tc>
          <w:tcPr>
            <w:tcW w:w="1620" w:type="dxa"/>
            <w:vAlign w:val="bottom"/>
            <w:shd w:val="clear" w:color="auto" w:fill="F4F3F3"/>
          </w:tcPr>
          <w:p>
            <w:pPr>
              <w:jc w:val="right"/>
              <w:ind w:right="116"/>
              <w:spacing w:after="0"/>
              <w:rPr>
                <w:sz w:val="20"/>
                <w:szCs w:val="20"/>
                <w:color w:val="auto"/>
              </w:rPr>
            </w:pPr>
            <w:r>
              <w:rPr>
                <w:rFonts w:ascii="Arial" w:cs="Arial" w:eastAsia="Arial" w:hAnsi="Arial"/>
                <w:sz w:val="17"/>
                <w:szCs w:val="17"/>
                <w:color w:val="auto"/>
              </w:rPr>
              <w:t>55</w:t>
            </w:r>
          </w:p>
        </w:tc>
        <w:tc>
          <w:tcPr>
            <w:tcW w:w="1560" w:type="dxa"/>
            <w:vAlign w:val="bottom"/>
            <w:shd w:val="clear" w:color="auto" w:fill="F4F3F3"/>
          </w:tcPr>
          <w:p>
            <w:pPr>
              <w:jc w:val="right"/>
              <w:ind w:right="216"/>
              <w:spacing w:after="0"/>
              <w:rPr>
                <w:sz w:val="20"/>
                <w:szCs w:val="20"/>
                <w:color w:val="auto"/>
              </w:rPr>
            </w:pPr>
            <w:r>
              <w:rPr>
                <w:rFonts w:ascii="Arial" w:cs="Arial" w:eastAsia="Arial" w:hAnsi="Arial"/>
                <w:sz w:val="17"/>
                <w:szCs w:val="17"/>
                <w:color w:val="auto"/>
              </w:rPr>
              <w:t>3,188</w:t>
            </w:r>
          </w:p>
        </w:tc>
        <w:tc>
          <w:tcPr>
            <w:tcW w:w="134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228,253</w:t>
            </w:r>
          </w:p>
        </w:tc>
      </w:tr>
      <w:tr>
        <w:trPr>
          <w:trHeight w:val="27"/>
        </w:trPr>
        <w:tc>
          <w:tcPr>
            <w:tcW w:w="3520" w:type="dxa"/>
            <w:vAlign w:val="bottom"/>
            <w:shd w:val="clear" w:color="auto" w:fill="F4F3F3"/>
          </w:tcPr>
          <w:p>
            <w:pPr>
              <w:spacing w:after="0"/>
              <w:rPr>
                <w:sz w:val="2"/>
                <w:szCs w:val="2"/>
                <w:color w:val="auto"/>
              </w:rPr>
            </w:pPr>
          </w:p>
        </w:tc>
        <w:tc>
          <w:tcPr>
            <w:tcW w:w="1540" w:type="dxa"/>
            <w:vAlign w:val="bottom"/>
            <w:shd w:val="clear" w:color="auto" w:fill="F4F3F3"/>
          </w:tcPr>
          <w:p>
            <w:pPr>
              <w:spacing w:after="0"/>
              <w:rPr>
                <w:sz w:val="2"/>
                <w:szCs w:val="2"/>
                <w:color w:val="auto"/>
              </w:rPr>
            </w:pPr>
          </w:p>
        </w:tc>
        <w:tc>
          <w:tcPr>
            <w:tcW w:w="1420" w:type="dxa"/>
            <w:vAlign w:val="bottom"/>
            <w:shd w:val="clear" w:color="auto" w:fill="F4F3F3"/>
          </w:tcPr>
          <w:p>
            <w:pPr>
              <w:spacing w:after="0"/>
              <w:rPr>
                <w:sz w:val="2"/>
                <w:szCs w:val="2"/>
                <w:color w:val="auto"/>
              </w:rPr>
            </w:pPr>
          </w:p>
        </w:tc>
        <w:tc>
          <w:tcPr>
            <w:tcW w:w="1620" w:type="dxa"/>
            <w:vAlign w:val="bottom"/>
            <w:shd w:val="clear" w:color="auto" w:fill="F4F3F3"/>
          </w:tcPr>
          <w:p>
            <w:pPr>
              <w:spacing w:after="0"/>
              <w:rPr>
                <w:sz w:val="2"/>
                <w:szCs w:val="2"/>
                <w:color w:val="auto"/>
              </w:rPr>
            </w:pPr>
          </w:p>
        </w:tc>
        <w:tc>
          <w:tcPr>
            <w:tcW w:w="1560" w:type="dxa"/>
            <w:vAlign w:val="bottom"/>
            <w:shd w:val="clear" w:color="auto" w:fill="F4F3F3"/>
          </w:tcPr>
          <w:p>
            <w:pPr>
              <w:spacing w:after="0"/>
              <w:rPr>
                <w:sz w:val="2"/>
                <w:szCs w:val="2"/>
                <w:color w:val="auto"/>
              </w:rPr>
            </w:pPr>
          </w:p>
        </w:tc>
        <w:tc>
          <w:tcPr>
            <w:tcW w:w="1340" w:type="dxa"/>
            <w:vAlign w:val="bottom"/>
            <w:shd w:val="clear" w:color="auto" w:fill="F4F3F3"/>
          </w:tcPr>
          <w:p>
            <w:pPr>
              <w:spacing w:after="0"/>
              <w:rPr>
                <w:sz w:val="2"/>
                <w:szCs w:val="2"/>
                <w:color w:val="auto"/>
              </w:rPr>
            </w:pPr>
          </w:p>
        </w:tc>
      </w:tr>
    </w:tbl>
    <w:p>
      <w:pPr>
        <w:spacing w:after="0" w:line="243" w:lineRule="exact"/>
        <w:rPr>
          <w:sz w:val="20"/>
          <w:szCs w:val="20"/>
          <w:color w:val="auto"/>
        </w:rPr>
      </w:pPr>
    </w:p>
    <w:p>
      <w:pPr>
        <w:ind w:left="420" w:right="180" w:hanging="210"/>
        <w:spacing w:after="0" w:line="195" w:lineRule="auto"/>
        <w:tabs>
          <w:tab w:leader="none" w:pos="420" w:val="left"/>
        </w:tabs>
        <w:numPr>
          <w:ilvl w:val="0"/>
          <w:numId w:val="122"/>
        </w:numPr>
        <w:rPr>
          <w:rFonts w:ascii="Arial" w:cs="Arial" w:eastAsia="Arial" w:hAnsi="Arial"/>
          <w:sz w:val="24"/>
          <w:szCs w:val="24"/>
          <w:color w:val="333333"/>
          <w:vertAlign w:val="superscript"/>
        </w:rPr>
      </w:pPr>
      <w:r>
        <w:rPr>
          <w:rFonts w:ascii="Arial" w:cs="Arial" w:eastAsia="Arial" w:hAnsi="Arial"/>
          <w:sz w:val="14"/>
          <w:szCs w:val="14"/>
          <w:color w:val="333333"/>
        </w:rPr>
        <w:t>This column includes any fees that the directors elected to defer to their stock unit accounts in the Stock Plan, cash retainer fees that the directors elected to receive as Director SARs, and fees that were deferred pursuant to the EDC,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142875</wp:posOffset>
            </wp:positionV>
            <wp:extent cx="6706870" cy="13106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706870" cy="1310640"/>
                    </a:xfrm>
                    <a:prstGeom prst="rect">
                      <a:avLst/>
                    </a:prstGeom>
                    <a:noFill/>
                  </pic:spPr>
                </pic:pic>
              </a:graphicData>
            </a:graphic>
          </wp:anchor>
        </w:drawing>
      </w:r>
    </w:p>
    <w:p>
      <w:pPr>
        <w:spacing w:after="0" w:line="190" w:lineRule="exact"/>
        <w:rPr>
          <w:sz w:val="20"/>
          <w:szCs w:val="20"/>
          <w:color w:val="auto"/>
        </w:rPr>
      </w:pPr>
    </w:p>
    <w:tbl>
      <w:tblPr>
        <w:tblLayout w:type="fixed"/>
        <w:tblInd w:w="440" w:type="dxa"/>
        <w:tblCellMar>
          <w:top w:w="0" w:type="dxa"/>
          <w:left w:w="0" w:type="dxa"/>
          <w:bottom w:w="0" w:type="dxa"/>
          <w:right w:w="0" w:type="dxa"/>
        </w:tblCellMar>
      </w:tblPr>
      <w:tr>
        <w:trPr>
          <w:trHeight w:val="184"/>
        </w:trPr>
        <w:tc>
          <w:tcPr>
            <w:tcW w:w="2520" w:type="dxa"/>
            <w:vAlign w:val="bottom"/>
            <w:shd w:val="clear" w:color="auto" w:fill="998C87"/>
          </w:tcPr>
          <w:p>
            <w:pPr>
              <w:spacing w:after="0"/>
              <w:rPr>
                <w:sz w:val="16"/>
                <w:szCs w:val="16"/>
                <w:color w:val="auto"/>
              </w:rPr>
            </w:pPr>
          </w:p>
        </w:tc>
        <w:tc>
          <w:tcPr>
            <w:tcW w:w="2760" w:type="dxa"/>
            <w:vAlign w:val="bottom"/>
            <w:shd w:val="clear" w:color="auto" w:fill="998C87"/>
          </w:tcPr>
          <w:p>
            <w:pPr>
              <w:jc w:val="center"/>
              <w:ind w:left="196"/>
              <w:spacing w:after="0"/>
              <w:rPr>
                <w:sz w:val="20"/>
                <w:szCs w:val="20"/>
                <w:color w:val="auto"/>
              </w:rPr>
            </w:pPr>
            <w:r>
              <w:rPr>
                <w:rFonts w:ascii="Arial" w:cs="Arial" w:eastAsia="Arial" w:hAnsi="Arial"/>
                <w:sz w:val="16"/>
                <w:szCs w:val="16"/>
                <w:b w:val="1"/>
                <w:bCs w:val="1"/>
                <w:color w:val="FFFFFF"/>
              </w:rPr>
              <w:t>Fees Credited to Stock Unit</w:t>
            </w:r>
          </w:p>
        </w:tc>
        <w:tc>
          <w:tcPr>
            <w:tcW w:w="2720" w:type="dxa"/>
            <w:vAlign w:val="bottom"/>
            <w:shd w:val="clear" w:color="auto" w:fill="998C87"/>
          </w:tcPr>
          <w:p>
            <w:pPr>
              <w:spacing w:after="0"/>
              <w:rPr>
                <w:sz w:val="16"/>
                <w:szCs w:val="16"/>
                <w:color w:val="auto"/>
              </w:rPr>
            </w:pPr>
          </w:p>
        </w:tc>
        <w:tc>
          <w:tcPr>
            <w:tcW w:w="2560" w:type="dxa"/>
            <w:vAlign w:val="bottom"/>
            <w:shd w:val="clear" w:color="auto" w:fill="998C87"/>
          </w:tcPr>
          <w:p>
            <w:pPr>
              <w:spacing w:after="0"/>
              <w:rPr>
                <w:sz w:val="16"/>
                <w:szCs w:val="16"/>
                <w:color w:val="auto"/>
              </w:rPr>
            </w:pPr>
          </w:p>
        </w:tc>
      </w:tr>
      <w:tr>
        <w:trPr>
          <w:trHeight w:val="189"/>
        </w:trPr>
        <w:tc>
          <w:tcPr>
            <w:tcW w:w="2520" w:type="dxa"/>
            <w:vAlign w:val="bottom"/>
            <w:shd w:val="clear" w:color="auto" w:fill="998C87"/>
          </w:tcPr>
          <w:p>
            <w:pPr>
              <w:spacing w:after="0"/>
              <w:rPr>
                <w:sz w:val="16"/>
                <w:szCs w:val="16"/>
                <w:color w:val="auto"/>
              </w:rPr>
            </w:pPr>
          </w:p>
        </w:tc>
        <w:tc>
          <w:tcPr>
            <w:tcW w:w="2760" w:type="dxa"/>
            <w:vAlign w:val="bottom"/>
            <w:shd w:val="clear" w:color="auto" w:fill="998C87"/>
          </w:tcPr>
          <w:p>
            <w:pPr>
              <w:jc w:val="center"/>
              <w:ind w:left="196"/>
              <w:spacing w:after="0"/>
              <w:rPr>
                <w:sz w:val="20"/>
                <w:szCs w:val="20"/>
                <w:color w:val="auto"/>
              </w:rPr>
            </w:pPr>
            <w:r>
              <w:rPr>
                <w:rFonts w:ascii="Arial" w:cs="Arial" w:eastAsia="Arial" w:hAnsi="Arial"/>
                <w:sz w:val="16"/>
                <w:szCs w:val="16"/>
                <w:b w:val="1"/>
                <w:bCs w:val="1"/>
                <w:color w:val="FFFFFF"/>
              </w:rPr>
              <w:t>Account in the</w:t>
            </w:r>
          </w:p>
        </w:tc>
        <w:tc>
          <w:tcPr>
            <w:tcW w:w="2720" w:type="dxa"/>
            <w:vAlign w:val="bottom"/>
            <w:shd w:val="clear" w:color="auto" w:fill="998C87"/>
          </w:tcPr>
          <w:p>
            <w:pPr>
              <w:ind w:left="400"/>
              <w:spacing w:after="0"/>
              <w:rPr>
                <w:sz w:val="20"/>
                <w:szCs w:val="20"/>
                <w:color w:val="auto"/>
              </w:rPr>
            </w:pPr>
            <w:r>
              <w:rPr>
                <w:rFonts w:ascii="Arial" w:cs="Arial" w:eastAsia="Arial" w:hAnsi="Arial"/>
                <w:sz w:val="16"/>
                <w:szCs w:val="16"/>
                <w:b w:val="1"/>
                <w:bCs w:val="1"/>
                <w:color w:val="FFFFFF"/>
              </w:rPr>
              <w:t>Fees Elected as a Director</w:t>
            </w:r>
          </w:p>
        </w:tc>
        <w:tc>
          <w:tcPr>
            <w:tcW w:w="2560" w:type="dxa"/>
            <w:vAlign w:val="bottom"/>
            <w:shd w:val="clear" w:color="auto" w:fill="998C87"/>
          </w:tcPr>
          <w:p>
            <w:pPr>
              <w:jc w:val="right"/>
              <w:ind w:right="356"/>
              <w:spacing w:after="0"/>
              <w:rPr>
                <w:sz w:val="20"/>
                <w:szCs w:val="20"/>
                <w:color w:val="auto"/>
              </w:rPr>
            </w:pPr>
            <w:r>
              <w:rPr>
                <w:rFonts w:ascii="Arial" w:cs="Arial" w:eastAsia="Arial" w:hAnsi="Arial"/>
                <w:sz w:val="16"/>
                <w:szCs w:val="16"/>
                <w:b w:val="1"/>
                <w:bCs w:val="1"/>
                <w:color w:val="FFFFFF"/>
              </w:rPr>
              <w:t>Fees Deferred Pursuant</w:t>
            </w:r>
          </w:p>
        </w:tc>
      </w:tr>
      <w:tr>
        <w:trPr>
          <w:trHeight w:val="236"/>
        </w:trPr>
        <w:tc>
          <w:tcPr>
            <w:tcW w:w="2520" w:type="dxa"/>
            <w:vAlign w:val="bottom"/>
            <w:shd w:val="clear" w:color="auto" w:fill="998C87"/>
          </w:tcPr>
          <w:p>
            <w:pPr>
              <w:ind w:left="220"/>
              <w:spacing w:after="0"/>
              <w:rPr>
                <w:sz w:val="20"/>
                <w:szCs w:val="20"/>
                <w:color w:val="auto"/>
              </w:rPr>
            </w:pPr>
            <w:r>
              <w:rPr>
                <w:rFonts w:ascii="Arial" w:cs="Arial" w:eastAsia="Arial" w:hAnsi="Arial"/>
                <w:sz w:val="16"/>
                <w:szCs w:val="16"/>
                <w:b w:val="1"/>
                <w:bCs w:val="1"/>
                <w:color w:val="FFFFFF"/>
              </w:rPr>
              <w:t>Name</w:t>
            </w:r>
          </w:p>
        </w:tc>
        <w:tc>
          <w:tcPr>
            <w:tcW w:w="2760" w:type="dxa"/>
            <w:vAlign w:val="bottom"/>
            <w:shd w:val="clear" w:color="auto" w:fill="998C87"/>
          </w:tcPr>
          <w:p>
            <w:pPr>
              <w:jc w:val="center"/>
              <w:ind w:left="196"/>
              <w:spacing w:after="0"/>
              <w:rPr>
                <w:sz w:val="20"/>
                <w:szCs w:val="20"/>
                <w:color w:val="auto"/>
              </w:rPr>
            </w:pPr>
            <w:r>
              <w:rPr>
                <w:rFonts w:ascii="Arial" w:cs="Arial" w:eastAsia="Arial" w:hAnsi="Arial"/>
                <w:sz w:val="16"/>
                <w:szCs w:val="16"/>
                <w:b w:val="1"/>
                <w:bCs w:val="1"/>
                <w:color w:val="FFFFFF"/>
              </w:rPr>
              <w:t>Stock Plan ($)</w:t>
            </w:r>
          </w:p>
        </w:tc>
        <w:tc>
          <w:tcPr>
            <w:tcW w:w="2720" w:type="dxa"/>
            <w:vAlign w:val="bottom"/>
            <w:shd w:val="clear" w:color="auto" w:fill="998C87"/>
          </w:tcPr>
          <w:p>
            <w:pPr>
              <w:ind w:left="860"/>
              <w:spacing w:after="0"/>
              <w:rPr>
                <w:sz w:val="20"/>
                <w:szCs w:val="20"/>
                <w:color w:val="auto"/>
              </w:rPr>
            </w:pPr>
            <w:r>
              <w:rPr>
                <w:rFonts w:ascii="Arial" w:cs="Arial" w:eastAsia="Arial" w:hAnsi="Arial"/>
                <w:sz w:val="16"/>
                <w:szCs w:val="16"/>
                <w:b w:val="1"/>
                <w:bCs w:val="1"/>
                <w:color w:val="FFFFFF"/>
              </w:rPr>
              <w:t>SAR Award ($)</w:t>
            </w:r>
          </w:p>
        </w:tc>
        <w:tc>
          <w:tcPr>
            <w:tcW w:w="2560" w:type="dxa"/>
            <w:vAlign w:val="bottom"/>
            <w:shd w:val="clear" w:color="auto" w:fill="998C87"/>
          </w:tcPr>
          <w:p>
            <w:pPr>
              <w:jc w:val="right"/>
              <w:ind w:right="736"/>
              <w:spacing w:after="0"/>
              <w:rPr>
                <w:sz w:val="20"/>
                <w:szCs w:val="20"/>
                <w:color w:val="auto"/>
              </w:rPr>
            </w:pPr>
            <w:r>
              <w:rPr>
                <w:rFonts w:ascii="Arial" w:cs="Arial" w:eastAsia="Arial" w:hAnsi="Arial"/>
                <w:sz w:val="16"/>
                <w:szCs w:val="16"/>
                <w:b w:val="1"/>
                <w:bCs w:val="1"/>
                <w:color w:val="FFFFFF"/>
              </w:rPr>
              <w:t>to the EDC ($)</w:t>
            </w:r>
          </w:p>
        </w:tc>
      </w:tr>
      <w:tr>
        <w:trPr>
          <w:trHeight w:val="231"/>
        </w:trPr>
        <w:tc>
          <w:tcPr>
            <w:tcW w:w="2520" w:type="dxa"/>
            <w:vAlign w:val="bottom"/>
            <w:shd w:val="clear" w:color="auto" w:fill="F4F3F3"/>
          </w:tcPr>
          <w:p>
            <w:pPr>
              <w:ind w:left="240"/>
              <w:spacing w:after="0"/>
              <w:rPr>
                <w:sz w:val="20"/>
                <w:szCs w:val="20"/>
                <w:color w:val="auto"/>
              </w:rPr>
            </w:pPr>
            <w:r>
              <w:rPr>
                <w:rFonts w:ascii="Arial" w:cs="Arial" w:eastAsia="Arial" w:hAnsi="Arial"/>
                <w:sz w:val="17"/>
                <w:szCs w:val="17"/>
                <w:color w:val="998C87"/>
              </w:rPr>
              <w:t>Mr. Hippeau</w:t>
            </w:r>
          </w:p>
        </w:tc>
        <w:tc>
          <w:tcPr>
            <w:tcW w:w="2760" w:type="dxa"/>
            <w:vAlign w:val="bottom"/>
            <w:shd w:val="clear" w:color="auto" w:fill="F4F3F3"/>
          </w:tcPr>
          <w:p>
            <w:pPr>
              <w:ind w:left="2240"/>
              <w:spacing w:after="0"/>
              <w:rPr>
                <w:sz w:val="20"/>
                <w:szCs w:val="20"/>
                <w:color w:val="auto"/>
              </w:rPr>
            </w:pPr>
            <w:r>
              <w:rPr>
                <w:rFonts w:ascii="Arial" w:cs="Arial" w:eastAsia="Arial" w:hAnsi="Arial"/>
                <w:sz w:val="17"/>
                <w:szCs w:val="17"/>
                <w:color w:val="auto"/>
                <w:w w:val="96"/>
              </w:rPr>
              <w:t>56,667</w:t>
            </w:r>
          </w:p>
        </w:tc>
        <w:tc>
          <w:tcPr>
            <w:tcW w:w="2720" w:type="dxa"/>
            <w:vAlign w:val="bottom"/>
            <w:shd w:val="clear" w:color="auto" w:fill="F4F3F3"/>
          </w:tcPr>
          <w:p>
            <w:pPr>
              <w:ind w:left="2020"/>
              <w:spacing w:after="0"/>
              <w:rPr>
                <w:sz w:val="20"/>
                <w:szCs w:val="20"/>
                <w:color w:val="auto"/>
              </w:rPr>
            </w:pPr>
            <w:r>
              <w:rPr>
                <w:rFonts w:ascii="Arial" w:cs="Arial" w:eastAsia="Arial" w:hAnsi="Arial"/>
                <w:sz w:val="17"/>
                <w:szCs w:val="17"/>
                <w:color w:val="auto"/>
              </w:rPr>
              <w:t>—</w:t>
            </w:r>
          </w:p>
        </w:tc>
        <w:tc>
          <w:tcPr>
            <w:tcW w:w="2560" w:type="dxa"/>
            <w:vAlign w:val="bottom"/>
            <w:shd w:val="clear" w:color="auto" w:fill="F4F3F3"/>
          </w:tcPr>
          <w:p>
            <w:pPr>
              <w:jc w:val="right"/>
              <w:ind w:right="276"/>
              <w:spacing w:after="0"/>
              <w:rPr>
                <w:sz w:val="20"/>
                <w:szCs w:val="20"/>
                <w:color w:val="auto"/>
              </w:rPr>
            </w:pPr>
            <w:r>
              <w:rPr>
                <w:rFonts w:ascii="Arial" w:cs="Arial" w:eastAsia="Arial" w:hAnsi="Arial"/>
                <w:sz w:val="17"/>
                <w:szCs w:val="17"/>
                <w:color w:val="auto"/>
              </w:rPr>
              <w:t>—</w:t>
            </w:r>
          </w:p>
        </w:tc>
      </w:tr>
      <w:tr>
        <w:trPr>
          <w:trHeight w:val="231"/>
        </w:trPr>
        <w:tc>
          <w:tcPr>
            <w:tcW w:w="2520" w:type="dxa"/>
            <w:vAlign w:val="bottom"/>
            <w:shd w:val="clear" w:color="auto" w:fill="F4F3F3"/>
          </w:tcPr>
          <w:p>
            <w:pPr>
              <w:ind w:left="240"/>
              <w:spacing w:after="0"/>
              <w:rPr>
                <w:sz w:val="20"/>
                <w:szCs w:val="20"/>
                <w:color w:val="auto"/>
              </w:rPr>
            </w:pPr>
            <w:r>
              <w:rPr>
                <w:rFonts w:ascii="Arial" w:cs="Arial" w:eastAsia="Arial" w:hAnsi="Arial"/>
                <w:sz w:val="17"/>
                <w:szCs w:val="17"/>
                <w:color w:val="998C87"/>
              </w:rPr>
              <w:t>Ms. Lee</w:t>
            </w:r>
          </w:p>
        </w:tc>
        <w:tc>
          <w:tcPr>
            <w:tcW w:w="2760" w:type="dxa"/>
            <w:vAlign w:val="bottom"/>
            <w:shd w:val="clear" w:color="auto" w:fill="F4F3F3"/>
          </w:tcPr>
          <w:p>
            <w:pPr>
              <w:ind w:left="2500"/>
              <w:spacing w:after="0"/>
              <w:rPr>
                <w:sz w:val="20"/>
                <w:szCs w:val="20"/>
                <w:color w:val="auto"/>
              </w:rPr>
            </w:pPr>
            <w:r>
              <w:rPr>
                <w:rFonts w:ascii="Arial" w:cs="Arial" w:eastAsia="Arial" w:hAnsi="Arial"/>
                <w:sz w:val="17"/>
                <w:szCs w:val="17"/>
                <w:color w:val="auto"/>
              </w:rPr>
              <w:t>—</w:t>
            </w:r>
          </w:p>
        </w:tc>
        <w:tc>
          <w:tcPr>
            <w:tcW w:w="2720" w:type="dxa"/>
            <w:vAlign w:val="bottom"/>
            <w:shd w:val="clear" w:color="auto" w:fill="F4F3F3"/>
          </w:tcPr>
          <w:p>
            <w:pPr>
              <w:ind w:left="2020"/>
              <w:spacing w:after="0"/>
              <w:rPr>
                <w:sz w:val="20"/>
                <w:szCs w:val="20"/>
                <w:color w:val="auto"/>
              </w:rPr>
            </w:pPr>
            <w:r>
              <w:rPr>
                <w:rFonts w:ascii="Arial" w:cs="Arial" w:eastAsia="Arial" w:hAnsi="Arial"/>
                <w:sz w:val="17"/>
                <w:szCs w:val="17"/>
                <w:color w:val="auto"/>
              </w:rPr>
              <w:t>—</w:t>
            </w:r>
          </w:p>
        </w:tc>
        <w:tc>
          <w:tcPr>
            <w:tcW w:w="2560" w:type="dxa"/>
            <w:vAlign w:val="bottom"/>
            <w:shd w:val="clear" w:color="auto" w:fill="F4F3F3"/>
          </w:tcPr>
          <w:p>
            <w:pPr>
              <w:jc w:val="right"/>
              <w:ind w:right="196"/>
              <w:spacing w:after="0"/>
              <w:rPr>
                <w:sz w:val="20"/>
                <w:szCs w:val="20"/>
                <w:color w:val="auto"/>
              </w:rPr>
            </w:pPr>
            <w:r>
              <w:rPr>
                <w:rFonts w:ascii="Arial" w:cs="Arial" w:eastAsia="Arial" w:hAnsi="Arial"/>
                <w:sz w:val="17"/>
                <w:szCs w:val="17"/>
                <w:color w:val="auto"/>
              </w:rPr>
              <w:t>5,700</w:t>
            </w:r>
          </w:p>
        </w:tc>
      </w:tr>
      <w:tr>
        <w:trPr>
          <w:trHeight w:val="240"/>
        </w:trPr>
        <w:tc>
          <w:tcPr>
            <w:tcW w:w="2520" w:type="dxa"/>
            <w:vAlign w:val="bottom"/>
            <w:shd w:val="clear" w:color="auto" w:fill="F4F3F3"/>
          </w:tcPr>
          <w:p>
            <w:pPr>
              <w:ind w:left="240"/>
              <w:spacing w:after="0"/>
              <w:rPr>
                <w:sz w:val="20"/>
                <w:szCs w:val="20"/>
                <w:color w:val="auto"/>
              </w:rPr>
            </w:pPr>
            <w:r>
              <w:rPr>
                <w:rFonts w:ascii="Arial" w:cs="Arial" w:eastAsia="Arial" w:hAnsi="Arial"/>
                <w:sz w:val="17"/>
                <w:szCs w:val="17"/>
                <w:color w:val="998C87"/>
              </w:rPr>
              <w:t>Mr. Lewis</w:t>
            </w:r>
          </w:p>
        </w:tc>
        <w:tc>
          <w:tcPr>
            <w:tcW w:w="2760" w:type="dxa"/>
            <w:vAlign w:val="bottom"/>
            <w:shd w:val="clear" w:color="auto" w:fill="F4F3F3"/>
          </w:tcPr>
          <w:p>
            <w:pPr>
              <w:ind w:left="2240"/>
              <w:spacing w:after="0"/>
              <w:rPr>
                <w:sz w:val="20"/>
                <w:szCs w:val="20"/>
                <w:color w:val="auto"/>
              </w:rPr>
            </w:pPr>
            <w:r>
              <w:rPr>
                <w:rFonts w:ascii="Arial" w:cs="Arial" w:eastAsia="Arial" w:hAnsi="Arial"/>
                <w:sz w:val="17"/>
                <w:szCs w:val="17"/>
                <w:color w:val="auto"/>
                <w:w w:val="96"/>
              </w:rPr>
              <w:t>32,083</w:t>
            </w:r>
          </w:p>
        </w:tc>
        <w:tc>
          <w:tcPr>
            <w:tcW w:w="2720" w:type="dxa"/>
            <w:vAlign w:val="bottom"/>
            <w:shd w:val="clear" w:color="auto" w:fill="F4F3F3"/>
          </w:tcPr>
          <w:p>
            <w:pPr>
              <w:ind w:left="2020"/>
              <w:spacing w:after="0"/>
              <w:rPr>
                <w:sz w:val="20"/>
                <w:szCs w:val="20"/>
                <w:color w:val="auto"/>
              </w:rPr>
            </w:pPr>
            <w:r>
              <w:rPr>
                <w:rFonts w:ascii="Arial" w:cs="Arial" w:eastAsia="Arial" w:hAnsi="Arial"/>
                <w:sz w:val="17"/>
                <w:szCs w:val="17"/>
                <w:color w:val="auto"/>
              </w:rPr>
              <w:t>—</w:t>
            </w:r>
          </w:p>
        </w:tc>
        <w:tc>
          <w:tcPr>
            <w:tcW w:w="2560" w:type="dxa"/>
            <w:vAlign w:val="bottom"/>
            <w:shd w:val="clear" w:color="auto" w:fill="F4F3F3"/>
          </w:tcPr>
          <w:p>
            <w:pPr>
              <w:jc w:val="right"/>
              <w:ind w:right="196"/>
              <w:spacing w:after="0"/>
              <w:rPr>
                <w:sz w:val="20"/>
                <w:szCs w:val="20"/>
                <w:color w:val="auto"/>
              </w:rPr>
            </w:pPr>
            <w:r>
              <w:rPr>
                <w:rFonts w:ascii="Arial" w:cs="Arial" w:eastAsia="Arial" w:hAnsi="Arial"/>
                <w:sz w:val="17"/>
                <w:szCs w:val="17"/>
                <w:color w:val="auto"/>
              </w:rPr>
              <w:t>32,083</w:t>
            </w:r>
          </w:p>
        </w:tc>
      </w:tr>
      <w:tr>
        <w:trPr>
          <w:trHeight w:val="243"/>
        </w:trPr>
        <w:tc>
          <w:tcPr>
            <w:tcW w:w="2520" w:type="dxa"/>
            <w:vAlign w:val="bottom"/>
            <w:shd w:val="clear" w:color="auto" w:fill="F4F3F3"/>
          </w:tcPr>
          <w:p>
            <w:pPr>
              <w:ind w:left="240"/>
              <w:spacing w:after="0"/>
              <w:rPr>
                <w:sz w:val="20"/>
                <w:szCs w:val="20"/>
                <w:color w:val="auto"/>
              </w:rPr>
            </w:pPr>
            <w:r>
              <w:rPr>
                <w:rFonts w:ascii="Arial" w:cs="Arial" w:eastAsia="Arial" w:hAnsi="Arial"/>
                <w:sz w:val="17"/>
                <w:szCs w:val="17"/>
                <w:color w:val="998C87"/>
              </w:rPr>
              <w:t>Mr. Muñoz</w:t>
            </w:r>
          </w:p>
        </w:tc>
        <w:tc>
          <w:tcPr>
            <w:tcW w:w="2760" w:type="dxa"/>
            <w:vAlign w:val="bottom"/>
            <w:shd w:val="clear" w:color="auto" w:fill="F4F3F3"/>
          </w:tcPr>
          <w:p>
            <w:pPr>
              <w:ind w:left="2500"/>
              <w:spacing w:after="0"/>
              <w:rPr>
                <w:sz w:val="20"/>
                <w:szCs w:val="20"/>
                <w:color w:val="auto"/>
              </w:rPr>
            </w:pPr>
            <w:r>
              <w:rPr>
                <w:rFonts w:ascii="Arial" w:cs="Arial" w:eastAsia="Arial" w:hAnsi="Arial"/>
                <w:sz w:val="17"/>
                <w:szCs w:val="17"/>
                <w:color w:val="auto"/>
              </w:rPr>
              <w:t>—</w:t>
            </w:r>
          </w:p>
        </w:tc>
        <w:tc>
          <w:tcPr>
            <w:tcW w:w="2720" w:type="dxa"/>
            <w:vAlign w:val="bottom"/>
            <w:shd w:val="clear" w:color="auto" w:fill="F4F3F3"/>
          </w:tcPr>
          <w:p>
            <w:pPr>
              <w:ind w:left="2020"/>
              <w:spacing w:after="0"/>
              <w:rPr>
                <w:sz w:val="20"/>
                <w:szCs w:val="20"/>
                <w:color w:val="auto"/>
              </w:rPr>
            </w:pPr>
            <w:r>
              <w:rPr>
                <w:rFonts w:ascii="Arial" w:cs="Arial" w:eastAsia="Arial" w:hAnsi="Arial"/>
                <w:sz w:val="17"/>
                <w:szCs w:val="17"/>
                <w:color w:val="auto"/>
              </w:rPr>
              <w:t>—</w:t>
            </w:r>
          </w:p>
        </w:tc>
        <w:tc>
          <w:tcPr>
            <w:tcW w:w="2560" w:type="dxa"/>
            <w:vAlign w:val="bottom"/>
            <w:shd w:val="clear" w:color="auto" w:fill="F4F3F3"/>
          </w:tcPr>
          <w:p>
            <w:pPr>
              <w:jc w:val="right"/>
              <w:ind w:right="196"/>
              <w:spacing w:after="0"/>
              <w:rPr>
                <w:sz w:val="20"/>
                <w:szCs w:val="20"/>
                <w:color w:val="auto"/>
              </w:rPr>
            </w:pPr>
            <w:r>
              <w:rPr>
                <w:rFonts w:ascii="Arial" w:cs="Arial" w:eastAsia="Arial" w:hAnsi="Arial"/>
                <w:sz w:val="17"/>
                <w:szCs w:val="17"/>
                <w:color w:val="auto"/>
              </w:rPr>
              <w:t>66,017</w:t>
            </w:r>
          </w:p>
        </w:tc>
      </w:tr>
      <w:tr>
        <w:trPr>
          <w:trHeight w:val="243"/>
        </w:trPr>
        <w:tc>
          <w:tcPr>
            <w:tcW w:w="2520" w:type="dxa"/>
            <w:vAlign w:val="bottom"/>
            <w:shd w:val="clear" w:color="auto" w:fill="F4F3F3"/>
          </w:tcPr>
          <w:p>
            <w:pPr>
              <w:ind w:left="240"/>
              <w:spacing w:after="0"/>
              <w:rPr>
                <w:sz w:val="20"/>
                <w:szCs w:val="20"/>
                <w:color w:val="auto"/>
              </w:rPr>
            </w:pPr>
            <w:r>
              <w:rPr>
                <w:rFonts w:ascii="Arial" w:cs="Arial" w:eastAsia="Arial" w:hAnsi="Arial"/>
                <w:sz w:val="17"/>
                <w:szCs w:val="17"/>
                <w:color w:val="998C87"/>
              </w:rPr>
              <w:t>Mr. Reinemund</w:t>
            </w:r>
          </w:p>
        </w:tc>
        <w:tc>
          <w:tcPr>
            <w:tcW w:w="2760" w:type="dxa"/>
            <w:vAlign w:val="bottom"/>
            <w:shd w:val="clear" w:color="auto" w:fill="F4F3F3"/>
          </w:tcPr>
          <w:p>
            <w:pPr>
              <w:ind w:left="2500"/>
              <w:spacing w:after="0"/>
              <w:rPr>
                <w:sz w:val="20"/>
                <w:szCs w:val="20"/>
                <w:color w:val="auto"/>
              </w:rPr>
            </w:pPr>
            <w:r>
              <w:rPr>
                <w:rFonts w:ascii="Arial" w:cs="Arial" w:eastAsia="Arial" w:hAnsi="Arial"/>
                <w:sz w:val="17"/>
                <w:szCs w:val="17"/>
                <w:color w:val="auto"/>
              </w:rPr>
              <w:t>—</w:t>
            </w:r>
          </w:p>
        </w:tc>
        <w:tc>
          <w:tcPr>
            <w:tcW w:w="2720" w:type="dxa"/>
            <w:vAlign w:val="bottom"/>
            <w:shd w:val="clear" w:color="auto" w:fill="F4F3F3"/>
          </w:tcPr>
          <w:p>
            <w:pPr>
              <w:ind w:left="2020"/>
              <w:spacing w:after="0"/>
              <w:rPr>
                <w:sz w:val="20"/>
                <w:szCs w:val="20"/>
                <w:color w:val="auto"/>
              </w:rPr>
            </w:pPr>
            <w:r>
              <w:rPr>
                <w:rFonts w:ascii="Arial" w:cs="Arial" w:eastAsia="Arial" w:hAnsi="Arial"/>
                <w:sz w:val="17"/>
                <w:szCs w:val="17"/>
                <w:color w:val="auto"/>
              </w:rPr>
              <w:t>—</w:t>
            </w:r>
          </w:p>
        </w:tc>
        <w:tc>
          <w:tcPr>
            <w:tcW w:w="2560" w:type="dxa"/>
            <w:vAlign w:val="bottom"/>
            <w:shd w:val="clear" w:color="auto" w:fill="F4F3F3"/>
          </w:tcPr>
          <w:p>
            <w:pPr>
              <w:jc w:val="right"/>
              <w:ind w:right="196"/>
              <w:spacing w:after="0"/>
              <w:rPr>
                <w:sz w:val="20"/>
                <w:szCs w:val="20"/>
                <w:color w:val="auto"/>
              </w:rPr>
            </w:pPr>
            <w:r>
              <w:rPr>
                <w:rFonts w:ascii="Arial" w:cs="Arial" w:eastAsia="Arial" w:hAnsi="Arial"/>
                <w:sz w:val="17"/>
                <w:szCs w:val="17"/>
                <w:color w:val="auto"/>
              </w:rPr>
              <w:t>3,850</w:t>
            </w:r>
          </w:p>
        </w:tc>
      </w:tr>
      <w:tr>
        <w:trPr>
          <w:trHeight w:val="243"/>
        </w:trPr>
        <w:tc>
          <w:tcPr>
            <w:tcW w:w="2520" w:type="dxa"/>
            <w:vAlign w:val="bottom"/>
            <w:shd w:val="clear" w:color="auto" w:fill="F4F3F3"/>
          </w:tcPr>
          <w:p>
            <w:pPr>
              <w:ind w:left="240"/>
              <w:spacing w:after="0"/>
              <w:rPr>
                <w:sz w:val="20"/>
                <w:szCs w:val="20"/>
                <w:color w:val="auto"/>
              </w:rPr>
            </w:pPr>
            <w:r>
              <w:rPr>
                <w:rFonts w:ascii="Arial" w:cs="Arial" w:eastAsia="Arial" w:hAnsi="Arial"/>
                <w:sz w:val="17"/>
                <w:szCs w:val="17"/>
                <w:color w:val="998C87"/>
              </w:rPr>
              <w:t>Ms. Schwab</w:t>
            </w:r>
          </w:p>
        </w:tc>
        <w:tc>
          <w:tcPr>
            <w:tcW w:w="2760" w:type="dxa"/>
            <w:vAlign w:val="bottom"/>
            <w:shd w:val="clear" w:color="auto" w:fill="F4F3F3"/>
          </w:tcPr>
          <w:p>
            <w:pPr>
              <w:ind w:left="2500"/>
              <w:spacing w:after="0"/>
              <w:rPr>
                <w:sz w:val="20"/>
                <w:szCs w:val="20"/>
                <w:color w:val="auto"/>
              </w:rPr>
            </w:pPr>
            <w:r>
              <w:rPr>
                <w:rFonts w:ascii="Arial" w:cs="Arial" w:eastAsia="Arial" w:hAnsi="Arial"/>
                <w:sz w:val="17"/>
                <w:szCs w:val="17"/>
                <w:color w:val="auto"/>
              </w:rPr>
              <w:t>—</w:t>
            </w:r>
          </w:p>
        </w:tc>
        <w:tc>
          <w:tcPr>
            <w:tcW w:w="2720" w:type="dxa"/>
            <w:vAlign w:val="bottom"/>
            <w:shd w:val="clear" w:color="auto" w:fill="F4F3F3"/>
          </w:tcPr>
          <w:p>
            <w:pPr>
              <w:ind w:left="2020"/>
              <w:spacing w:after="0"/>
              <w:rPr>
                <w:sz w:val="20"/>
                <w:szCs w:val="20"/>
                <w:color w:val="auto"/>
              </w:rPr>
            </w:pPr>
            <w:r>
              <w:rPr>
                <w:rFonts w:ascii="Arial" w:cs="Arial" w:eastAsia="Arial" w:hAnsi="Arial"/>
                <w:sz w:val="17"/>
                <w:szCs w:val="17"/>
                <w:color w:val="auto"/>
              </w:rPr>
              <w:t>—</w:t>
            </w:r>
          </w:p>
        </w:tc>
        <w:tc>
          <w:tcPr>
            <w:tcW w:w="2560" w:type="dxa"/>
            <w:vAlign w:val="bottom"/>
            <w:shd w:val="clear" w:color="auto" w:fill="F4F3F3"/>
          </w:tcPr>
          <w:p>
            <w:pPr>
              <w:jc w:val="right"/>
              <w:ind w:right="196"/>
              <w:spacing w:after="0"/>
              <w:rPr>
                <w:sz w:val="20"/>
                <w:szCs w:val="20"/>
                <w:color w:val="auto"/>
              </w:rPr>
            </w:pPr>
            <w:r>
              <w:rPr>
                <w:rFonts w:ascii="Arial" w:cs="Arial" w:eastAsia="Arial" w:hAnsi="Arial"/>
                <w:sz w:val="17"/>
                <w:szCs w:val="17"/>
                <w:color w:val="auto"/>
              </w:rPr>
              <w:t>5,100</w:t>
            </w:r>
          </w:p>
        </w:tc>
      </w:tr>
      <w:tr>
        <w:trPr>
          <w:trHeight w:val="27"/>
        </w:trPr>
        <w:tc>
          <w:tcPr>
            <w:tcW w:w="2520" w:type="dxa"/>
            <w:vAlign w:val="bottom"/>
            <w:shd w:val="clear" w:color="auto" w:fill="F4F3F3"/>
          </w:tcPr>
          <w:p>
            <w:pPr>
              <w:spacing w:after="0"/>
              <w:rPr>
                <w:sz w:val="2"/>
                <w:szCs w:val="2"/>
                <w:color w:val="auto"/>
              </w:rPr>
            </w:pPr>
          </w:p>
        </w:tc>
        <w:tc>
          <w:tcPr>
            <w:tcW w:w="2760" w:type="dxa"/>
            <w:vAlign w:val="bottom"/>
            <w:shd w:val="clear" w:color="auto" w:fill="F4F3F3"/>
          </w:tcPr>
          <w:p>
            <w:pPr>
              <w:spacing w:after="0"/>
              <w:rPr>
                <w:sz w:val="2"/>
                <w:szCs w:val="2"/>
                <w:color w:val="auto"/>
              </w:rPr>
            </w:pPr>
          </w:p>
        </w:tc>
        <w:tc>
          <w:tcPr>
            <w:tcW w:w="2720" w:type="dxa"/>
            <w:vAlign w:val="bottom"/>
            <w:shd w:val="clear" w:color="auto" w:fill="F4F3F3"/>
          </w:tcPr>
          <w:p>
            <w:pPr>
              <w:spacing w:after="0"/>
              <w:rPr>
                <w:sz w:val="2"/>
                <w:szCs w:val="2"/>
                <w:color w:val="auto"/>
              </w:rPr>
            </w:pPr>
          </w:p>
        </w:tc>
        <w:tc>
          <w:tcPr>
            <w:tcW w:w="2560" w:type="dxa"/>
            <w:vAlign w:val="bottom"/>
            <w:shd w:val="clear" w:color="auto" w:fill="F4F3F3"/>
          </w:tcPr>
          <w:p>
            <w:pPr>
              <w:spacing w:after="0"/>
              <w:rPr>
                <w:sz w:val="2"/>
                <w:szCs w:val="2"/>
                <w:color w:val="auto"/>
              </w:rPr>
            </w:pPr>
          </w:p>
        </w:tc>
      </w:tr>
    </w:tbl>
    <w:p>
      <w:pPr>
        <w:spacing w:after="0" w:line="138" w:lineRule="exact"/>
        <w:rPr>
          <w:sz w:val="20"/>
          <w:szCs w:val="20"/>
          <w:color w:val="auto"/>
        </w:rPr>
      </w:pPr>
    </w:p>
    <w:p>
      <w:pPr>
        <w:ind w:left="540" w:hanging="330"/>
        <w:spacing w:after="0"/>
        <w:tabs>
          <w:tab w:leader="none" w:pos="540" w:val="left"/>
        </w:tabs>
        <w:numPr>
          <w:ilvl w:val="0"/>
          <w:numId w:val="123"/>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20"/>
          </w:cols>
          <w:pgMar w:left="240" w:top="455" w:right="4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ind w:left="8660"/>
        <w:spacing w:after="0"/>
        <w:rPr>
          <w:sz w:val="20"/>
          <w:szCs w:val="20"/>
          <w:color w:val="auto"/>
        </w:rPr>
      </w:pPr>
      <w:r>
        <w:rPr>
          <w:rFonts w:ascii="Arial" w:cs="Arial" w:eastAsia="Arial" w:hAnsi="Arial"/>
          <w:sz w:val="15"/>
          <w:szCs w:val="15"/>
          <w:color w:val="7F7F7F"/>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36" w:lineRule="exact"/>
        <w:rPr>
          <w:sz w:val="20"/>
          <w:szCs w:val="20"/>
          <w:color w:val="auto"/>
        </w:rPr>
      </w:pPr>
    </w:p>
    <w:p>
      <w:pPr>
        <w:ind w:left="420" w:right="180"/>
        <w:spacing w:after="0" w:line="245" w:lineRule="auto"/>
        <w:rPr>
          <w:sz w:val="20"/>
          <w:szCs w:val="20"/>
          <w:color w:val="auto"/>
        </w:rPr>
      </w:pPr>
      <w:r>
        <w:rPr>
          <w:rFonts w:ascii="Arial" w:cs="Arial" w:eastAsia="Arial" w:hAnsi="Arial"/>
          <w:sz w:val="14"/>
          <w:szCs w:val="14"/>
          <w:color w:val="333333"/>
        </w:rPr>
        <w:t>Messrs. Hippeau and Lewis elected to have stock units credited to their stock unit accounts under the Stock Plan, in lieu of cash payments of a portion of their annual cash retainer, which were credited on August 9, 2017, November 10, 2017, and February 20, 2018. The number of stock units credited to each director’s stock unit account was determined by dividing (i) the amount the director elected to defer by (ii) the average of the high and low trading prices of the Company’s Class A common stock on the respective credit dates, which were $102.21, $119.44, and $139.54.</w:t>
      </w:r>
    </w:p>
    <w:p>
      <w:pPr>
        <w:spacing w:after="0" w:line="1" w:lineRule="exact"/>
        <w:rPr>
          <w:sz w:val="20"/>
          <w:szCs w:val="20"/>
          <w:color w:val="auto"/>
        </w:rPr>
      </w:pPr>
    </w:p>
    <w:p>
      <w:pPr>
        <w:ind w:left="420" w:hanging="210"/>
        <w:spacing w:after="0" w:line="207" w:lineRule="auto"/>
        <w:tabs>
          <w:tab w:leader="none" w:pos="420" w:val="left"/>
        </w:tabs>
        <w:numPr>
          <w:ilvl w:val="0"/>
          <w:numId w:val="124"/>
        </w:numPr>
        <w:rPr>
          <w:rFonts w:ascii="Arial" w:cs="Arial" w:eastAsia="Arial" w:hAnsi="Arial"/>
          <w:sz w:val="24"/>
          <w:szCs w:val="24"/>
          <w:color w:val="333333"/>
          <w:vertAlign w:val="superscript"/>
        </w:rPr>
      </w:pPr>
      <w:r>
        <w:rPr>
          <w:rFonts w:ascii="Arial" w:cs="Arial" w:eastAsia="Arial" w:hAnsi="Arial"/>
          <w:sz w:val="14"/>
          <w:szCs w:val="14"/>
          <w:color w:val="333333"/>
        </w:rPr>
        <w:t>Each non-employee director was granted a Director Share Award on May 11, 2017, for 1,358 shares. In accordance with the Company’s equity compensation grant procedures, the awards were determined by dividing the value of the Director Share Award by the average of the high and low prices of a share of the Company’s Class A common stock on the date the awards were granted, which was $103.10 per share. The amounts reported in the “Stock Awards” column reflect the grant-date fair value of the award, determined in accordance with accounting guidance for share-based payments.</w:t>
      </w:r>
    </w:p>
    <w:p>
      <w:pPr>
        <w:ind w:left="420" w:right="40" w:hanging="210"/>
        <w:spacing w:after="0" w:line="209" w:lineRule="auto"/>
        <w:tabs>
          <w:tab w:leader="none" w:pos="420" w:val="left"/>
        </w:tabs>
        <w:numPr>
          <w:ilvl w:val="0"/>
          <w:numId w:val="124"/>
        </w:numPr>
        <w:rPr>
          <w:rFonts w:ascii="Arial" w:cs="Arial" w:eastAsia="Arial" w:hAnsi="Arial"/>
          <w:sz w:val="24"/>
          <w:szCs w:val="24"/>
          <w:color w:val="333333"/>
          <w:vertAlign w:val="superscript"/>
        </w:rPr>
      </w:pPr>
      <w:r>
        <w:rPr>
          <w:rFonts w:ascii="Arial" w:cs="Arial" w:eastAsia="Arial" w:hAnsi="Arial"/>
          <w:sz w:val="14"/>
          <w:szCs w:val="14"/>
          <w:color w:val="333333"/>
        </w:rPr>
        <w:t>The following table indicates the number of outstanding or SARs, stock options (“SO”), restricted stock units, and deferred stock (“DS”) held by each director at the end of 2017. This table also includes MVW stock awards resulting from adjustments to the Company stock awards for the Company’s timeshare business spin-off in 2011. SO and RSU awards held by Messrs. Duncan, Hippeau and Lewis reflect Starwood awards that converted into awards that are settled in Marriott stock, and do not reflect accrued dividend equivalents that are paid in cash upon settlement of DS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142875</wp:posOffset>
            </wp:positionV>
            <wp:extent cx="6844030" cy="32207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44030" cy="3220720"/>
                    </a:xfrm>
                    <a:prstGeom prst="rect">
                      <a:avLst/>
                    </a:prstGeom>
                    <a:noFill/>
                  </pic:spPr>
                </pic:pic>
              </a:graphicData>
            </a:graphic>
          </wp:anchor>
        </w:drawing>
      </w:r>
    </w:p>
    <w:p>
      <w:pPr>
        <w:spacing w:after="0" w:line="189" w:lineRule="exact"/>
        <w:rPr>
          <w:sz w:val="20"/>
          <w:szCs w:val="20"/>
          <w:color w:val="auto"/>
        </w:rPr>
      </w:pPr>
    </w:p>
    <w:tbl>
      <w:tblPr>
        <w:tblLayout w:type="fixed"/>
        <w:tblInd w:w="440" w:type="dxa"/>
        <w:tblCellMar>
          <w:top w:w="0" w:type="dxa"/>
          <w:left w:w="0" w:type="dxa"/>
          <w:bottom w:w="0" w:type="dxa"/>
          <w:right w:w="0" w:type="dxa"/>
        </w:tblCellMar>
      </w:tblPr>
      <w:tr>
        <w:trPr>
          <w:trHeight w:val="184"/>
        </w:trPr>
        <w:tc>
          <w:tcPr>
            <w:tcW w:w="2150" w:type="dxa"/>
            <w:vAlign w:val="bottom"/>
            <w:shd w:val="clear" w:color="auto" w:fill="998C87"/>
          </w:tcPr>
          <w:p>
            <w:pPr>
              <w:spacing w:after="0"/>
              <w:rPr>
                <w:sz w:val="16"/>
                <w:szCs w:val="16"/>
                <w:color w:val="auto"/>
              </w:rPr>
            </w:pPr>
          </w:p>
        </w:tc>
        <w:tc>
          <w:tcPr>
            <w:tcW w:w="1050" w:type="dxa"/>
            <w:vAlign w:val="bottom"/>
            <w:shd w:val="clear" w:color="auto" w:fill="998C87"/>
          </w:tcPr>
          <w:p>
            <w:pPr>
              <w:spacing w:after="0"/>
              <w:rPr>
                <w:sz w:val="16"/>
                <w:szCs w:val="16"/>
                <w:color w:val="auto"/>
              </w:rPr>
            </w:pPr>
          </w:p>
        </w:tc>
        <w:tc>
          <w:tcPr>
            <w:tcW w:w="3280" w:type="dxa"/>
            <w:vAlign w:val="bottom"/>
            <w:gridSpan w:val="2"/>
            <w:shd w:val="clear" w:color="auto" w:fill="998C87"/>
          </w:tcPr>
          <w:p>
            <w:pPr>
              <w:jc w:val="center"/>
              <w:ind w:right="115"/>
              <w:spacing w:after="0"/>
              <w:rPr>
                <w:sz w:val="20"/>
                <w:szCs w:val="20"/>
                <w:color w:val="auto"/>
              </w:rPr>
            </w:pPr>
            <w:r>
              <w:rPr>
                <w:rFonts w:ascii="Arial" w:cs="Arial" w:eastAsia="Arial" w:hAnsi="Arial"/>
                <w:sz w:val="16"/>
                <w:szCs w:val="16"/>
                <w:b w:val="1"/>
                <w:bCs w:val="1"/>
                <w:color w:val="FFFFFF"/>
              </w:rPr>
              <w:t>Number of Securities Underlying</w:t>
            </w:r>
          </w:p>
        </w:tc>
        <w:tc>
          <w:tcPr>
            <w:tcW w:w="2020" w:type="dxa"/>
            <w:vAlign w:val="bottom"/>
            <w:shd w:val="clear" w:color="auto" w:fill="998C87"/>
          </w:tcPr>
          <w:p>
            <w:pPr>
              <w:spacing w:after="0"/>
              <w:rPr>
                <w:sz w:val="16"/>
                <w:szCs w:val="16"/>
                <w:color w:val="auto"/>
              </w:rPr>
            </w:pPr>
          </w:p>
        </w:tc>
        <w:tc>
          <w:tcPr>
            <w:tcW w:w="2280" w:type="dxa"/>
            <w:vAlign w:val="bottom"/>
            <w:shd w:val="clear" w:color="auto" w:fill="998C87"/>
          </w:tcPr>
          <w:p>
            <w:pPr>
              <w:spacing w:after="0"/>
              <w:rPr>
                <w:sz w:val="16"/>
                <w:szCs w:val="16"/>
                <w:color w:val="auto"/>
              </w:rPr>
            </w:pPr>
          </w:p>
        </w:tc>
      </w:tr>
      <w:tr>
        <w:trPr>
          <w:trHeight w:val="195"/>
        </w:trPr>
        <w:tc>
          <w:tcPr>
            <w:tcW w:w="2150" w:type="dxa"/>
            <w:vAlign w:val="bottom"/>
            <w:shd w:val="clear" w:color="auto" w:fill="998C87"/>
          </w:tcPr>
          <w:p>
            <w:pPr>
              <w:spacing w:after="0"/>
              <w:rPr>
                <w:sz w:val="16"/>
                <w:szCs w:val="16"/>
                <w:color w:val="auto"/>
              </w:rPr>
            </w:pPr>
          </w:p>
        </w:tc>
        <w:tc>
          <w:tcPr>
            <w:tcW w:w="1050" w:type="dxa"/>
            <w:vAlign w:val="bottom"/>
            <w:shd w:val="clear" w:color="auto" w:fill="998C87"/>
          </w:tcPr>
          <w:p>
            <w:pPr>
              <w:spacing w:after="0"/>
              <w:rPr>
                <w:sz w:val="16"/>
                <w:szCs w:val="16"/>
                <w:color w:val="auto"/>
              </w:rPr>
            </w:pPr>
          </w:p>
        </w:tc>
        <w:tc>
          <w:tcPr>
            <w:tcW w:w="3280" w:type="dxa"/>
            <w:vAlign w:val="bottom"/>
            <w:gridSpan w:val="2"/>
            <w:shd w:val="clear" w:color="auto" w:fill="998C87"/>
          </w:tcPr>
          <w:p>
            <w:pPr>
              <w:jc w:val="center"/>
              <w:ind w:right="135"/>
              <w:spacing w:after="0"/>
              <w:rPr>
                <w:sz w:val="20"/>
                <w:szCs w:val="20"/>
                <w:color w:val="auto"/>
              </w:rPr>
            </w:pPr>
            <w:r>
              <w:rPr>
                <w:rFonts w:ascii="Arial" w:cs="Arial" w:eastAsia="Arial" w:hAnsi="Arial"/>
                <w:sz w:val="16"/>
                <w:szCs w:val="16"/>
                <w:b w:val="1"/>
                <w:bCs w:val="1"/>
                <w:color w:val="FFFFFF"/>
              </w:rPr>
              <w:t>Unexercised Director Options/</w:t>
            </w:r>
          </w:p>
        </w:tc>
        <w:tc>
          <w:tcPr>
            <w:tcW w:w="2020" w:type="dxa"/>
            <w:vAlign w:val="bottom"/>
            <w:shd w:val="clear" w:color="auto" w:fill="998C87"/>
          </w:tcPr>
          <w:p>
            <w:pPr>
              <w:jc w:val="center"/>
              <w:ind w:right="15"/>
              <w:spacing w:after="0"/>
              <w:rPr>
                <w:sz w:val="20"/>
                <w:szCs w:val="20"/>
                <w:color w:val="auto"/>
              </w:rPr>
            </w:pPr>
            <w:r>
              <w:rPr>
                <w:rFonts w:ascii="Arial" w:cs="Arial" w:eastAsia="Arial" w:hAnsi="Arial"/>
                <w:sz w:val="16"/>
                <w:szCs w:val="16"/>
                <w:b w:val="1"/>
                <w:bCs w:val="1"/>
                <w:color w:val="FFFFFF"/>
              </w:rPr>
              <w:t>Number of Shares or</w:t>
            </w:r>
          </w:p>
        </w:tc>
        <w:tc>
          <w:tcPr>
            <w:tcW w:w="228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Number of Shares or</w:t>
            </w:r>
          </w:p>
        </w:tc>
      </w:tr>
      <w:tr>
        <w:trPr>
          <w:trHeight w:val="216"/>
        </w:trPr>
        <w:tc>
          <w:tcPr>
            <w:tcW w:w="2150" w:type="dxa"/>
            <w:vAlign w:val="bottom"/>
            <w:shd w:val="clear" w:color="auto" w:fill="998C87"/>
          </w:tcPr>
          <w:p>
            <w:pPr>
              <w:spacing w:after="0"/>
              <w:rPr>
                <w:sz w:val="18"/>
                <w:szCs w:val="18"/>
                <w:color w:val="auto"/>
              </w:rPr>
            </w:pPr>
          </w:p>
        </w:tc>
        <w:tc>
          <w:tcPr>
            <w:tcW w:w="1050" w:type="dxa"/>
            <w:vAlign w:val="bottom"/>
            <w:shd w:val="clear" w:color="auto" w:fill="998C87"/>
          </w:tcPr>
          <w:p>
            <w:pPr>
              <w:jc w:val="center"/>
              <w:ind w:right="25"/>
              <w:spacing w:after="0"/>
              <w:rPr>
                <w:sz w:val="20"/>
                <w:szCs w:val="20"/>
                <w:color w:val="auto"/>
              </w:rPr>
            </w:pPr>
            <w:r>
              <w:rPr>
                <w:rFonts w:ascii="Arial" w:cs="Arial" w:eastAsia="Arial" w:hAnsi="Arial"/>
                <w:sz w:val="16"/>
                <w:szCs w:val="16"/>
                <w:b w:val="1"/>
                <w:bCs w:val="1"/>
                <w:color w:val="FFFFFF"/>
                <w:w w:val="98"/>
              </w:rPr>
              <w:t>Award</w:t>
            </w:r>
          </w:p>
        </w:tc>
        <w:tc>
          <w:tcPr>
            <w:tcW w:w="3280" w:type="dxa"/>
            <w:vAlign w:val="bottom"/>
            <w:gridSpan w:val="2"/>
            <w:shd w:val="clear" w:color="auto" w:fill="998C87"/>
          </w:tcPr>
          <w:p>
            <w:pPr>
              <w:jc w:val="center"/>
              <w:ind w:right="115"/>
              <w:spacing w:after="0"/>
              <w:rPr>
                <w:sz w:val="20"/>
                <w:szCs w:val="20"/>
                <w:color w:val="auto"/>
              </w:rPr>
            </w:pPr>
            <w:r>
              <w:rPr>
                <w:rFonts w:ascii="Arial" w:cs="Arial" w:eastAsia="Arial" w:hAnsi="Arial"/>
                <w:sz w:val="16"/>
                <w:szCs w:val="16"/>
                <w:b w:val="1"/>
                <w:bCs w:val="1"/>
                <w:color w:val="FFFFFF"/>
              </w:rPr>
              <w:t>SARs</w:t>
            </w:r>
          </w:p>
        </w:tc>
        <w:tc>
          <w:tcPr>
            <w:tcW w:w="2020" w:type="dxa"/>
            <w:vAlign w:val="bottom"/>
            <w:shd w:val="clear" w:color="auto" w:fill="998C87"/>
          </w:tcPr>
          <w:p>
            <w:pPr>
              <w:jc w:val="center"/>
              <w:ind w:right="15"/>
              <w:spacing w:after="0"/>
              <w:rPr>
                <w:sz w:val="20"/>
                <w:szCs w:val="20"/>
                <w:color w:val="auto"/>
              </w:rPr>
            </w:pPr>
            <w:r>
              <w:rPr>
                <w:rFonts w:ascii="Arial" w:cs="Arial" w:eastAsia="Arial" w:hAnsi="Arial"/>
                <w:sz w:val="16"/>
                <w:szCs w:val="16"/>
                <w:b w:val="1"/>
                <w:bCs w:val="1"/>
                <w:color w:val="FFFFFF"/>
              </w:rPr>
              <w:t>Units of Stock That</w:t>
            </w:r>
          </w:p>
        </w:tc>
        <w:tc>
          <w:tcPr>
            <w:tcW w:w="228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Units of Stock That</w:t>
            </w:r>
          </w:p>
        </w:tc>
      </w:tr>
      <w:tr>
        <w:trPr>
          <w:trHeight w:val="229"/>
        </w:trPr>
        <w:tc>
          <w:tcPr>
            <w:tcW w:w="2150" w:type="dxa"/>
            <w:vAlign w:val="bottom"/>
            <w:shd w:val="clear" w:color="auto" w:fill="998C87"/>
          </w:tcPr>
          <w:p>
            <w:pPr>
              <w:ind w:left="220"/>
              <w:spacing w:after="0"/>
              <w:rPr>
                <w:sz w:val="20"/>
                <w:szCs w:val="20"/>
                <w:color w:val="auto"/>
              </w:rPr>
            </w:pPr>
            <w:r>
              <w:rPr>
                <w:rFonts w:ascii="Arial" w:cs="Arial" w:eastAsia="Arial" w:hAnsi="Arial"/>
                <w:sz w:val="16"/>
                <w:szCs w:val="16"/>
                <w:b w:val="1"/>
                <w:bCs w:val="1"/>
                <w:color w:val="FFFFFF"/>
              </w:rPr>
              <w:t>Name</w:t>
            </w:r>
          </w:p>
        </w:tc>
        <w:tc>
          <w:tcPr>
            <w:tcW w:w="1050" w:type="dxa"/>
            <w:vAlign w:val="bottom"/>
            <w:shd w:val="clear" w:color="auto" w:fill="998C87"/>
          </w:tcPr>
          <w:p>
            <w:pPr>
              <w:jc w:val="center"/>
              <w:ind w:right="25"/>
              <w:spacing w:after="0"/>
              <w:rPr>
                <w:sz w:val="20"/>
                <w:szCs w:val="20"/>
                <w:color w:val="auto"/>
              </w:rPr>
            </w:pPr>
            <w:r>
              <w:rPr>
                <w:rFonts w:ascii="Arial" w:cs="Arial" w:eastAsia="Arial" w:hAnsi="Arial"/>
                <w:sz w:val="16"/>
                <w:szCs w:val="16"/>
                <w:b w:val="1"/>
                <w:bCs w:val="1"/>
                <w:color w:val="FFFFFF"/>
                <w:w w:val="96"/>
              </w:rPr>
              <w:t>Type</w:t>
            </w:r>
          </w:p>
        </w:tc>
        <w:tc>
          <w:tcPr>
            <w:tcW w:w="1560" w:type="dxa"/>
            <w:vAlign w:val="bottom"/>
            <w:shd w:val="clear" w:color="auto" w:fill="998C87"/>
          </w:tcPr>
          <w:p>
            <w:pPr>
              <w:jc w:val="right"/>
              <w:ind w:right="175"/>
              <w:spacing w:after="0"/>
              <w:rPr>
                <w:sz w:val="20"/>
                <w:szCs w:val="20"/>
                <w:color w:val="auto"/>
              </w:rPr>
            </w:pPr>
            <w:r>
              <w:rPr>
                <w:rFonts w:ascii="Arial" w:cs="Arial" w:eastAsia="Arial" w:hAnsi="Arial"/>
                <w:sz w:val="16"/>
                <w:szCs w:val="16"/>
                <w:b w:val="1"/>
                <w:bCs w:val="1"/>
                <w:color w:val="FFFFFF"/>
              </w:rPr>
              <w:t>Exercisable (#)</w:t>
            </w:r>
          </w:p>
        </w:tc>
        <w:tc>
          <w:tcPr>
            <w:tcW w:w="1720" w:type="dxa"/>
            <w:vAlign w:val="bottom"/>
            <w:shd w:val="clear" w:color="auto" w:fill="998C87"/>
          </w:tcPr>
          <w:p>
            <w:pPr>
              <w:ind w:left="140"/>
              <w:spacing w:after="0"/>
              <w:rPr>
                <w:sz w:val="20"/>
                <w:szCs w:val="20"/>
                <w:color w:val="auto"/>
              </w:rPr>
            </w:pPr>
            <w:r>
              <w:rPr>
                <w:rFonts w:ascii="Arial" w:cs="Arial" w:eastAsia="Arial" w:hAnsi="Arial"/>
                <w:sz w:val="16"/>
                <w:szCs w:val="16"/>
                <w:b w:val="1"/>
                <w:bCs w:val="1"/>
                <w:color w:val="FFFFFF"/>
              </w:rPr>
              <w:t>Unexercisable (#)</w:t>
            </w:r>
          </w:p>
        </w:tc>
        <w:tc>
          <w:tcPr>
            <w:tcW w:w="2020" w:type="dxa"/>
            <w:vAlign w:val="bottom"/>
            <w:shd w:val="clear" w:color="auto" w:fill="998C87"/>
          </w:tcPr>
          <w:p>
            <w:pPr>
              <w:jc w:val="center"/>
              <w:ind w:right="15"/>
              <w:spacing w:after="0"/>
              <w:rPr>
                <w:sz w:val="20"/>
                <w:szCs w:val="20"/>
                <w:color w:val="auto"/>
              </w:rPr>
            </w:pPr>
            <w:r>
              <w:rPr>
                <w:rFonts w:ascii="Arial" w:cs="Arial" w:eastAsia="Arial" w:hAnsi="Arial"/>
                <w:sz w:val="16"/>
                <w:szCs w:val="16"/>
                <w:b w:val="1"/>
                <w:bCs w:val="1"/>
                <w:color w:val="FFFFFF"/>
              </w:rPr>
              <w:t>Have Not Vested (#)</w:t>
            </w:r>
          </w:p>
        </w:tc>
        <w:tc>
          <w:tcPr>
            <w:tcW w:w="228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w w:val="98"/>
              </w:rPr>
              <w:t>Have Vested (#)</w:t>
            </w:r>
          </w:p>
        </w:tc>
      </w:tr>
      <w:tr>
        <w:trPr>
          <w:trHeight w:val="161"/>
        </w:trPr>
        <w:tc>
          <w:tcPr>
            <w:tcW w:w="2150" w:type="dxa"/>
            <w:vAlign w:val="bottom"/>
            <w:shd w:val="clear" w:color="auto" w:fill="F4F3F3"/>
          </w:tcPr>
          <w:p>
            <w:pPr>
              <w:ind w:left="240"/>
              <w:spacing w:after="0" w:line="161" w:lineRule="exact"/>
              <w:rPr>
                <w:sz w:val="20"/>
                <w:szCs w:val="20"/>
                <w:color w:val="auto"/>
              </w:rPr>
            </w:pPr>
            <w:r>
              <w:rPr>
                <w:rFonts w:ascii="Arial" w:cs="Arial" w:eastAsia="Arial" w:hAnsi="Arial"/>
                <w:sz w:val="17"/>
                <w:szCs w:val="17"/>
                <w:color w:val="998C87"/>
              </w:rPr>
              <w:t>Ms. Bush</w:t>
            </w:r>
          </w:p>
        </w:tc>
        <w:tc>
          <w:tcPr>
            <w:tcW w:w="1050" w:type="dxa"/>
            <w:vAlign w:val="bottom"/>
            <w:shd w:val="clear" w:color="auto" w:fill="F4F3F3"/>
          </w:tcPr>
          <w:p>
            <w:pPr>
              <w:ind w:left="50"/>
              <w:spacing w:after="0" w:line="161" w:lineRule="exact"/>
              <w:rPr>
                <w:sz w:val="20"/>
                <w:szCs w:val="20"/>
                <w:color w:val="auto"/>
              </w:rPr>
            </w:pPr>
            <w:r>
              <w:rPr>
                <w:rFonts w:ascii="Arial" w:cs="Arial" w:eastAsia="Arial" w:hAnsi="Arial"/>
                <w:sz w:val="17"/>
                <w:szCs w:val="17"/>
                <w:color w:val="auto"/>
              </w:rPr>
              <w:t>MAR DS</w:t>
            </w:r>
          </w:p>
        </w:tc>
        <w:tc>
          <w:tcPr>
            <w:tcW w:w="1560" w:type="dxa"/>
            <w:vAlign w:val="bottom"/>
            <w:shd w:val="clear" w:color="auto" w:fill="F4F3F3"/>
          </w:tcPr>
          <w:p>
            <w:pPr>
              <w:jc w:val="right"/>
              <w:ind w:right="195"/>
              <w:spacing w:after="0" w:line="161" w:lineRule="exact"/>
              <w:rPr>
                <w:sz w:val="20"/>
                <w:szCs w:val="20"/>
                <w:color w:val="auto"/>
              </w:rPr>
            </w:pPr>
            <w:r>
              <w:rPr>
                <w:rFonts w:ascii="Arial" w:cs="Arial" w:eastAsia="Arial" w:hAnsi="Arial"/>
                <w:sz w:val="17"/>
                <w:szCs w:val="17"/>
                <w:color w:val="auto"/>
              </w:rPr>
              <w:t>—</w:t>
            </w:r>
          </w:p>
        </w:tc>
        <w:tc>
          <w:tcPr>
            <w:tcW w:w="1720" w:type="dxa"/>
            <w:vAlign w:val="bottom"/>
            <w:shd w:val="clear" w:color="auto" w:fill="F4F3F3"/>
          </w:tcPr>
          <w:p>
            <w:pPr>
              <w:ind w:left="1160"/>
              <w:spacing w:after="0" w:line="161" w:lineRule="exact"/>
              <w:rPr>
                <w:sz w:val="20"/>
                <w:szCs w:val="20"/>
                <w:color w:val="auto"/>
              </w:rPr>
            </w:pPr>
            <w:r>
              <w:rPr>
                <w:rFonts w:ascii="Arial" w:cs="Arial" w:eastAsia="Arial" w:hAnsi="Arial"/>
                <w:sz w:val="17"/>
                <w:szCs w:val="17"/>
                <w:color w:val="auto"/>
              </w:rPr>
              <w:t>—</w:t>
            </w:r>
          </w:p>
        </w:tc>
        <w:tc>
          <w:tcPr>
            <w:tcW w:w="2020" w:type="dxa"/>
            <w:vAlign w:val="bottom"/>
            <w:shd w:val="clear" w:color="auto" w:fill="F4F3F3"/>
          </w:tcPr>
          <w:p>
            <w:pPr>
              <w:jc w:val="center"/>
              <w:ind w:left="1215"/>
              <w:spacing w:after="0" w:line="161" w:lineRule="exact"/>
              <w:rPr>
                <w:sz w:val="20"/>
                <w:szCs w:val="20"/>
                <w:color w:val="auto"/>
              </w:rPr>
            </w:pPr>
            <w:r>
              <w:rPr>
                <w:rFonts w:ascii="Arial" w:cs="Arial" w:eastAsia="Arial" w:hAnsi="Arial"/>
                <w:sz w:val="17"/>
                <w:szCs w:val="17"/>
                <w:color w:val="auto"/>
                <w:w w:val="93"/>
              </w:rPr>
              <w:t>—</w:t>
            </w:r>
          </w:p>
        </w:tc>
        <w:tc>
          <w:tcPr>
            <w:tcW w:w="2280" w:type="dxa"/>
            <w:vAlign w:val="bottom"/>
            <w:shd w:val="clear" w:color="auto" w:fill="F4F3F3"/>
          </w:tcPr>
          <w:p>
            <w:pPr>
              <w:jc w:val="right"/>
              <w:ind w:right="95"/>
              <w:spacing w:after="0" w:line="161" w:lineRule="exact"/>
              <w:rPr>
                <w:sz w:val="20"/>
                <w:szCs w:val="20"/>
                <w:color w:val="auto"/>
              </w:rPr>
            </w:pPr>
            <w:r>
              <w:rPr>
                <w:rFonts w:ascii="Arial" w:cs="Arial" w:eastAsia="Arial" w:hAnsi="Arial"/>
                <w:sz w:val="17"/>
                <w:szCs w:val="17"/>
                <w:color w:val="auto"/>
              </w:rPr>
              <w:t>20,886</w:t>
            </w:r>
          </w:p>
        </w:tc>
      </w:tr>
      <w:tr>
        <w:trPr>
          <w:trHeight w:val="231"/>
        </w:trPr>
        <w:tc>
          <w:tcPr>
            <w:tcW w:w="2150" w:type="dxa"/>
            <w:vAlign w:val="bottom"/>
            <w:shd w:val="clear" w:color="auto" w:fill="F4F3F3"/>
          </w:tcPr>
          <w:p>
            <w:pPr>
              <w:spacing w:after="0"/>
              <w:rPr>
                <w:sz w:val="20"/>
                <w:szCs w:val="20"/>
                <w:color w:val="auto"/>
              </w:rPr>
            </w:pPr>
          </w:p>
        </w:tc>
        <w:tc>
          <w:tcPr>
            <w:tcW w:w="1050" w:type="dxa"/>
            <w:vAlign w:val="bottom"/>
            <w:shd w:val="clear" w:color="auto" w:fill="F4F3F3"/>
          </w:tcPr>
          <w:p>
            <w:pPr>
              <w:ind w:left="50"/>
              <w:spacing w:after="0"/>
              <w:rPr>
                <w:sz w:val="20"/>
                <w:szCs w:val="20"/>
                <w:color w:val="auto"/>
              </w:rPr>
            </w:pPr>
            <w:r>
              <w:rPr>
                <w:rFonts w:ascii="Arial" w:cs="Arial" w:eastAsia="Arial" w:hAnsi="Arial"/>
                <w:sz w:val="17"/>
                <w:szCs w:val="17"/>
                <w:color w:val="auto"/>
              </w:rPr>
              <w:t>MVW DS</w:t>
            </w:r>
          </w:p>
        </w:tc>
        <w:tc>
          <w:tcPr>
            <w:tcW w:w="1560" w:type="dxa"/>
            <w:vAlign w:val="bottom"/>
            <w:shd w:val="clear" w:color="auto" w:fill="F4F3F3"/>
          </w:tcPr>
          <w:p>
            <w:pPr>
              <w:jc w:val="right"/>
              <w:ind w:right="195"/>
              <w:spacing w:after="0"/>
              <w:rPr>
                <w:sz w:val="20"/>
                <w:szCs w:val="20"/>
                <w:color w:val="auto"/>
              </w:rPr>
            </w:pPr>
            <w:r>
              <w:rPr>
                <w:rFonts w:ascii="Arial" w:cs="Arial" w:eastAsia="Arial" w:hAnsi="Arial"/>
                <w:sz w:val="17"/>
                <w:szCs w:val="17"/>
                <w:color w:val="auto"/>
              </w:rPr>
              <w:t>—</w:t>
            </w:r>
          </w:p>
        </w:tc>
        <w:tc>
          <w:tcPr>
            <w:tcW w:w="1720" w:type="dxa"/>
            <w:vAlign w:val="bottom"/>
            <w:shd w:val="clear" w:color="auto" w:fill="F4F3F3"/>
          </w:tcPr>
          <w:p>
            <w:pPr>
              <w:ind w:left="1160"/>
              <w:spacing w:after="0"/>
              <w:rPr>
                <w:sz w:val="20"/>
                <w:szCs w:val="20"/>
                <w:color w:val="auto"/>
              </w:rPr>
            </w:pPr>
            <w:r>
              <w:rPr>
                <w:rFonts w:ascii="Arial" w:cs="Arial" w:eastAsia="Arial" w:hAnsi="Arial"/>
                <w:sz w:val="17"/>
                <w:szCs w:val="17"/>
                <w:color w:val="auto"/>
              </w:rPr>
              <w:t>—</w:t>
            </w:r>
          </w:p>
        </w:tc>
        <w:tc>
          <w:tcPr>
            <w:tcW w:w="2020" w:type="dxa"/>
            <w:vAlign w:val="bottom"/>
            <w:shd w:val="clear" w:color="auto" w:fill="F4F3F3"/>
          </w:tcPr>
          <w:p>
            <w:pPr>
              <w:jc w:val="center"/>
              <w:ind w:left="1215"/>
              <w:spacing w:after="0"/>
              <w:rPr>
                <w:sz w:val="20"/>
                <w:szCs w:val="20"/>
                <w:color w:val="auto"/>
              </w:rPr>
            </w:pPr>
            <w:r>
              <w:rPr>
                <w:rFonts w:ascii="Arial" w:cs="Arial" w:eastAsia="Arial" w:hAnsi="Arial"/>
                <w:sz w:val="17"/>
                <w:szCs w:val="17"/>
                <w:color w:val="auto"/>
                <w:w w:val="93"/>
              </w:rPr>
              <w:t>—</w:t>
            </w:r>
          </w:p>
        </w:tc>
        <w:tc>
          <w:tcPr>
            <w:tcW w:w="228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1,175</w:t>
            </w:r>
          </w:p>
        </w:tc>
      </w:tr>
      <w:tr>
        <w:trPr>
          <w:trHeight w:val="216"/>
        </w:trPr>
        <w:tc>
          <w:tcPr>
            <w:tcW w:w="2150" w:type="dxa"/>
            <w:vAlign w:val="bottom"/>
            <w:shd w:val="clear" w:color="auto" w:fill="F4F3F3"/>
          </w:tcPr>
          <w:p>
            <w:pPr>
              <w:ind w:left="240"/>
              <w:spacing w:after="0"/>
              <w:rPr>
                <w:sz w:val="20"/>
                <w:szCs w:val="20"/>
                <w:color w:val="auto"/>
              </w:rPr>
            </w:pPr>
            <w:r>
              <w:rPr>
                <w:rFonts w:ascii="Arial" w:cs="Arial" w:eastAsia="Arial" w:hAnsi="Arial"/>
                <w:sz w:val="17"/>
                <w:szCs w:val="17"/>
                <w:color w:val="998C87"/>
              </w:rPr>
              <w:t>Mr. Henderson</w:t>
            </w:r>
          </w:p>
        </w:tc>
        <w:tc>
          <w:tcPr>
            <w:tcW w:w="1050" w:type="dxa"/>
            <w:vAlign w:val="bottom"/>
            <w:shd w:val="clear" w:color="auto" w:fill="F4F3F3"/>
          </w:tcPr>
          <w:p>
            <w:pPr>
              <w:ind w:left="50"/>
              <w:spacing w:after="0"/>
              <w:rPr>
                <w:sz w:val="20"/>
                <w:szCs w:val="20"/>
                <w:color w:val="auto"/>
              </w:rPr>
            </w:pPr>
            <w:r>
              <w:rPr>
                <w:rFonts w:ascii="Arial" w:cs="Arial" w:eastAsia="Arial" w:hAnsi="Arial"/>
                <w:sz w:val="17"/>
                <w:szCs w:val="17"/>
                <w:color w:val="auto"/>
              </w:rPr>
              <w:t>MAR DS</w:t>
            </w:r>
          </w:p>
        </w:tc>
        <w:tc>
          <w:tcPr>
            <w:tcW w:w="1560" w:type="dxa"/>
            <w:vAlign w:val="bottom"/>
            <w:shd w:val="clear" w:color="auto" w:fill="F4F3F3"/>
          </w:tcPr>
          <w:p>
            <w:pPr>
              <w:jc w:val="right"/>
              <w:ind w:right="195"/>
              <w:spacing w:after="0"/>
              <w:rPr>
                <w:sz w:val="20"/>
                <w:szCs w:val="20"/>
                <w:color w:val="auto"/>
              </w:rPr>
            </w:pPr>
            <w:r>
              <w:rPr>
                <w:rFonts w:ascii="Arial" w:cs="Arial" w:eastAsia="Arial" w:hAnsi="Arial"/>
                <w:sz w:val="17"/>
                <w:szCs w:val="17"/>
                <w:color w:val="auto"/>
              </w:rPr>
              <w:t>—</w:t>
            </w:r>
          </w:p>
        </w:tc>
        <w:tc>
          <w:tcPr>
            <w:tcW w:w="1720" w:type="dxa"/>
            <w:vAlign w:val="bottom"/>
            <w:shd w:val="clear" w:color="auto" w:fill="F4F3F3"/>
          </w:tcPr>
          <w:p>
            <w:pPr>
              <w:ind w:left="1160"/>
              <w:spacing w:after="0"/>
              <w:rPr>
                <w:sz w:val="20"/>
                <w:szCs w:val="20"/>
                <w:color w:val="auto"/>
              </w:rPr>
            </w:pPr>
            <w:r>
              <w:rPr>
                <w:rFonts w:ascii="Arial" w:cs="Arial" w:eastAsia="Arial" w:hAnsi="Arial"/>
                <w:sz w:val="17"/>
                <w:szCs w:val="17"/>
                <w:color w:val="auto"/>
              </w:rPr>
              <w:t>—</w:t>
            </w:r>
          </w:p>
        </w:tc>
        <w:tc>
          <w:tcPr>
            <w:tcW w:w="2020" w:type="dxa"/>
            <w:vAlign w:val="bottom"/>
            <w:shd w:val="clear" w:color="auto" w:fill="F4F3F3"/>
          </w:tcPr>
          <w:p>
            <w:pPr>
              <w:jc w:val="center"/>
              <w:ind w:left="1215"/>
              <w:spacing w:after="0"/>
              <w:rPr>
                <w:sz w:val="20"/>
                <w:szCs w:val="20"/>
                <w:color w:val="auto"/>
              </w:rPr>
            </w:pPr>
            <w:r>
              <w:rPr>
                <w:rFonts w:ascii="Arial" w:cs="Arial" w:eastAsia="Arial" w:hAnsi="Arial"/>
                <w:sz w:val="17"/>
                <w:szCs w:val="17"/>
                <w:color w:val="auto"/>
                <w:w w:val="93"/>
              </w:rPr>
              <w:t>—</w:t>
            </w:r>
          </w:p>
        </w:tc>
        <w:tc>
          <w:tcPr>
            <w:tcW w:w="228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10,108</w:t>
            </w:r>
          </w:p>
        </w:tc>
      </w:tr>
      <w:tr>
        <w:trPr>
          <w:trHeight w:val="174"/>
        </w:trPr>
        <w:tc>
          <w:tcPr>
            <w:tcW w:w="2150" w:type="dxa"/>
            <w:vAlign w:val="bottom"/>
            <w:shd w:val="clear" w:color="auto" w:fill="F4F3F3"/>
          </w:tcPr>
          <w:p>
            <w:pPr>
              <w:ind w:left="240"/>
              <w:spacing w:after="0" w:line="174" w:lineRule="exact"/>
              <w:rPr>
                <w:sz w:val="20"/>
                <w:szCs w:val="20"/>
                <w:color w:val="auto"/>
              </w:rPr>
            </w:pPr>
            <w:r>
              <w:rPr>
                <w:rFonts w:ascii="Arial" w:cs="Arial" w:eastAsia="Arial" w:hAnsi="Arial"/>
                <w:sz w:val="17"/>
                <w:szCs w:val="17"/>
                <w:color w:val="998C87"/>
              </w:rPr>
              <w:t>Mr. Kellner</w:t>
            </w:r>
          </w:p>
        </w:tc>
        <w:tc>
          <w:tcPr>
            <w:tcW w:w="1050" w:type="dxa"/>
            <w:vAlign w:val="bottom"/>
            <w:shd w:val="clear" w:color="auto" w:fill="F4F3F3"/>
          </w:tcPr>
          <w:p>
            <w:pPr>
              <w:ind w:left="50"/>
              <w:spacing w:after="0" w:line="174" w:lineRule="exact"/>
              <w:rPr>
                <w:sz w:val="20"/>
                <w:szCs w:val="20"/>
                <w:color w:val="auto"/>
              </w:rPr>
            </w:pPr>
            <w:r>
              <w:rPr>
                <w:rFonts w:ascii="Arial" w:cs="Arial" w:eastAsia="Arial" w:hAnsi="Arial"/>
                <w:sz w:val="17"/>
                <w:szCs w:val="17"/>
                <w:color w:val="auto"/>
              </w:rPr>
              <w:t>MAR DS</w:t>
            </w:r>
          </w:p>
        </w:tc>
        <w:tc>
          <w:tcPr>
            <w:tcW w:w="1560" w:type="dxa"/>
            <w:vAlign w:val="bottom"/>
            <w:shd w:val="clear" w:color="auto" w:fill="F4F3F3"/>
          </w:tcPr>
          <w:p>
            <w:pPr>
              <w:jc w:val="right"/>
              <w:ind w:right="195"/>
              <w:spacing w:after="0" w:line="174" w:lineRule="exact"/>
              <w:rPr>
                <w:sz w:val="20"/>
                <w:szCs w:val="20"/>
                <w:color w:val="auto"/>
              </w:rPr>
            </w:pPr>
            <w:r>
              <w:rPr>
                <w:rFonts w:ascii="Arial" w:cs="Arial" w:eastAsia="Arial" w:hAnsi="Arial"/>
                <w:sz w:val="17"/>
                <w:szCs w:val="17"/>
                <w:color w:val="auto"/>
              </w:rPr>
              <w:t>—</w:t>
            </w:r>
          </w:p>
        </w:tc>
        <w:tc>
          <w:tcPr>
            <w:tcW w:w="1720" w:type="dxa"/>
            <w:vAlign w:val="bottom"/>
            <w:shd w:val="clear" w:color="auto" w:fill="F4F3F3"/>
          </w:tcPr>
          <w:p>
            <w:pPr>
              <w:ind w:left="1160"/>
              <w:spacing w:after="0" w:line="174" w:lineRule="exact"/>
              <w:rPr>
                <w:sz w:val="20"/>
                <w:szCs w:val="20"/>
                <w:color w:val="auto"/>
              </w:rPr>
            </w:pPr>
            <w:r>
              <w:rPr>
                <w:rFonts w:ascii="Arial" w:cs="Arial" w:eastAsia="Arial" w:hAnsi="Arial"/>
                <w:sz w:val="17"/>
                <w:szCs w:val="17"/>
                <w:color w:val="auto"/>
              </w:rPr>
              <w:t>—</w:t>
            </w:r>
          </w:p>
        </w:tc>
        <w:tc>
          <w:tcPr>
            <w:tcW w:w="2020" w:type="dxa"/>
            <w:vAlign w:val="bottom"/>
            <w:shd w:val="clear" w:color="auto" w:fill="F4F3F3"/>
          </w:tcPr>
          <w:p>
            <w:pPr>
              <w:jc w:val="center"/>
              <w:ind w:left="1215"/>
              <w:spacing w:after="0" w:line="174" w:lineRule="exact"/>
              <w:rPr>
                <w:sz w:val="20"/>
                <w:szCs w:val="20"/>
                <w:color w:val="auto"/>
              </w:rPr>
            </w:pPr>
            <w:r>
              <w:rPr>
                <w:rFonts w:ascii="Arial" w:cs="Arial" w:eastAsia="Arial" w:hAnsi="Arial"/>
                <w:sz w:val="17"/>
                <w:szCs w:val="17"/>
                <w:color w:val="auto"/>
                <w:w w:val="93"/>
              </w:rPr>
              <w:t>—</w:t>
            </w:r>
          </w:p>
        </w:tc>
        <w:tc>
          <w:tcPr>
            <w:tcW w:w="2280" w:type="dxa"/>
            <w:vAlign w:val="bottom"/>
            <w:shd w:val="clear" w:color="auto" w:fill="F4F3F3"/>
          </w:tcPr>
          <w:p>
            <w:pPr>
              <w:jc w:val="right"/>
              <w:ind w:right="95"/>
              <w:spacing w:after="0" w:line="174" w:lineRule="exact"/>
              <w:rPr>
                <w:sz w:val="20"/>
                <w:szCs w:val="20"/>
                <w:color w:val="auto"/>
              </w:rPr>
            </w:pPr>
            <w:r>
              <w:rPr>
                <w:rFonts w:ascii="Arial" w:cs="Arial" w:eastAsia="Arial" w:hAnsi="Arial"/>
                <w:sz w:val="17"/>
                <w:szCs w:val="17"/>
                <w:color w:val="auto"/>
              </w:rPr>
              <w:t>20,320</w:t>
            </w:r>
          </w:p>
        </w:tc>
      </w:tr>
      <w:tr>
        <w:trPr>
          <w:trHeight w:val="231"/>
        </w:trPr>
        <w:tc>
          <w:tcPr>
            <w:tcW w:w="2150" w:type="dxa"/>
            <w:vAlign w:val="bottom"/>
            <w:shd w:val="clear" w:color="auto" w:fill="F4F3F3"/>
          </w:tcPr>
          <w:p>
            <w:pPr>
              <w:spacing w:after="0"/>
              <w:rPr>
                <w:sz w:val="20"/>
                <w:szCs w:val="20"/>
                <w:color w:val="auto"/>
              </w:rPr>
            </w:pPr>
          </w:p>
        </w:tc>
        <w:tc>
          <w:tcPr>
            <w:tcW w:w="1050" w:type="dxa"/>
            <w:vAlign w:val="bottom"/>
            <w:shd w:val="clear" w:color="auto" w:fill="F4F3F3"/>
          </w:tcPr>
          <w:p>
            <w:pPr>
              <w:ind w:left="50"/>
              <w:spacing w:after="0"/>
              <w:rPr>
                <w:sz w:val="20"/>
                <w:szCs w:val="20"/>
                <w:color w:val="auto"/>
              </w:rPr>
            </w:pPr>
            <w:r>
              <w:rPr>
                <w:rFonts w:ascii="Arial" w:cs="Arial" w:eastAsia="Arial" w:hAnsi="Arial"/>
                <w:sz w:val="17"/>
                <w:szCs w:val="17"/>
                <w:color w:val="auto"/>
              </w:rPr>
              <w:t>MVW DS</w:t>
            </w:r>
          </w:p>
        </w:tc>
        <w:tc>
          <w:tcPr>
            <w:tcW w:w="1560" w:type="dxa"/>
            <w:vAlign w:val="bottom"/>
            <w:shd w:val="clear" w:color="auto" w:fill="F4F3F3"/>
          </w:tcPr>
          <w:p>
            <w:pPr>
              <w:jc w:val="right"/>
              <w:ind w:right="195"/>
              <w:spacing w:after="0"/>
              <w:rPr>
                <w:sz w:val="20"/>
                <w:szCs w:val="20"/>
                <w:color w:val="auto"/>
              </w:rPr>
            </w:pPr>
            <w:r>
              <w:rPr>
                <w:rFonts w:ascii="Arial" w:cs="Arial" w:eastAsia="Arial" w:hAnsi="Arial"/>
                <w:sz w:val="17"/>
                <w:szCs w:val="17"/>
                <w:color w:val="auto"/>
              </w:rPr>
              <w:t>—</w:t>
            </w:r>
          </w:p>
        </w:tc>
        <w:tc>
          <w:tcPr>
            <w:tcW w:w="1720" w:type="dxa"/>
            <w:vAlign w:val="bottom"/>
            <w:shd w:val="clear" w:color="auto" w:fill="F4F3F3"/>
          </w:tcPr>
          <w:p>
            <w:pPr>
              <w:ind w:left="1160"/>
              <w:spacing w:after="0"/>
              <w:rPr>
                <w:sz w:val="20"/>
                <w:szCs w:val="20"/>
                <w:color w:val="auto"/>
              </w:rPr>
            </w:pPr>
            <w:r>
              <w:rPr>
                <w:rFonts w:ascii="Arial" w:cs="Arial" w:eastAsia="Arial" w:hAnsi="Arial"/>
                <w:sz w:val="17"/>
                <w:szCs w:val="17"/>
                <w:color w:val="auto"/>
              </w:rPr>
              <w:t>—</w:t>
            </w:r>
          </w:p>
        </w:tc>
        <w:tc>
          <w:tcPr>
            <w:tcW w:w="2020" w:type="dxa"/>
            <w:vAlign w:val="bottom"/>
            <w:shd w:val="clear" w:color="auto" w:fill="F4F3F3"/>
          </w:tcPr>
          <w:p>
            <w:pPr>
              <w:jc w:val="center"/>
              <w:ind w:left="1215"/>
              <w:spacing w:after="0"/>
              <w:rPr>
                <w:sz w:val="20"/>
                <w:szCs w:val="20"/>
                <w:color w:val="auto"/>
              </w:rPr>
            </w:pPr>
            <w:r>
              <w:rPr>
                <w:rFonts w:ascii="Arial" w:cs="Arial" w:eastAsia="Arial" w:hAnsi="Arial"/>
                <w:sz w:val="17"/>
                <w:szCs w:val="17"/>
                <w:color w:val="auto"/>
                <w:w w:val="93"/>
              </w:rPr>
              <w:t>—</w:t>
            </w:r>
          </w:p>
        </w:tc>
        <w:tc>
          <w:tcPr>
            <w:tcW w:w="228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1,021</w:t>
            </w:r>
          </w:p>
        </w:tc>
      </w:tr>
      <w:tr>
        <w:trPr>
          <w:trHeight w:val="174"/>
        </w:trPr>
        <w:tc>
          <w:tcPr>
            <w:tcW w:w="2150" w:type="dxa"/>
            <w:vAlign w:val="bottom"/>
            <w:shd w:val="clear" w:color="auto" w:fill="F4F3F3"/>
          </w:tcPr>
          <w:p>
            <w:pPr>
              <w:ind w:left="240"/>
              <w:spacing w:after="0" w:line="174" w:lineRule="exact"/>
              <w:rPr>
                <w:sz w:val="20"/>
                <w:szCs w:val="20"/>
                <w:color w:val="auto"/>
              </w:rPr>
            </w:pPr>
            <w:r>
              <w:rPr>
                <w:rFonts w:ascii="Arial" w:cs="Arial" w:eastAsia="Arial" w:hAnsi="Arial"/>
                <w:sz w:val="17"/>
                <w:szCs w:val="17"/>
                <w:color w:val="998C87"/>
              </w:rPr>
              <w:t>Ms. Lee</w:t>
            </w:r>
          </w:p>
        </w:tc>
        <w:tc>
          <w:tcPr>
            <w:tcW w:w="1050" w:type="dxa"/>
            <w:vAlign w:val="bottom"/>
            <w:shd w:val="clear" w:color="auto" w:fill="F4F3F3"/>
          </w:tcPr>
          <w:p>
            <w:pPr>
              <w:ind w:left="50"/>
              <w:spacing w:after="0" w:line="174" w:lineRule="exact"/>
              <w:rPr>
                <w:sz w:val="20"/>
                <w:szCs w:val="20"/>
                <w:color w:val="auto"/>
              </w:rPr>
            </w:pPr>
            <w:r>
              <w:rPr>
                <w:rFonts w:ascii="Arial" w:cs="Arial" w:eastAsia="Arial" w:hAnsi="Arial"/>
                <w:sz w:val="17"/>
                <w:szCs w:val="17"/>
                <w:color w:val="auto"/>
              </w:rPr>
              <w:t>MAR DS</w:t>
            </w:r>
          </w:p>
        </w:tc>
        <w:tc>
          <w:tcPr>
            <w:tcW w:w="1560" w:type="dxa"/>
            <w:vAlign w:val="bottom"/>
            <w:shd w:val="clear" w:color="auto" w:fill="F4F3F3"/>
          </w:tcPr>
          <w:p>
            <w:pPr>
              <w:jc w:val="right"/>
              <w:ind w:right="195"/>
              <w:spacing w:after="0" w:line="174" w:lineRule="exact"/>
              <w:rPr>
                <w:sz w:val="20"/>
                <w:szCs w:val="20"/>
                <w:color w:val="auto"/>
              </w:rPr>
            </w:pPr>
            <w:r>
              <w:rPr>
                <w:rFonts w:ascii="Arial" w:cs="Arial" w:eastAsia="Arial" w:hAnsi="Arial"/>
                <w:sz w:val="17"/>
                <w:szCs w:val="17"/>
                <w:color w:val="auto"/>
              </w:rPr>
              <w:t>—</w:t>
            </w:r>
          </w:p>
        </w:tc>
        <w:tc>
          <w:tcPr>
            <w:tcW w:w="1720" w:type="dxa"/>
            <w:vAlign w:val="bottom"/>
            <w:shd w:val="clear" w:color="auto" w:fill="F4F3F3"/>
          </w:tcPr>
          <w:p>
            <w:pPr>
              <w:ind w:left="1160"/>
              <w:spacing w:after="0" w:line="174" w:lineRule="exact"/>
              <w:rPr>
                <w:sz w:val="20"/>
                <w:szCs w:val="20"/>
                <w:color w:val="auto"/>
              </w:rPr>
            </w:pPr>
            <w:r>
              <w:rPr>
                <w:rFonts w:ascii="Arial" w:cs="Arial" w:eastAsia="Arial" w:hAnsi="Arial"/>
                <w:sz w:val="17"/>
                <w:szCs w:val="17"/>
                <w:color w:val="auto"/>
              </w:rPr>
              <w:t>—</w:t>
            </w:r>
          </w:p>
        </w:tc>
        <w:tc>
          <w:tcPr>
            <w:tcW w:w="2020" w:type="dxa"/>
            <w:vAlign w:val="bottom"/>
            <w:shd w:val="clear" w:color="auto" w:fill="F4F3F3"/>
          </w:tcPr>
          <w:p>
            <w:pPr>
              <w:jc w:val="center"/>
              <w:ind w:left="1215"/>
              <w:spacing w:after="0" w:line="174" w:lineRule="exact"/>
              <w:rPr>
                <w:sz w:val="20"/>
                <w:szCs w:val="20"/>
                <w:color w:val="auto"/>
              </w:rPr>
            </w:pPr>
            <w:r>
              <w:rPr>
                <w:rFonts w:ascii="Arial" w:cs="Arial" w:eastAsia="Arial" w:hAnsi="Arial"/>
                <w:sz w:val="17"/>
                <w:szCs w:val="17"/>
                <w:color w:val="auto"/>
                <w:w w:val="93"/>
              </w:rPr>
              <w:t>—</w:t>
            </w:r>
          </w:p>
        </w:tc>
        <w:tc>
          <w:tcPr>
            <w:tcW w:w="2280" w:type="dxa"/>
            <w:vAlign w:val="bottom"/>
            <w:shd w:val="clear" w:color="auto" w:fill="F4F3F3"/>
          </w:tcPr>
          <w:p>
            <w:pPr>
              <w:jc w:val="right"/>
              <w:ind w:right="95"/>
              <w:spacing w:after="0" w:line="174" w:lineRule="exact"/>
              <w:rPr>
                <w:sz w:val="20"/>
                <w:szCs w:val="20"/>
                <w:color w:val="auto"/>
              </w:rPr>
            </w:pPr>
            <w:r>
              <w:rPr>
                <w:rFonts w:ascii="Arial" w:cs="Arial" w:eastAsia="Arial" w:hAnsi="Arial"/>
                <w:sz w:val="17"/>
                <w:szCs w:val="17"/>
                <w:color w:val="auto"/>
              </w:rPr>
              <w:t>29,956</w:t>
            </w:r>
          </w:p>
        </w:tc>
      </w:tr>
      <w:tr>
        <w:trPr>
          <w:trHeight w:val="231"/>
        </w:trPr>
        <w:tc>
          <w:tcPr>
            <w:tcW w:w="2150" w:type="dxa"/>
            <w:vAlign w:val="bottom"/>
            <w:shd w:val="clear" w:color="auto" w:fill="F4F3F3"/>
          </w:tcPr>
          <w:p>
            <w:pPr>
              <w:spacing w:after="0"/>
              <w:rPr>
                <w:sz w:val="20"/>
                <w:szCs w:val="20"/>
                <w:color w:val="auto"/>
              </w:rPr>
            </w:pPr>
          </w:p>
        </w:tc>
        <w:tc>
          <w:tcPr>
            <w:tcW w:w="1050" w:type="dxa"/>
            <w:vAlign w:val="bottom"/>
            <w:shd w:val="clear" w:color="auto" w:fill="F4F3F3"/>
          </w:tcPr>
          <w:p>
            <w:pPr>
              <w:ind w:left="50"/>
              <w:spacing w:after="0"/>
              <w:rPr>
                <w:sz w:val="20"/>
                <w:szCs w:val="20"/>
                <w:color w:val="auto"/>
              </w:rPr>
            </w:pPr>
            <w:r>
              <w:rPr>
                <w:rFonts w:ascii="Arial" w:cs="Arial" w:eastAsia="Arial" w:hAnsi="Arial"/>
                <w:sz w:val="17"/>
                <w:szCs w:val="17"/>
                <w:color w:val="auto"/>
              </w:rPr>
              <w:t>MVW DS</w:t>
            </w:r>
          </w:p>
        </w:tc>
        <w:tc>
          <w:tcPr>
            <w:tcW w:w="1560" w:type="dxa"/>
            <w:vAlign w:val="bottom"/>
            <w:shd w:val="clear" w:color="auto" w:fill="F4F3F3"/>
          </w:tcPr>
          <w:p>
            <w:pPr>
              <w:jc w:val="right"/>
              <w:ind w:right="195"/>
              <w:spacing w:after="0"/>
              <w:rPr>
                <w:sz w:val="20"/>
                <w:szCs w:val="20"/>
                <w:color w:val="auto"/>
              </w:rPr>
            </w:pPr>
            <w:r>
              <w:rPr>
                <w:rFonts w:ascii="Arial" w:cs="Arial" w:eastAsia="Arial" w:hAnsi="Arial"/>
                <w:sz w:val="17"/>
                <w:szCs w:val="17"/>
                <w:color w:val="auto"/>
              </w:rPr>
              <w:t>—</w:t>
            </w:r>
          </w:p>
        </w:tc>
        <w:tc>
          <w:tcPr>
            <w:tcW w:w="1720" w:type="dxa"/>
            <w:vAlign w:val="bottom"/>
            <w:shd w:val="clear" w:color="auto" w:fill="F4F3F3"/>
          </w:tcPr>
          <w:p>
            <w:pPr>
              <w:ind w:left="1160"/>
              <w:spacing w:after="0"/>
              <w:rPr>
                <w:sz w:val="20"/>
                <w:szCs w:val="20"/>
                <w:color w:val="auto"/>
              </w:rPr>
            </w:pPr>
            <w:r>
              <w:rPr>
                <w:rFonts w:ascii="Arial" w:cs="Arial" w:eastAsia="Arial" w:hAnsi="Arial"/>
                <w:sz w:val="17"/>
                <w:szCs w:val="17"/>
                <w:color w:val="auto"/>
              </w:rPr>
              <w:t>—</w:t>
            </w:r>
          </w:p>
        </w:tc>
        <w:tc>
          <w:tcPr>
            <w:tcW w:w="2020" w:type="dxa"/>
            <w:vAlign w:val="bottom"/>
            <w:shd w:val="clear" w:color="auto" w:fill="F4F3F3"/>
          </w:tcPr>
          <w:p>
            <w:pPr>
              <w:jc w:val="center"/>
              <w:ind w:left="1215"/>
              <w:spacing w:after="0"/>
              <w:rPr>
                <w:sz w:val="20"/>
                <w:szCs w:val="20"/>
                <w:color w:val="auto"/>
              </w:rPr>
            </w:pPr>
            <w:r>
              <w:rPr>
                <w:rFonts w:ascii="Arial" w:cs="Arial" w:eastAsia="Arial" w:hAnsi="Arial"/>
                <w:sz w:val="17"/>
                <w:szCs w:val="17"/>
                <w:color w:val="auto"/>
                <w:w w:val="93"/>
              </w:rPr>
              <w:t>—</w:t>
            </w:r>
          </w:p>
        </w:tc>
        <w:tc>
          <w:tcPr>
            <w:tcW w:w="228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1,704</w:t>
            </w:r>
          </w:p>
        </w:tc>
      </w:tr>
      <w:tr>
        <w:trPr>
          <w:trHeight w:val="174"/>
        </w:trPr>
        <w:tc>
          <w:tcPr>
            <w:tcW w:w="2150" w:type="dxa"/>
            <w:vAlign w:val="bottom"/>
            <w:shd w:val="clear" w:color="auto" w:fill="F4F3F3"/>
          </w:tcPr>
          <w:p>
            <w:pPr>
              <w:ind w:left="240"/>
              <w:spacing w:after="0" w:line="174" w:lineRule="exact"/>
              <w:rPr>
                <w:sz w:val="20"/>
                <w:szCs w:val="20"/>
                <w:color w:val="auto"/>
              </w:rPr>
            </w:pPr>
            <w:r>
              <w:rPr>
                <w:rFonts w:ascii="Arial" w:cs="Arial" w:eastAsia="Arial" w:hAnsi="Arial"/>
                <w:sz w:val="17"/>
                <w:szCs w:val="17"/>
                <w:color w:val="998C87"/>
              </w:rPr>
              <w:t>Mr. Muñoz</w:t>
            </w:r>
          </w:p>
        </w:tc>
        <w:tc>
          <w:tcPr>
            <w:tcW w:w="1050" w:type="dxa"/>
            <w:vAlign w:val="bottom"/>
            <w:shd w:val="clear" w:color="auto" w:fill="F4F3F3"/>
          </w:tcPr>
          <w:p>
            <w:pPr>
              <w:ind w:left="50"/>
              <w:spacing w:after="0" w:line="174" w:lineRule="exact"/>
              <w:rPr>
                <w:sz w:val="20"/>
                <w:szCs w:val="20"/>
                <w:color w:val="auto"/>
              </w:rPr>
            </w:pPr>
            <w:r>
              <w:rPr>
                <w:rFonts w:ascii="Arial" w:cs="Arial" w:eastAsia="Arial" w:hAnsi="Arial"/>
                <w:sz w:val="17"/>
                <w:szCs w:val="17"/>
                <w:color w:val="auto"/>
              </w:rPr>
              <w:t>MAR SARs</w:t>
            </w:r>
          </w:p>
        </w:tc>
        <w:tc>
          <w:tcPr>
            <w:tcW w:w="1560" w:type="dxa"/>
            <w:vAlign w:val="bottom"/>
            <w:shd w:val="clear" w:color="auto" w:fill="F4F3F3"/>
          </w:tcPr>
          <w:p>
            <w:pPr>
              <w:jc w:val="right"/>
              <w:ind w:right="95"/>
              <w:spacing w:after="0" w:line="174" w:lineRule="exact"/>
              <w:rPr>
                <w:sz w:val="20"/>
                <w:szCs w:val="20"/>
                <w:color w:val="auto"/>
              </w:rPr>
            </w:pPr>
            <w:r>
              <w:rPr>
                <w:rFonts w:ascii="Arial" w:cs="Arial" w:eastAsia="Arial" w:hAnsi="Arial"/>
                <w:sz w:val="17"/>
                <w:szCs w:val="17"/>
                <w:color w:val="auto"/>
              </w:rPr>
              <w:t>21,375</w:t>
            </w:r>
          </w:p>
        </w:tc>
        <w:tc>
          <w:tcPr>
            <w:tcW w:w="1720" w:type="dxa"/>
            <w:vAlign w:val="bottom"/>
            <w:shd w:val="clear" w:color="auto" w:fill="F4F3F3"/>
          </w:tcPr>
          <w:p>
            <w:pPr>
              <w:ind w:left="1160"/>
              <w:spacing w:after="0" w:line="174" w:lineRule="exact"/>
              <w:rPr>
                <w:sz w:val="20"/>
                <w:szCs w:val="20"/>
                <w:color w:val="auto"/>
              </w:rPr>
            </w:pPr>
            <w:r>
              <w:rPr>
                <w:rFonts w:ascii="Arial" w:cs="Arial" w:eastAsia="Arial" w:hAnsi="Arial"/>
                <w:sz w:val="17"/>
                <w:szCs w:val="17"/>
                <w:color w:val="auto"/>
              </w:rPr>
              <w:t>—</w:t>
            </w:r>
          </w:p>
        </w:tc>
        <w:tc>
          <w:tcPr>
            <w:tcW w:w="2020" w:type="dxa"/>
            <w:vAlign w:val="bottom"/>
            <w:shd w:val="clear" w:color="auto" w:fill="F4F3F3"/>
          </w:tcPr>
          <w:p>
            <w:pPr>
              <w:jc w:val="center"/>
              <w:ind w:left="1215"/>
              <w:spacing w:after="0" w:line="174" w:lineRule="exact"/>
              <w:rPr>
                <w:sz w:val="20"/>
                <w:szCs w:val="20"/>
                <w:color w:val="auto"/>
              </w:rPr>
            </w:pPr>
            <w:r>
              <w:rPr>
                <w:rFonts w:ascii="Arial" w:cs="Arial" w:eastAsia="Arial" w:hAnsi="Arial"/>
                <w:sz w:val="17"/>
                <w:szCs w:val="17"/>
                <w:color w:val="auto"/>
                <w:w w:val="93"/>
              </w:rPr>
              <w:t>—</w:t>
            </w:r>
          </w:p>
        </w:tc>
        <w:tc>
          <w:tcPr>
            <w:tcW w:w="2280" w:type="dxa"/>
            <w:vAlign w:val="bottom"/>
            <w:shd w:val="clear" w:color="auto" w:fill="F4F3F3"/>
          </w:tcPr>
          <w:p>
            <w:pPr>
              <w:jc w:val="right"/>
              <w:ind w:right="195"/>
              <w:spacing w:after="0" w:line="174" w:lineRule="exact"/>
              <w:rPr>
                <w:sz w:val="20"/>
                <w:szCs w:val="20"/>
                <w:color w:val="auto"/>
              </w:rPr>
            </w:pPr>
            <w:r>
              <w:rPr>
                <w:rFonts w:ascii="Arial" w:cs="Arial" w:eastAsia="Arial" w:hAnsi="Arial"/>
                <w:sz w:val="17"/>
                <w:szCs w:val="17"/>
                <w:color w:val="auto"/>
              </w:rPr>
              <w:t>—</w:t>
            </w:r>
          </w:p>
        </w:tc>
      </w:tr>
      <w:tr>
        <w:trPr>
          <w:trHeight w:val="189"/>
        </w:trPr>
        <w:tc>
          <w:tcPr>
            <w:tcW w:w="2150" w:type="dxa"/>
            <w:vAlign w:val="bottom"/>
            <w:shd w:val="clear" w:color="auto" w:fill="F4F3F3"/>
          </w:tcPr>
          <w:p>
            <w:pPr>
              <w:spacing w:after="0"/>
              <w:rPr>
                <w:sz w:val="16"/>
                <w:szCs w:val="16"/>
                <w:color w:val="auto"/>
              </w:rPr>
            </w:pPr>
          </w:p>
        </w:tc>
        <w:tc>
          <w:tcPr>
            <w:tcW w:w="1050" w:type="dxa"/>
            <w:vAlign w:val="bottom"/>
            <w:shd w:val="clear" w:color="auto" w:fill="F4F3F3"/>
          </w:tcPr>
          <w:p>
            <w:pPr>
              <w:ind w:left="50"/>
              <w:spacing w:after="0" w:line="189" w:lineRule="exact"/>
              <w:rPr>
                <w:sz w:val="20"/>
                <w:szCs w:val="20"/>
                <w:color w:val="auto"/>
              </w:rPr>
            </w:pPr>
            <w:r>
              <w:rPr>
                <w:rFonts w:ascii="Arial" w:cs="Arial" w:eastAsia="Arial" w:hAnsi="Arial"/>
                <w:sz w:val="17"/>
                <w:szCs w:val="17"/>
                <w:color w:val="auto"/>
              </w:rPr>
              <w:t>MAR DS</w:t>
            </w:r>
          </w:p>
        </w:tc>
        <w:tc>
          <w:tcPr>
            <w:tcW w:w="1560" w:type="dxa"/>
            <w:vAlign w:val="bottom"/>
            <w:shd w:val="clear" w:color="auto" w:fill="F4F3F3"/>
          </w:tcPr>
          <w:p>
            <w:pPr>
              <w:jc w:val="right"/>
              <w:ind w:right="195"/>
              <w:spacing w:after="0" w:line="189" w:lineRule="exact"/>
              <w:rPr>
                <w:sz w:val="20"/>
                <w:szCs w:val="20"/>
                <w:color w:val="auto"/>
              </w:rPr>
            </w:pPr>
            <w:r>
              <w:rPr>
                <w:rFonts w:ascii="Arial" w:cs="Arial" w:eastAsia="Arial" w:hAnsi="Arial"/>
                <w:sz w:val="17"/>
                <w:szCs w:val="17"/>
                <w:color w:val="auto"/>
              </w:rPr>
              <w:t>—</w:t>
            </w:r>
          </w:p>
        </w:tc>
        <w:tc>
          <w:tcPr>
            <w:tcW w:w="1720" w:type="dxa"/>
            <w:vAlign w:val="bottom"/>
            <w:shd w:val="clear" w:color="auto" w:fill="F4F3F3"/>
          </w:tcPr>
          <w:p>
            <w:pPr>
              <w:ind w:left="1160"/>
              <w:spacing w:after="0" w:line="189" w:lineRule="exact"/>
              <w:rPr>
                <w:sz w:val="20"/>
                <w:szCs w:val="20"/>
                <w:color w:val="auto"/>
              </w:rPr>
            </w:pPr>
            <w:r>
              <w:rPr>
                <w:rFonts w:ascii="Arial" w:cs="Arial" w:eastAsia="Arial" w:hAnsi="Arial"/>
                <w:sz w:val="17"/>
                <w:szCs w:val="17"/>
                <w:color w:val="auto"/>
              </w:rPr>
              <w:t>—</w:t>
            </w:r>
          </w:p>
        </w:tc>
        <w:tc>
          <w:tcPr>
            <w:tcW w:w="2020" w:type="dxa"/>
            <w:vAlign w:val="bottom"/>
            <w:shd w:val="clear" w:color="auto" w:fill="F4F3F3"/>
          </w:tcPr>
          <w:p>
            <w:pPr>
              <w:jc w:val="center"/>
              <w:ind w:left="1215"/>
              <w:spacing w:after="0" w:line="189" w:lineRule="exact"/>
              <w:rPr>
                <w:sz w:val="20"/>
                <w:szCs w:val="20"/>
                <w:color w:val="auto"/>
              </w:rPr>
            </w:pPr>
            <w:r>
              <w:rPr>
                <w:rFonts w:ascii="Arial" w:cs="Arial" w:eastAsia="Arial" w:hAnsi="Arial"/>
                <w:sz w:val="17"/>
                <w:szCs w:val="17"/>
                <w:color w:val="auto"/>
                <w:w w:val="93"/>
              </w:rPr>
              <w:t>—</w:t>
            </w:r>
          </w:p>
        </w:tc>
        <w:tc>
          <w:tcPr>
            <w:tcW w:w="2280" w:type="dxa"/>
            <w:vAlign w:val="bottom"/>
            <w:shd w:val="clear" w:color="auto" w:fill="F4F3F3"/>
          </w:tcPr>
          <w:p>
            <w:pPr>
              <w:jc w:val="right"/>
              <w:ind w:right="95"/>
              <w:spacing w:after="0" w:line="189" w:lineRule="exact"/>
              <w:rPr>
                <w:sz w:val="20"/>
                <w:szCs w:val="20"/>
                <w:color w:val="auto"/>
              </w:rPr>
            </w:pPr>
            <w:r>
              <w:rPr>
                <w:rFonts w:ascii="Arial" w:cs="Arial" w:eastAsia="Arial" w:hAnsi="Arial"/>
                <w:sz w:val="17"/>
                <w:szCs w:val="17"/>
                <w:color w:val="auto"/>
              </w:rPr>
              <w:t>43,027</w:t>
            </w:r>
          </w:p>
        </w:tc>
      </w:tr>
      <w:tr>
        <w:trPr>
          <w:trHeight w:val="231"/>
        </w:trPr>
        <w:tc>
          <w:tcPr>
            <w:tcW w:w="2150" w:type="dxa"/>
            <w:vAlign w:val="bottom"/>
            <w:shd w:val="clear" w:color="auto" w:fill="F4F3F3"/>
          </w:tcPr>
          <w:p>
            <w:pPr>
              <w:spacing w:after="0"/>
              <w:rPr>
                <w:sz w:val="20"/>
                <w:szCs w:val="20"/>
                <w:color w:val="auto"/>
              </w:rPr>
            </w:pPr>
          </w:p>
        </w:tc>
        <w:tc>
          <w:tcPr>
            <w:tcW w:w="1050" w:type="dxa"/>
            <w:vAlign w:val="bottom"/>
            <w:shd w:val="clear" w:color="auto" w:fill="F4F3F3"/>
          </w:tcPr>
          <w:p>
            <w:pPr>
              <w:ind w:left="50"/>
              <w:spacing w:after="0"/>
              <w:rPr>
                <w:sz w:val="20"/>
                <w:szCs w:val="20"/>
                <w:color w:val="auto"/>
              </w:rPr>
            </w:pPr>
            <w:r>
              <w:rPr>
                <w:rFonts w:ascii="Arial" w:cs="Arial" w:eastAsia="Arial" w:hAnsi="Arial"/>
                <w:sz w:val="17"/>
                <w:szCs w:val="17"/>
                <w:color w:val="auto"/>
              </w:rPr>
              <w:t>MVW DS</w:t>
            </w:r>
          </w:p>
        </w:tc>
        <w:tc>
          <w:tcPr>
            <w:tcW w:w="1560" w:type="dxa"/>
            <w:vAlign w:val="bottom"/>
            <w:shd w:val="clear" w:color="auto" w:fill="F4F3F3"/>
          </w:tcPr>
          <w:p>
            <w:pPr>
              <w:jc w:val="right"/>
              <w:ind w:right="195"/>
              <w:spacing w:after="0"/>
              <w:rPr>
                <w:sz w:val="20"/>
                <w:szCs w:val="20"/>
                <w:color w:val="auto"/>
              </w:rPr>
            </w:pPr>
            <w:r>
              <w:rPr>
                <w:rFonts w:ascii="Arial" w:cs="Arial" w:eastAsia="Arial" w:hAnsi="Arial"/>
                <w:sz w:val="17"/>
                <w:szCs w:val="17"/>
                <w:color w:val="auto"/>
              </w:rPr>
              <w:t>—</w:t>
            </w:r>
          </w:p>
        </w:tc>
        <w:tc>
          <w:tcPr>
            <w:tcW w:w="1720" w:type="dxa"/>
            <w:vAlign w:val="bottom"/>
            <w:shd w:val="clear" w:color="auto" w:fill="F4F3F3"/>
          </w:tcPr>
          <w:p>
            <w:pPr>
              <w:ind w:left="1160"/>
              <w:spacing w:after="0"/>
              <w:rPr>
                <w:sz w:val="20"/>
                <w:szCs w:val="20"/>
                <w:color w:val="auto"/>
              </w:rPr>
            </w:pPr>
            <w:r>
              <w:rPr>
                <w:rFonts w:ascii="Arial" w:cs="Arial" w:eastAsia="Arial" w:hAnsi="Arial"/>
                <w:sz w:val="17"/>
                <w:szCs w:val="17"/>
                <w:color w:val="auto"/>
              </w:rPr>
              <w:t>—</w:t>
            </w:r>
          </w:p>
        </w:tc>
        <w:tc>
          <w:tcPr>
            <w:tcW w:w="2020" w:type="dxa"/>
            <w:vAlign w:val="bottom"/>
            <w:shd w:val="clear" w:color="auto" w:fill="F4F3F3"/>
          </w:tcPr>
          <w:p>
            <w:pPr>
              <w:jc w:val="center"/>
              <w:ind w:left="1215"/>
              <w:spacing w:after="0"/>
              <w:rPr>
                <w:sz w:val="20"/>
                <w:szCs w:val="20"/>
                <w:color w:val="auto"/>
              </w:rPr>
            </w:pPr>
            <w:r>
              <w:rPr>
                <w:rFonts w:ascii="Arial" w:cs="Arial" w:eastAsia="Arial" w:hAnsi="Arial"/>
                <w:sz w:val="17"/>
                <w:szCs w:val="17"/>
                <w:color w:val="auto"/>
                <w:w w:val="93"/>
              </w:rPr>
              <w:t>—</w:t>
            </w:r>
          </w:p>
        </w:tc>
        <w:tc>
          <w:tcPr>
            <w:tcW w:w="228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3,399</w:t>
            </w:r>
          </w:p>
        </w:tc>
      </w:tr>
      <w:tr>
        <w:trPr>
          <w:trHeight w:val="174"/>
        </w:trPr>
        <w:tc>
          <w:tcPr>
            <w:tcW w:w="2150" w:type="dxa"/>
            <w:vAlign w:val="bottom"/>
            <w:shd w:val="clear" w:color="auto" w:fill="F4F3F3"/>
          </w:tcPr>
          <w:p>
            <w:pPr>
              <w:ind w:left="240"/>
              <w:spacing w:after="0" w:line="174" w:lineRule="exact"/>
              <w:rPr>
                <w:sz w:val="20"/>
                <w:szCs w:val="20"/>
                <w:color w:val="auto"/>
              </w:rPr>
            </w:pPr>
            <w:r>
              <w:rPr>
                <w:rFonts w:ascii="Arial" w:cs="Arial" w:eastAsia="Arial" w:hAnsi="Arial"/>
                <w:sz w:val="17"/>
                <w:szCs w:val="17"/>
                <w:color w:val="998C87"/>
              </w:rPr>
              <w:t>Mr. Reinemund</w:t>
            </w:r>
          </w:p>
        </w:tc>
        <w:tc>
          <w:tcPr>
            <w:tcW w:w="1050" w:type="dxa"/>
            <w:vAlign w:val="bottom"/>
            <w:shd w:val="clear" w:color="auto" w:fill="F4F3F3"/>
          </w:tcPr>
          <w:p>
            <w:pPr>
              <w:jc w:val="center"/>
              <w:ind w:right="85"/>
              <w:spacing w:after="0" w:line="174" w:lineRule="exact"/>
              <w:rPr>
                <w:sz w:val="20"/>
                <w:szCs w:val="20"/>
                <w:color w:val="auto"/>
              </w:rPr>
            </w:pPr>
            <w:r>
              <w:rPr>
                <w:rFonts w:ascii="Arial" w:cs="Arial" w:eastAsia="Arial" w:hAnsi="Arial"/>
                <w:sz w:val="17"/>
                <w:szCs w:val="17"/>
                <w:color w:val="auto"/>
                <w:w w:val="99"/>
              </w:rPr>
              <w:t>MAR DS</w:t>
            </w:r>
          </w:p>
        </w:tc>
        <w:tc>
          <w:tcPr>
            <w:tcW w:w="1560" w:type="dxa"/>
            <w:vAlign w:val="bottom"/>
            <w:shd w:val="clear" w:color="auto" w:fill="F4F3F3"/>
          </w:tcPr>
          <w:p>
            <w:pPr>
              <w:jc w:val="right"/>
              <w:ind w:right="195"/>
              <w:spacing w:after="0" w:line="174" w:lineRule="exact"/>
              <w:rPr>
                <w:sz w:val="20"/>
                <w:szCs w:val="20"/>
                <w:color w:val="auto"/>
              </w:rPr>
            </w:pPr>
            <w:r>
              <w:rPr>
                <w:rFonts w:ascii="Arial" w:cs="Arial" w:eastAsia="Arial" w:hAnsi="Arial"/>
                <w:sz w:val="17"/>
                <w:szCs w:val="17"/>
                <w:color w:val="auto"/>
              </w:rPr>
              <w:t>—</w:t>
            </w:r>
          </w:p>
        </w:tc>
        <w:tc>
          <w:tcPr>
            <w:tcW w:w="1720" w:type="dxa"/>
            <w:vAlign w:val="bottom"/>
            <w:shd w:val="clear" w:color="auto" w:fill="F4F3F3"/>
          </w:tcPr>
          <w:p>
            <w:pPr>
              <w:ind w:left="1160"/>
              <w:spacing w:after="0" w:line="174" w:lineRule="exact"/>
              <w:rPr>
                <w:sz w:val="20"/>
                <w:szCs w:val="20"/>
                <w:color w:val="auto"/>
              </w:rPr>
            </w:pPr>
            <w:r>
              <w:rPr>
                <w:rFonts w:ascii="Arial" w:cs="Arial" w:eastAsia="Arial" w:hAnsi="Arial"/>
                <w:sz w:val="17"/>
                <w:szCs w:val="17"/>
                <w:color w:val="auto"/>
              </w:rPr>
              <w:t>—</w:t>
            </w:r>
          </w:p>
        </w:tc>
        <w:tc>
          <w:tcPr>
            <w:tcW w:w="2020" w:type="dxa"/>
            <w:vAlign w:val="bottom"/>
            <w:shd w:val="clear" w:color="auto" w:fill="F4F3F3"/>
          </w:tcPr>
          <w:p>
            <w:pPr>
              <w:jc w:val="center"/>
              <w:ind w:left="1215"/>
              <w:spacing w:after="0" w:line="174" w:lineRule="exact"/>
              <w:rPr>
                <w:sz w:val="20"/>
                <w:szCs w:val="20"/>
                <w:color w:val="auto"/>
              </w:rPr>
            </w:pPr>
            <w:r>
              <w:rPr>
                <w:rFonts w:ascii="Arial" w:cs="Arial" w:eastAsia="Arial" w:hAnsi="Arial"/>
                <w:sz w:val="17"/>
                <w:szCs w:val="17"/>
                <w:color w:val="auto"/>
                <w:w w:val="93"/>
              </w:rPr>
              <w:t>—</w:t>
            </w:r>
          </w:p>
        </w:tc>
        <w:tc>
          <w:tcPr>
            <w:tcW w:w="2280" w:type="dxa"/>
            <w:vAlign w:val="bottom"/>
            <w:shd w:val="clear" w:color="auto" w:fill="F4F3F3"/>
          </w:tcPr>
          <w:p>
            <w:pPr>
              <w:jc w:val="right"/>
              <w:ind w:right="95"/>
              <w:spacing w:after="0" w:line="174" w:lineRule="exact"/>
              <w:rPr>
                <w:sz w:val="20"/>
                <w:szCs w:val="20"/>
                <w:color w:val="auto"/>
              </w:rPr>
            </w:pPr>
            <w:r>
              <w:rPr>
                <w:rFonts w:ascii="Arial" w:cs="Arial" w:eastAsia="Arial" w:hAnsi="Arial"/>
                <w:sz w:val="17"/>
                <w:szCs w:val="17"/>
                <w:color w:val="auto"/>
              </w:rPr>
              <w:t>3,088</w:t>
            </w:r>
          </w:p>
        </w:tc>
      </w:tr>
      <w:tr>
        <w:trPr>
          <w:trHeight w:val="231"/>
        </w:trPr>
        <w:tc>
          <w:tcPr>
            <w:tcW w:w="2150" w:type="dxa"/>
            <w:vAlign w:val="bottom"/>
            <w:shd w:val="clear" w:color="auto" w:fill="F4F3F3"/>
          </w:tcPr>
          <w:p>
            <w:pPr>
              <w:spacing w:after="0"/>
              <w:rPr>
                <w:sz w:val="20"/>
                <w:szCs w:val="20"/>
                <w:color w:val="auto"/>
              </w:rPr>
            </w:pPr>
          </w:p>
        </w:tc>
        <w:tc>
          <w:tcPr>
            <w:tcW w:w="1050" w:type="dxa"/>
            <w:vAlign w:val="bottom"/>
            <w:shd w:val="clear" w:color="auto" w:fill="F4F3F3"/>
          </w:tcPr>
          <w:p>
            <w:pPr>
              <w:ind w:left="50"/>
              <w:spacing w:after="0"/>
              <w:rPr>
                <w:sz w:val="20"/>
                <w:szCs w:val="20"/>
                <w:color w:val="auto"/>
              </w:rPr>
            </w:pPr>
            <w:r>
              <w:rPr>
                <w:rFonts w:ascii="Arial" w:cs="Arial" w:eastAsia="Arial" w:hAnsi="Arial"/>
                <w:sz w:val="17"/>
                <w:szCs w:val="17"/>
                <w:color w:val="auto"/>
              </w:rPr>
              <w:t>MVW DS</w:t>
            </w:r>
          </w:p>
        </w:tc>
        <w:tc>
          <w:tcPr>
            <w:tcW w:w="1560" w:type="dxa"/>
            <w:vAlign w:val="bottom"/>
            <w:shd w:val="clear" w:color="auto" w:fill="F4F3F3"/>
          </w:tcPr>
          <w:p>
            <w:pPr>
              <w:jc w:val="right"/>
              <w:ind w:right="195"/>
              <w:spacing w:after="0"/>
              <w:rPr>
                <w:sz w:val="20"/>
                <w:szCs w:val="20"/>
                <w:color w:val="auto"/>
              </w:rPr>
            </w:pPr>
            <w:r>
              <w:rPr>
                <w:rFonts w:ascii="Arial" w:cs="Arial" w:eastAsia="Arial" w:hAnsi="Arial"/>
                <w:sz w:val="17"/>
                <w:szCs w:val="17"/>
                <w:color w:val="auto"/>
              </w:rPr>
              <w:t>—</w:t>
            </w:r>
          </w:p>
        </w:tc>
        <w:tc>
          <w:tcPr>
            <w:tcW w:w="1720" w:type="dxa"/>
            <w:vAlign w:val="bottom"/>
            <w:shd w:val="clear" w:color="auto" w:fill="F4F3F3"/>
          </w:tcPr>
          <w:p>
            <w:pPr>
              <w:ind w:left="1160"/>
              <w:spacing w:after="0"/>
              <w:rPr>
                <w:sz w:val="20"/>
                <w:szCs w:val="20"/>
                <w:color w:val="auto"/>
              </w:rPr>
            </w:pPr>
            <w:r>
              <w:rPr>
                <w:rFonts w:ascii="Arial" w:cs="Arial" w:eastAsia="Arial" w:hAnsi="Arial"/>
                <w:sz w:val="17"/>
                <w:szCs w:val="17"/>
                <w:color w:val="auto"/>
              </w:rPr>
              <w:t>—</w:t>
            </w:r>
          </w:p>
        </w:tc>
        <w:tc>
          <w:tcPr>
            <w:tcW w:w="2020" w:type="dxa"/>
            <w:vAlign w:val="bottom"/>
            <w:shd w:val="clear" w:color="auto" w:fill="F4F3F3"/>
          </w:tcPr>
          <w:p>
            <w:pPr>
              <w:jc w:val="center"/>
              <w:ind w:left="1215"/>
              <w:spacing w:after="0"/>
              <w:rPr>
                <w:sz w:val="20"/>
                <w:szCs w:val="20"/>
                <w:color w:val="auto"/>
              </w:rPr>
            </w:pPr>
            <w:r>
              <w:rPr>
                <w:rFonts w:ascii="Arial" w:cs="Arial" w:eastAsia="Arial" w:hAnsi="Arial"/>
                <w:sz w:val="17"/>
                <w:szCs w:val="17"/>
                <w:color w:val="auto"/>
                <w:w w:val="93"/>
              </w:rPr>
              <w:t>—</w:t>
            </w:r>
          </w:p>
        </w:tc>
        <w:tc>
          <w:tcPr>
            <w:tcW w:w="228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173</w:t>
            </w:r>
          </w:p>
        </w:tc>
      </w:tr>
      <w:tr>
        <w:trPr>
          <w:trHeight w:val="216"/>
        </w:trPr>
        <w:tc>
          <w:tcPr>
            <w:tcW w:w="2150" w:type="dxa"/>
            <w:vAlign w:val="bottom"/>
            <w:shd w:val="clear" w:color="auto" w:fill="F4F3F3"/>
          </w:tcPr>
          <w:p>
            <w:pPr>
              <w:ind w:left="240"/>
              <w:spacing w:after="0"/>
              <w:rPr>
                <w:sz w:val="20"/>
                <w:szCs w:val="20"/>
                <w:color w:val="auto"/>
              </w:rPr>
            </w:pPr>
            <w:r>
              <w:rPr>
                <w:rFonts w:ascii="Arial" w:cs="Arial" w:eastAsia="Arial" w:hAnsi="Arial"/>
                <w:sz w:val="17"/>
                <w:szCs w:val="17"/>
                <w:color w:val="998C87"/>
              </w:rPr>
              <w:t>Mr. Romney</w:t>
            </w:r>
          </w:p>
        </w:tc>
        <w:tc>
          <w:tcPr>
            <w:tcW w:w="1050" w:type="dxa"/>
            <w:vAlign w:val="bottom"/>
            <w:shd w:val="clear" w:color="auto" w:fill="F4F3F3"/>
          </w:tcPr>
          <w:p>
            <w:pPr>
              <w:ind w:left="50"/>
              <w:spacing w:after="0"/>
              <w:rPr>
                <w:sz w:val="20"/>
                <w:szCs w:val="20"/>
                <w:color w:val="auto"/>
              </w:rPr>
            </w:pPr>
            <w:r>
              <w:rPr>
                <w:rFonts w:ascii="Arial" w:cs="Arial" w:eastAsia="Arial" w:hAnsi="Arial"/>
                <w:sz w:val="17"/>
                <w:szCs w:val="17"/>
                <w:color w:val="auto"/>
              </w:rPr>
              <w:t>MAR DS</w:t>
            </w:r>
          </w:p>
        </w:tc>
        <w:tc>
          <w:tcPr>
            <w:tcW w:w="1560" w:type="dxa"/>
            <w:vAlign w:val="bottom"/>
            <w:shd w:val="clear" w:color="auto" w:fill="F4F3F3"/>
          </w:tcPr>
          <w:p>
            <w:pPr>
              <w:jc w:val="right"/>
              <w:ind w:right="195"/>
              <w:spacing w:after="0"/>
              <w:rPr>
                <w:sz w:val="20"/>
                <w:szCs w:val="20"/>
                <w:color w:val="auto"/>
              </w:rPr>
            </w:pPr>
            <w:r>
              <w:rPr>
                <w:rFonts w:ascii="Arial" w:cs="Arial" w:eastAsia="Arial" w:hAnsi="Arial"/>
                <w:sz w:val="17"/>
                <w:szCs w:val="17"/>
                <w:color w:val="auto"/>
              </w:rPr>
              <w:t>—</w:t>
            </w:r>
          </w:p>
        </w:tc>
        <w:tc>
          <w:tcPr>
            <w:tcW w:w="1720" w:type="dxa"/>
            <w:vAlign w:val="bottom"/>
            <w:shd w:val="clear" w:color="auto" w:fill="F4F3F3"/>
          </w:tcPr>
          <w:p>
            <w:pPr>
              <w:ind w:left="1160"/>
              <w:spacing w:after="0"/>
              <w:rPr>
                <w:sz w:val="20"/>
                <w:szCs w:val="20"/>
                <w:color w:val="auto"/>
              </w:rPr>
            </w:pPr>
            <w:r>
              <w:rPr>
                <w:rFonts w:ascii="Arial" w:cs="Arial" w:eastAsia="Arial" w:hAnsi="Arial"/>
                <w:sz w:val="17"/>
                <w:szCs w:val="17"/>
                <w:color w:val="auto"/>
              </w:rPr>
              <w:t>—</w:t>
            </w:r>
          </w:p>
        </w:tc>
        <w:tc>
          <w:tcPr>
            <w:tcW w:w="2020" w:type="dxa"/>
            <w:vAlign w:val="bottom"/>
            <w:shd w:val="clear" w:color="auto" w:fill="F4F3F3"/>
          </w:tcPr>
          <w:p>
            <w:pPr>
              <w:jc w:val="center"/>
              <w:ind w:left="1215"/>
              <w:spacing w:after="0"/>
              <w:rPr>
                <w:sz w:val="20"/>
                <w:szCs w:val="20"/>
                <w:color w:val="auto"/>
              </w:rPr>
            </w:pPr>
            <w:r>
              <w:rPr>
                <w:rFonts w:ascii="Arial" w:cs="Arial" w:eastAsia="Arial" w:hAnsi="Arial"/>
                <w:sz w:val="17"/>
                <w:szCs w:val="17"/>
                <w:color w:val="auto"/>
                <w:w w:val="93"/>
              </w:rPr>
              <w:t>—</w:t>
            </w:r>
          </w:p>
        </w:tc>
        <w:tc>
          <w:tcPr>
            <w:tcW w:w="228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10,108</w:t>
            </w:r>
          </w:p>
        </w:tc>
      </w:tr>
      <w:tr>
        <w:trPr>
          <w:trHeight w:val="216"/>
        </w:trPr>
        <w:tc>
          <w:tcPr>
            <w:tcW w:w="2150" w:type="dxa"/>
            <w:vAlign w:val="bottom"/>
            <w:shd w:val="clear" w:color="auto" w:fill="F4F3F3"/>
          </w:tcPr>
          <w:p>
            <w:pPr>
              <w:ind w:left="240"/>
              <w:spacing w:after="0"/>
              <w:rPr>
                <w:sz w:val="20"/>
                <w:szCs w:val="20"/>
                <w:color w:val="auto"/>
              </w:rPr>
            </w:pPr>
            <w:r>
              <w:rPr>
                <w:rFonts w:ascii="Arial" w:cs="Arial" w:eastAsia="Arial" w:hAnsi="Arial"/>
                <w:sz w:val="17"/>
                <w:szCs w:val="17"/>
                <w:color w:val="998C87"/>
              </w:rPr>
              <w:t>Ms. Schwab</w:t>
            </w:r>
          </w:p>
        </w:tc>
        <w:tc>
          <w:tcPr>
            <w:tcW w:w="1050" w:type="dxa"/>
            <w:vAlign w:val="bottom"/>
            <w:shd w:val="clear" w:color="auto" w:fill="F4F3F3"/>
          </w:tcPr>
          <w:p>
            <w:pPr>
              <w:ind w:left="50"/>
              <w:spacing w:after="0"/>
              <w:rPr>
                <w:sz w:val="20"/>
                <w:szCs w:val="20"/>
                <w:color w:val="auto"/>
              </w:rPr>
            </w:pPr>
            <w:r>
              <w:rPr>
                <w:rFonts w:ascii="Arial" w:cs="Arial" w:eastAsia="Arial" w:hAnsi="Arial"/>
                <w:sz w:val="17"/>
                <w:szCs w:val="17"/>
                <w:color w:val="auto"/>
              </w:rPr>
              <w:t>MAR DS</w:t>
            </w:r>
          </w:p>
        </w:tc>
        <w:tc>
          <w:tcPr>
            <w:tcW w:w="1560" w:type="dxa"/>
            <w:vAlign w:val="bottom"/>
            <w:shd w:val="clear" w:color="auto" w:fill="F4F3F3"/>
          </w:tcPr>
          <w:p>
            <w:pPr>
              <w:jc w:val="right"/>
              <w:ind w:right="195"/>
              <w:spacing w:after="0"/>
              <w:rPr>
                <w:sz w:val="20"/>
                <w:szCs w:val="20"/>
                <w:color w:val="auto"/>
              </w:rPr>
            </w:pPr>
            <w:r>
              <w:rPr>
                <w:rFonts w:ascii="Arial" w:cs="Arial" w:eastAsia="Arial" w:hAnsi="Arial"/>
                <w:sz w:val="17"/>
                <w:szCs w:val="17"/>
                <w:color w:val="auto"/>
              </w:rPr>
              <w:t>—</w:t>
            </w:r>
          </w:p>
        </w:tc>
        <w:tc>
          <w:tcPr>
            <w:tcW w:w="1720" w:type="dxa"/>
            <w:vAlign w:val="bottom"/>
            <w:shd w:val="clear" w:color="auto" w:fill="F4F3F3"/>
          </w:tcPr>
          <w:p>
            <w:pPr>
              <w:ind w:left="1160"/>
              <w:spacing w:after="0"/>
              <w:rPr>
                <w:sz w:val="20"/>
                <w:szCs w:val="20"/>
                <w:color w:val="auto"/>
              </w:rPr>
            </w:pPr>
            <w:r>
              <w:rPr>
                <w:rFonts w:ascii="Arial" w:cs="Arial" w:eastAsia="Arial" w:hAnsi="Arial"/>
                <w:sz w:val="17"/>
                <w:szCs w:val="17"/>
                <w:color w:val="auto"/>
              </w:rPr>
              <w:t>—</w:t>
            </w:r>
          </w:p>
        </w:tc>
        <w:tc>
          <w:tcPr>
            <w:tcW w:w="2020" w:type="dxa"/>
            <w:vAlign w:val="bottom"/>
            <w:shd w:val="clear" w:color="auto" w:fill="F4F3F3"/>
          </w:tcPr>
          <w:p>
            <w:pPr>
              <w:jc w:val="center"/>
              <w:ind w:left="1215"/>
              <w:spacing w:after="0"/>
              <w:rPr>
                <w:sz w:val="20"/>
                <w:szCs w:val="20"/>
                <w:color w:val="auto"/>
              </w:rPr>
            </w:pPr>
            <w:r>
              <w:rPr>
                <w:rFonts w:ascii="Arial" w:cs="Arial" w:eastAsia="Arial" w:hAnsi="Arial"/>
                <w:sz w:val="17"/>
                <w:szCs w:val="17"/>
                <w:color w:val="auto"/>
                <w:w w:val="93"/>
              </w:rPr>
              <w:t>—</w:t>
            </w:r>
          </w:p>
        </w:tc>
        <w:tc>
          <w:tcPr>
            <w:tcW w:w="228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3,108</w:t>
            </w:r>
          </w:p>
        </w:tc>
      </w:tr>
      <w:tr>
        <w:trPr>
          <w:trHeight w:val="174"/>
        </w:trPr>
        <w:tc>
          <w:tcPr>
            <w:tcW w:w="2150" w:type="dxa"/>
            <w:vAlign w:val="bottom"/>
            <w:shd w:val="clear" w:color="auto" w:fill="F4F3F3"/>
          </w:tcPr>
          <w:p>
            <w:pPr>
              <w:ind w:left="240"/>
              <w:spacing w:after="0" w:line="174" w:lineRule="exact"/>
              <w:rPr>
                <w:sz w:val="20"/>
                <w:szCs w:val="20"/>
                <w:color w:val="auto"/>
              </w:rPr>
            </w:pPr>
            <w:r>
              <w:rPr>
                <w:rFonts w:ascii="Arial" w:cs="Arial" w:eastAsia="Arial" w:hAnsi="Arial"/>
                <w:sz w:val="17"/>
                <w:szCs w:val="17"/>
                <w:color w:val="998C87"/>
              </w:rPr>
              <w:t>Mr. Duncan</w:t>
            </w:r>
          </w:p>
        </w:tc>
        <w:tc>
          <w:tcPr>
            <w:tcW w:w="1050" w:type="dxa"/>
            <w:vAlign w:val="bottom"/>
            <w:shd w:val="clear" w:color="auto" w:fill="F4F3F3"/>
          </w:tcPr>
          <w:p>
            <w:pPr>
              <w:ind w:left="50"/>
              <w:spacing w:after="0" w:line="174" w:lineRule="exact"/>
              <w:rPr>
                <w:sz w:val="20"/>
                <w:szCs w:val="20"/>
                <w:color w:val="auto"/>
              </w:rPr>
            </w:pPr>
            <w:r>
              <w:rPr>
                <w:rFonts w:ascii="Arial" w:cs="Arial" w:eastAsia="Arial" w:hAnsi="Arial"/>
                <w:sz w:val="17"/>
                <w:szCs w:val="17"/>
                <w:color w:val="auto"/>
              </w:rPr>
              <w:t>MAR SO</w:t>
            </w:r>
          </w:p>
        </w:tc>
        <w:tc>
          <w:tcPr>
            <w:tcW w:w="1560" w:type="dxa"/>
            <w:vAlign w:val="bottom"/>
            <w:shd w:val="clear" w:color="auto" w:fill="F4F3F3"/>
          </w:tcPr>
          <w:p>
            <w:pPr>
              <w:jc w:val="right"/>
              <w:ind w:right="95"/>
              <w:spacing w:after="0" w:line="174" w:lineRule="exact"/>
              <w:rPr>
                <w:sz w:val="20"/>
                <w:szCs w:val="20"/>
                <w:color w:val="auto"/>
              </w:rPr>
            </w:pPr>
            <w:r>
              <w:rPr>
                <w:rFonts w:ascii="Arial" w:cs="Arial" w:eastAsia="Arial" w:hAnsi="Arial"/>
                <w:sz w:val="17"/>
                <w:szCs w:val="17"/>
                <w:color w:val="auto"/>
              </w:rPr>
              <w:t>3,376</w:t>
            </w:r>
          </w:p>
        </w:tc>
        <w:tc>
          <w:tcPr>
            <w:tcW w:w="1720" w:type="dxa"/>
            <w:vAlign w:val="bottom"/>
            <w:shd w:val="clear" w:color="auto" w:fill="F4F3F3"/>
          </w:tcPr>
          <w:p>
            <w:pPr>
              <w:ind w:left="1160"/>
              <w:spacing w:after="0" w:line="174" w:lineRule="exact"/>
              <w:rPr>
                <w:sz w:val="20"/>
                <w:szCs w:val="20"/>
                <w:color w:val="auto"/>
              </w:rPr>
            </w:pPr>
            <w:r>
              <w:rPr>
                <w:rFonts w:ascii="Arial" w:cs="Arial" w:eastAsia="Arial" w:hAnsi="Arial"/>
                <w:sz w:val="17"/>
                <w:szCs w:val="17"/>
                <w:color w:val="auto"/>
              </w:rPr>
              <w:t>—</w:t>
            </w:r>
          </w:p>
        </w:tc>
        <w:tc>
          <w:tcPr>
            <w:tcW w:w="2020" w:type="dxa"/>
            <w:vAlign w:val="bottom"/>
            <w:shd w:val="clear" w:color="auto" w:fill="F4F3F3"/>
          </w:tcPr>
          <w:p>
            <w:pPr>
              <w:jc w:val="center"/>
              <w:ind w:left="1215"/>
              <w:spacing w:after="0" w:line="174" w:lineRule="exact"/>
              <w:rPr>
                <w:sz w:val="20"/>
                <w:szCs w:val="20"/>
                <w:color w:val="auto"/>
              </w:rPr>
            </w:pPr>
            <w:r>
              <w:rPr>
                <w:rFonts w:ascii="Arial" w:cs="Arial" w:eastAsia="Arial" w:hAnsi="Arial"/>
                <w:sz w:val="17"/>
                <w:szCs w:val="17"/>
                <w:color w:val="auto"/>
                <w:w w:val="93"/>
              </w:rPr>
              <w:t>—</w:t>
            </w:r>
          </w:p>
        </w:tc>
        <w:tc>
          <w:tcPr>
            <w:tcW w:w="2280" w:type="dxa"/>
            <w:vAlign w:val="bottom"/>
            <w:shd w:val="clear" w:color="auto" w:fill="F4F3F3"/>
          </w:tcPr>
          <w:p>
            <w:pPr>
              <w:jc w:val="right"/>
              <w:ind w:right="195"/>
              <w:spacing w:after="0" w:line="174" w:lineRule="exact"/>
              <w:rPr>
                <w:sz w:val="20"/>
                <w:szCs w:val="20"/>
                <w:color w:val="auto"/>
              </w:rPr>
            </w:pPr>
            <w:r>
              <w:rPr>
                <w:rFonts w:ascii="Arial" w:cs="Arial" w:eastAsia="Arial" w:hAnsi="Arial"/>
                <w:sz w:val="17"/>
                <w:szCs w:val="17"/>
                <w:color w:val="auto"/>
              </w:rPr>
              <w:t>—</w:t>
            </w:r>
          </w:p>
        </w:tc>
      </w:tr>
      <w:tr>
        <w:trPr>
          <w:trHeight w:val="189"/>
        </w:trPr>
        <w:tc>
          <w:tcPr>
            <w:tcW w:w="2150" w:type="dxa"/>
            <w:vAlign w:val="bottom"/>
            <w:shd w:val="clear" w:color="auto" w:fill="F4F3F3"/>
          </w:tcPr>
          <w:p>
            <w:pPr>
              <w:spacing w:after="0"/>
              <w:rPr>
                <w:sz w:val="16"/>
                <w:szCs w:val="16"/>
                <w:color w:val="auto"/>
              </w:rPr>
            </w:pPr>
          </w:p>
        </w:tc>
        <w:tc>
          <w:tcPr>
            <w:tcW w:w="1050" w:type="dxa"/>
            <w:vAlign w:val="bottom"/>
            <w:shd w:val="clear" w:color="auto" w:fill="F4F3F3"/>
          </w:tcPr>
          <w:p>
            <w:pPr>
              <w:ind w:left="50"/>
              <w:spacing w:after="0" w:line="189" w:lineRule="exact"/>
              <w:rPr>
                <w:sz w:val="20"/>
                <w:szCs w:val="20"/>
                <w:color w:val="auto"/>
              </w:rPr>
            </w:pPr>
            <w:r>
              <w:rPr>
                <w:rFonts w:ascii="Arial" w:cs="Arial" w:eastAsia="Arial" w:hAnsi="Arial"/>
                <w:sz w:val="17"/>
                <w:szCs w:val="17"/>
                <w:color w:val="auto"/>
              </w:rPr>
              <w:t>MAR RSU</w:t>
            </w:r>
          </w:p>
        </w:tc>
        <w:tc>
          <w:tcPr>
            <w:tcW w:w="1560" w:type="dxa"/>
            <w:vAlign w:val="bottom"/>
            <w:shd w:val="clear" w:color="auto" w:fill="F4F3F3"/>
          </w:tcPr>
          <w:p>
            <w:pPr>
              <w:jc w:val="right"/>
              <w:ind w:right="195"/>
              <w:spacing w:after="0" w:line="189" w:lineRule="exact"/>
              <w:rPr>
                <w:sz w:val="20"/>
                <w:szCs w:val="20"/>
                <w:color w:val="auto"/>
              </w:rPr>
            </w:pPr>
            <w:r>
              <w:rPr>
                <w:rFonts w:ascii="Arial" w:cs="Arial" w:eastAsia="Arial" w:hAnsi="Arial"/>
                <w:sz w:val="17"/>
                <w:szCs w:val="17"/>
                <w:color w:val="auto"/>
              </w:rPr>
              <w:t>—</w:t>
            </w:r>
          </w:p>
        </w:tc>
        <w:tc>
          <w:tcPr>
            <w:tcW w:w="1720" w:type="dxa"/>
            <w:vAlign w:val="bottom"/>
            <w:shd w:val="clear" w:color="auto" w:fill="F4F3F3"/>
          </w:tcPr>
          <w:p>
            <w:pPr>
              <w:ind w:left="1160"/>
              <w:spacing w:after="0" w:line="189" w:lineRule="exact"/>
              <w:rPr>
                <w:sz w:val="20"/>
                <w:szCs w:val="20"/>
                <w:color w:val="auto"/>
              </w:rPr>
            </w:pPr>
            <w:r>
              <w:rPr>
                <w:rFonts w:ascii="Arial" w:cs="Arial" w:eastAsia="Arial" w:hAnsi="Arial"/>
                <w:sz w:val="17"/>
                <w:szCs w:val="17"/>
                <w:color w:val="auto"/>
              </w:rPr>
              <w:t>—</w:t>
            </w:r>
          </w:p>
        </w:tc>
        <w:tc>
          <w:tcPr>
            <w:tcW w:w="2020" w:type="dxa"/>
            <w:vAlign w:val="bottom"/>
            <w:shd w:val="clear" w:color="auto" w:fill="F4F3F3"/>
          </w:tcPr>
          <w:p>
            <w:pPr>
              <w:jc w:val="center"/>
              <w:ind w:left="1155"/>
              <w:spacing w:after="0" w:line="189" w:lineRule="exact"/>
              <w:rPr>
                <w:sz w:val="20"/>
                <w:szCs w:val="20"/>
                <w:color w:val="auto"/>
              </w:rPr>
            </w:pPr>
            <w:r>
              <w:rPr>
                <w:rFonts w:ascii="Arial" w:cs="Arial" w:eastAsia="Arial" w:hAnsi="Arial"/>
                <w:sz w:val="17"/>
                <w:szCs w:val="17"/>
                <w:color w:val="auto"/>
                <w:w w:val="98"/>
              </w:rPr>
              <w:t>4,008</w:t>
            </w:r>
          </w:p>
        </w:tc>
        <w:tc>
          <w:tcPr>
            <w:tcW w:w="2280" w:type="dxa"/>
            <w:vAlign w:val="bottom"/>
            <w:shd w:val="clear" w:color="auto" w:fill="F4F3F3"/>
          </w:tcPr>
          <w:p>
            <w:pPr>
              <w:jc w:val="right"/>
              <w:ind w:right="95"/>
              <w:spacing w:after="0" w:line="189" w:lineRule="exact"/>
              <w:rPr>
                <w:sz w:val="20"/>
                <w:szCs w:val="20"/>
                <w:color w:val="auto"/>
              </w:rPr>
            </w:pPr>
            <w:r>
              <w:rPr>
                <w:rFonts w:ascii="Arial" w:cs="Arial" w:eastAsia="Arial" w:hAnsi="Arial"/>
                <w:sz w:val="17"/>
                <w:szCs w:val="17"/>
                <w:color w:val="auto"/>
              </w:rPr>
              <w:t>9,383</w:t>
            </w:r>
          </w:p>
        </w:tc>
      </w:tr>
      <w:tr>
        <w:trPr>
          <w:trHeight w:val="231"/>
        </w:trPr>
        <w:tc>
          <w:tcPr>
            <w:tcW w:w="2150" w:type="dxa"/>
            <w:vAlign w:val="bottom"/>
            <w:shd w:val="clear" w:color="auto" w:fill="F4F3F3"/>
          </w:tcPr>
          <w:p>
            <w:pPr>
              <w:spacing w:after="0"/>
              <w:rPr>
                <w:sz w:val="20"/>
                <w:szCs w:val="20"/>
                <w:color w:val="auto"/>
              </w:rPr>
            </w:pPr>
          </w:p>
        </w:tc>
        <w:tc>
          <w:tcPr>
            <w:tcW w:w="1050" w:type="dxa"/>
            <w:vAlign w:val="bottom"/>
            <w:shd w:val="clear" w:color="auto" w:fill="F4F3F3"/>
          </w:tcPr>
          <w:p>
            <w:pPr>
              <w:ind w:left="50"/>
              <w:spacing w:after="0"/>
              <w:rPr>
                <w:sz w:val="20"/>
                <w:szCs w:val="20"/>
                <w:color w:val="auto"/>
              </w:rPr>
            </w:pPr>
            <w:r>
              <w:rPr>
                <w:rFonts w:ascii="Arial" w:cs="Arial" w:eastAsia="Arial" w:hAnsi="Arial"/>
                <w:sz w:val="17"/>
                <w:szCs w:val="17"/>
                <w:color w:val="auto"/>
              </w:rPr>
              <w:t>MAR DS</w:t>
            </w:r>
          </w:p>
        </w:tc>
        <w:tc>
          <w:tcPr>
            <w:tcW w:w="1560" w:type="dxa"/>
            <w:vAlign w:val="bottom"/>
            <w:shd w:val="clear" w:color="auto" w:fill="F4F3F3"/>
          </w:tcPr>
          <w:p>
            <w:pPr>
              <w:jc w:val="right"/>
              <w:ind w:right="195"/>
              <w:spacing w:after="0"/>
              <w:rPr>
                <w:sz w:val="20"/>
                <w:szCs w:val="20"/>
                <w:color w:val="auto"/>
              </w:rPr>
            </w:pPr>
            <w:r>
              <w:rPr>
                <w:rFonts w:ascii="Arial" w:cs="Arial" w:eastAsia="Arial" w:hAnsi="Arial"/>
                <w:sz w:val="17"/>
                <w:szCs w:val="17"/>
                <w:color w:val="auto"/>
              </w:rPr>
              <w:t>—</w:t>
            </w:r>
          </w:p>
        </w:tc>
        <w:tc>
          <w:tcPr>
            <w:tcW w:w="1720" w:type="dxa"/>
            <w:vAlign w:val="bottom"/>
            <w:shd w:val="clear" w:color="auto" w:fill="F4F3F3"/>
          </w:tcPr>
          <w:p>
            <w:pPr>
              <w:ind w:left="1160"/>
              <w:spacing w:after="0"/>
              <w:rPr>
                <w:sz w:val="20"/>
                <w:szCs w:val="20"/>
                <w:color w:val="auto"/>
              </w:rPr>
            </w:pPr>
            <w:r>
              <w:rPr>
                <w:rFonts w:ascii="Arial" w:cs="Arial" w:eastAsia="Arial" w:hAnsi="Arial"/>
                <w:sz w:val="17"/>
                <w:szCs w:val="17"/>
                <w:color w:val="auto"/>
              </w:rPr>
              <w:t>—</w:t>
            </w:r>
          </w:p>
        </w:tc>
        <w:tc>
          <w:tcPr>
            <w:tcW w:w="2020" w:type="dxa"/>
            <w:vAlign w:val="bottom"/>
            <w:shd w:val="clear" w:color="auto" w:fill="F4F3F3"/>
          </w:tcPr>
          <w:p>
            <w:pPr>
              <w:jc w:val="center"/>
              <w:ind w:left="1215"/>
              <w:spacing w:after="0"/>
              <w:rPr>
                <w:sz w:val="20"/>
                <w:szCs w:val="20"/>
                <w:color w:val="auto"/>
              </w:rPr>
            </w:pPr>
            <w:r>
              <w:rPr>
                <w:rFonts w:ascii="Arial" w:cs="Arial" w:eastAsia="Arial" w:hAnsi="Arial"/>
                <w:sz w:val="17"/>
                <w:szCs w:val="17"/>
                <w:color w:val="auto"/>
                <w:w w:val="93"/>
              </w:rPr>
              <w:t>—</w:t>
            </w:r>
          </w:p>
        </w:tc>
        <w:tc>
          <w:tcPr>
            <w:tcW w:w="228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1,358</w:t>
            </w:r>
          </w:p>
        </w:tc>
      </w:tr>
      <w:tr>
        <w:trPr>
          <w:trHeight w:val="174"/>
        </w:trPr>
        <w:tc>
          <w:tcPr>
            <w:tcW w:w="2150" w:type="dxa"/>
            <w:vAlign w:val="bottom"/>
            <w:shd w:val="clear" w:color="auto" w:fill="F4F3F3"/>
          </w:tcPr>
          <w:p>
            <w:pPr>
              <w:ind w:left="240"/>
              <w:spacing w:after="0" w:line="174" w:lineRule="exact"/>
              <w:rPr>
                <w:sz w:val="20"/>
                <w:szCs w:val="20"/>
                <w:color w:val="auto"/>
              </w:rPr>
            </w:pPr>
            <w:r>
              <w:rPr>
                <w:rFonts w:ascii="Arial" w:cs="Arial" w:eastAsia="Arial" w:hAnsi="Arial"/>
                <w:sz w:val="17"/>
                <w:szCs w:val="17"/>
                <w:color w:val="998C87"/>
              </w:rPr>
              <w:t>Mr. Hippeau</w:t>
            </w:r>
          </w:p>
        </w:tc>
        <w:tc>
          <w:tcPr>
            <w:tcW w:w="1050" w:type="dxa"/>
            <w:vAlign w:val="bottom"/>
            <w:shd w:val="clear" w:color="auto" w:fill="F4F3F3"/>
          </w:tcPr>
          <w:p>
            <w:pPr>
              <w:ind w:left="50"/>
              <w:spacing w:after="0" w:line="174" w:lineRule="exact"/>
              <w:rPr>
                <w:sz w:val="20"/>
                <w:szCs w:val="20"/>
                <w:color w:val="auto"/>
              </w:rPr>
            </w:pPr>
            <w:r>
              <w:rPr>
                <w:rFonts w:ascii="Arial" w:cs="Arial" w:eastAsia="Arial" w:hAnsi="Arial"/>
                <w:sz w:val="17"/>
                <w:szCs w:val="17"/>
                <w:color w:val="auto"/>
              </w:rPr>
              <w:t>MAR SO</w:t>
            </w:r>
          </w:p>
        </w:tc>
        <w:tc>
          <w:tcPr>
            <w:tcW w:w="1560" w:type="dxa"/>
            <w:vAlign w:val="bottom"/>
            <w:shd w:val="clear" w:color="auto" w:fill="F4F3F3"/>
          </w:tcPr>
          <w:p>
            <w:pPr>
              <w:jc w:val="right"/>
              <w:ind w:right="95"/>
              <w:spacing w:after="0" w:line="174" w:lineRule="exact"/>
              <w:rPr>
                <w:sz w:val="20"/>
                <w:szCs w:val="20"/>
                <w:color w:val="auto"/>
              </w:rPr>
            </w:pPr>
            <w:r>
              <w:rPr>
                <w:rFonts w:ascii="Arial" w:cs="Arial" w:eastAsia="Arial" w:hAnsi="Arial"/>
                <w:sz w:val="17"/>
                <w:szCs w:val="17"/>
                <w:color w:val="auto"/>
              </w:rPr>
              <w:t>6,410</w:t>
            </w:r>
          </w:p>
        </w:tc>
        <w:tc>
          <w:tcPr>
            <w:tcW w:w="1720" w:type="dxa"/>
            <w:vAlign w:val="bottom"/>
            <w:shd w:val="clear" w:color="auto" w:fill="F4F3F3"/>
          </w:tcPr>
          <w:p>
            <w:pPr>
              <w:ind w:left="1160"/>
              <w:spacing w:after="0" w:line="174" w:lineRule="exact"/>
              <w:rPr>
                <w:sz w:val="20"/>
                <w:szCs w:val="20"/>
                <w:color w:val="auto"/>
              </w:rPr>
            </w:pPr>
            <w:r>
              <w:rPr>
                <w:rFonts w:ascii="Arial" w:cs="Arial" w:eastAsia="Arial" w:hAnsi="Arial"/>
                <w:sz w:val="17"/>
                <w:szCs w:val="17"/>
                <w:color w:val="auto"/>
              </w:rPr>
              <w:t>—</w:t>
            </w:r>
          </w:p>
        </w:tc>
        <w:tc>
          <w:tcPr>
            <w:tcW w:w="2020" w:type="dxa"/>
            <w:vAlign w:val="bottom"/>
            <w:shd w:val="clear" w:color="auto" w:fill="F4F3F3"/>
          </w:tcPr>
          <w:p>
            <w:pPr>
              <w:jc w:val="center"/>
              <w:ind w:left="1215"/>
              <w:spacing w:after="0" w:line="174" w:lineRule="exact"/>
              <w:rPr>
                <w:sz w:val="20"/>
                <w:szCs w:val="20"/>
                <w:color w:val="auto"/>
              </w:rPr>
            </w:pPr>
            <w:r>
              <w:rPr>
                <w:rFonts w:ascii="Arial" w:cs="Arial" w:eastAsia="Arial" w:hAnsi="Arial"/>
                <w:sz w:val="17"/>
                <w:szCs w:val="17"/>
                <w:color w:val="auto"/>
                <w:w w:val="93"/>
              </w:rPr>
              <w:t>—</w:t>
            </w:r>
          </w:p>
        </w:tc>
        <w:tc>
          <w:tcPr>
            <w:tcW w:w="2280" w:type="dxa"/>
            <w:vAlign w:val="bottom"/>
            <w:shd w:val="clear" w:color="auto" w:fill="F4F3F3"/>
          </w:tcPr>
          <w:p>
            <w:pPr>
              <w:jc w:val="right"/>
              <w:ind w:right="195"/>
              <w:spacing w:after="0" w:line="174" w:lineRule="exact"/>
              <w:rPr>
                <w:sz w:val="20"/>
                <w:szCs w:val="20"/>
                <w:color w:val="auto"/>
              </w:rPr>
            </w:pPr>
            <w:r>
              <w:rPr>
                <w:rFonts w:ascii="Arial" w:cs="Arial" w:eastAsia="Arial" w:hAnsi="Arial"/>
                <w:sz w:val="17"/>
                <w:szCs w:val="17"/>
                <w:color w:val="auto"/>
              </w:rPr>
              <w:t>—</w:t>
            </w:r>
          </w:p>
        </w:tc>
      </w:tr>
      <w:tr>
        <w:trPr>
          <w:trHeight w:val="189"/>
        </w:trPr>
        <w:tc>
          <w:tcPr>
            <w:tcW w:w="2150" w:type="dxa"/>
            <w:vAlign w:val="bottom"/>
            <w:shd w:val="clear" w:color="auto" w:fill="F4F3F3"/>
          </w:tcPr>
          <w:p>
            <w:pPr>
              <w:spacing w:after="0"/>
              <w:rPr>
                <w:sz w:val="16"/>
                <w:szCs w:val="16"/>
                <w:color w:val="auto"/>
              </w:rPr>
            </w:pPr>
          </w:p>
        </w:tc>
        <w:tc>
          <w:tcPr>
            <w:tcW w:w="1050" w:type="dxa"/>
            <w:vAlign w:val="bottom"/>
            <w:shd w:val="clear" w:color="auto" w:fill="F4F3F3"/>
          </w:tcPr>
          <w:p>
            <w:pPr>
              <w:ind w:left="50"/>
              <w:spacing w:after="0" w:line="189" w:lineRule="exact"/>
              <w:rPr>
                <w:sz w:val="20"/>
                <w:szCs w:val="20"/>
                <w:color w:val="auto"/>
              </w:rPr>
            </w:pPr>
            <w:r>
              <w:rPr>
                <w:rFonts w:ascii="Arial" w:cs="Arial" w:eastAsia="Arial" w:hAnsi="Arial"/>
                <w:sz w:val="17"/>
                <w:szCs w:val="17"/>
                <w:color w:val="auto"/>
              </w:rPr>
              <w:t>MAR RSU</w:t>
            </w:r>
          </w:p>
        </w:tc>
        <w:tc>
          <w:tcPr>
            <w:tcW w:w="1560" w:type="dxa"/>
            <w:vAlign w:val="bottom"/>
            <w:shd w:val="clear" w:color="auto" w:fill="F4F3F3"/>
          </w:tcPr>
          <w:p>
            <w:pPr>
              <w:jc w:val="right"/>
              <w:ind w:right="195"/>
              <w:spacing w:after="0" w:line="189" w:lineRule="exact"/>
              <w:rPr>
                <w:sz w:val="20"/>
                <w:szCs w:val="20"/>
                <w:color w:val="auto"/>
              </w:rPr>
            </w:pPr>
            <w:r>
              <w:rPr>
                <w:rFonts w:ascii="Arial" w:cs="Arial" w:eastAsia="Arial" w:hAnsi="Arial"/>
                <w:sz w:val="17"/>
                <w:szCs w:val="17"/>
                <w:color w:val="auto"/>
              </w:rPr>
              <w:t>—</w:t>
            </w:r>
          </w:p>
        </w:tc>
        <w:tc>
          <w:tcPr>
            <w:tcW w:w="1720" w:type="dxa"/>
            <w:vAlign w:val="bottom"/>
            <w:shd w:val="clear" w:color="auto" w:fill="F4F3F3"/>
          </w:tcPr>
          <w:p>
            <w:pPr>
              <w:ind w:left="1160"/>
              <w:spacing w:after="0" w:line="189" w:lineRule="exact"/>
              <w:rPr>
                <w:sz w:val="20"/>
                <w:szCs w:val="20"/>
                <w:color w:val="auto"/>
              </w:rPr>
            </w:pPr>
            <w:r>
              <w:rPr>
                <w:rFonts w:ascii="Arial" w:cs="Arial" w:eastAsia="Arial" w:hAnsi="Arial"/>
                <w:sz w:val="17"/>
                <w:szCs w:val="17"/>
                <w:color w:val="auto"/>
              </w:rPr>
              <w:t>—</w:t>
            </w:r>
          </w:p>
        </w:tc>
        <w:tc>
          <w:tcPr>
            <w:tcW w:w="2020" w:type="dxa"/>
            <w:vAlign w:val="bottom"/>
            <w:shd w:val="clear" w:color="auto" w:fill="F4F3F3"/>
          </w:tcPr>
          <w:p>
            <w:pPr>
              <w:jc w:val="center"/>
              <w:ind w:left="1215"/>
              <w:spacing w:after="0" w:line="189" w:lineRule="exact"/>
              <w:rPr>
                <w:sz w:val="20"/>
                <w:szCs w:val="20"/>
                <w:color w:val="auto"/>
              </w:rPr>
            </w:pPr>
            <w:r>
              <w:rPr>
                <w:rFonts w:ascii="Arial" w:cs="Arial" w:eastAsia="Arial" w:hAnsi="Arial"/>
                <w:sz w:val="17"/>
                <w:szCs w:val="17"/>
                <w:color w:val="auto"/>
                <w:w w:val="93"/>
              </w:rPr>
              <w:t>—</w:t>
            </w:r>
          </w:p>
        </w:tc>
        <w:tc>
          <w:tcPr>
            <w:tcW w:w="2280" w:type="dxa"/>
            <w:vAlign w:val="bottom"/>
            <w:shd w:val="clear" w:color="auto" w:fill="F4F3F3"/>
          </w:tcPr>
          <w:p>
            <w:pPr>
              <w:jc w:val="right"/>
              <w:ind w:right="95"/>
              <w:spacing w:after="0" w:line="189" w:lineRule="exact"/>
              <w:rPr>
                <w:sz w:val="20"/>
                <w:szCs w:val="20"/>
                <w:color w:val="auto"/>
              </w:rPr>
            </w:pPr>
            <w:r>
              <w:rPr>
                <w:rFonts w:ascii="Arial" w:cs="Arial" w:eastAsia="Arial" w:hAnsi="Arial"/>
                <w:sz w:val="17"/>
                <w:szCs w:val="17"/>
                <w:color w:val="auto"/>
              </w:rPr>
              <w:t>34,512</w:t>
            </w:r>
          </w:p>
        </w:tc>
      </w:tr>
      <w:tr>
        <w:trPr>
          <w:trHeight w:val="231"/>
        </w:trPr>
        <w:tc>
          <w:tcPr>
            <w:tcW w:w="2150" w:type="dxa"/>
            <w:vAlign w:val="bottom"/>
            <w:shd w:val="clear" w:color="auto" w:fill="F4F3F3"/>
          </w:tcPr>
          <w:p>
            <w:pPr>
              <w:spacing w:after="0"/>
              <w:rPr>
                <w:sz w:val="20"/>
                <w:szCs w:val="20"/>
                <w:color w:val="auto"/>
              </w:rPr>
            </w:pPr>
          </w:p>
        </w:tc>
        <w:tc>
          <w:tcPr>
            <w:tcW w:w="1050" w:type="dxa"/>
            <w:vAlign w:val="bottom"/>
            <w:shd w:val="clear" w:color="auto" w:fill="F4F3F3"/>
          </w:tcPr>
          <w:p>
            <w:pPr>
              <w:ind w:left="50"/>
              <w:spacing w:after="0"/>
              <w:rPr>
                <w:sz w:val="20"/>
                <w:szCs w:val="20"/>
                <w:color w:val="auto"/>
              </w:rPr>
            </w:pPr>
            <w:r>
              <w:rPr>
                <w:rFonts w:ascii="Arial" w:cs="Arial" w:eastAsia="Arial" w:hAnsi="Arial"/>
                <w:sz w:val="17"/>
                <w:szCs w:val="17"/>
                <w:color w:val="auto"/>
              </w:rPr>
              <w:t>MAR DS</w:t>
            </w:r>
          </w:p>
        </w:tc>
        <w:tc>
          <w:tcPr>
            <w:tcW w:w="1560" w:type="dxa"/>
            <w:vAlign w:val="bottom"/>
            <w:shd w:val="clear" w:color="auto" w:fill="F4F3F3"/>
          </w:tcPr>
          <w:p>
            <w:pPr>
              <w:jc w:val="right"/>
              <w:ind w:right="195"/>
              <w:spacing w:after="0"/>
              <w:rPr>
                <w:sz w:val="20"/>
                <w:szCs w:val="20"/>
                <w:color w:val="auto"/>
              </w:rPr>
            </w:pPr>
            <w:r>
              <w:rPr>
                <w:rFonts w:ascii="Arial" w:cs="Arial" w:eastAsia="Arial" w:hAnsi="Arial"/>
                <w:sz w:val="17"/>
                <w:szCs w:val="17"/>
                <w:color w:val="auto"/>
              </w:rPr>
              <w:t>—</w:t>
            </w:r>
          </w:p>
        </w:tc>
        <w:tc>
          <w:tcPr>
            <w:tcW w:w="1720" w:type="dxa"/>
            <w:vAlign w:val="bottom"/>
            <w:shd w:val="clear" w:color="auto" w:fill="F4F3F3"/>
          </w:tcPr>
          <w:p>
            <w:pPr>
              <w:ind w:left="1160"/>
              <w:spacing w:after="0"/>
              <w:rPr>
                <w:sz w:val="20"/>
                <w:szCs w:val="20"/>
                <w:color w:val="auto"/>
              </w:rPr>
            </w:pPr>
            <w:r>
              <w:rPr>
                <w:rFonts w:ascii="Arial" w:cs="Arial" w:eastAsia="Arial" w:hAnsi="Arial"/>
                <w:sz w:val="17"/>
                <w:szCs w:val="17"/>
                <w:color w:val="auto"/>
              </w:rPr>
              <w:t>—</w:t>
            </w:r>
          </w:p>
        </w:tc>
        <w:tc>
          <w:tcPr>
            <w:tcW w:w="2020" w:type="dxa"/>
            <w:vAlign w:val="bottom"/>
            <w:shd w:val="clear" w:color="auto" w:fill="F4F3F3"/>
          </w:tcPr>
          <w:p>
            <w:pPr>
              <w:jc w:val="center"/>
              <w:ind w:left="1215"/>
              <w:spacing w:after="0"/>
              <w:rPr>
                <w:sz w:val="20"/>
                <w:szCs w:val="20"/>
                <w:color w:val="auto"/>
              </w:rPr>
            </w:pPr>
            <w:r>
              <w:rPr>
                <w:rFonts w:ascii="Arial" w:cs="Arial" w:eastAsia="Arial" w:hAnsi="Arial"/>
                <w:sz w:val="17"/>
                <w:szCs w:val="17"/>
                <w:color w:val="auto"/>
                <w:w w:val="93"/>
              </w:rPr>
              <w:t>—</w:t>
            </w:r>
          </w:p>
        </w:tc>
        <w:tc>
          <w:tcPr>
            <w:tcW w:w="228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1,676</w:t>
            </w:r>
          </w:p>
        </w:tc>
      </w:tr>
      <w:tr>
        <w:trPr>
          <w:trHeight w:val="216"/>
        </w:trPr>
        <w:tc>
          <w:tcPr>
            <w:tcW w:w="2150" w:type="dxa"/>
            <w:vAlign w:val="bottom"/>
            <w:shd w:val="clear" w:color="auto" w:fill="F4F3F3"/>
          </w:tcPr>
          <w:p>
            <w:pPr>
              <w:ind w:left="240"/>
              <w:spacing w:after="0"/>
              <w:rPr>
                <w:sz w:val="20"/>
                <w:szCs w:val="20"/>
                <w:color w:val="auto"/>
              </w:rPr>
            </w:pPr>
            <w:r>
              <w:rPr>
                <w:rFonts w:ascii="Arial" w:cs="Arial" w:eastAsia="Arial" w:hAnsi="Arial"/>
                <w:sz w:val="17"/>
                <w:szCs w:val="17"/>
                <w:color w:val="998C87"/>
              </w:rPr>
              <w:t>Mr. Lewis</w:t>
            </w:r>
          </w:p>
        </w:tc>
        <w:tc>
          <w:tcPr>
            <w:tcW w:w="1050" w:type="dxa"/>
            <w:vAlign w:val="bottom"/>
            <w:shd w:val="clear" w:color="auto" w:fill="F4F3F3"/>
          </w:tcPr>
          <w:p>
            <w:pPr>
              <w:ind w:left="50"/>
              <w:spacing w:after="0"/>
              <w:rPr>
                <w:sz w:val="20"/>
                <w:szCs w:val="20"/>
                <w:color w:val="auto"/>
              </w:rPr>
            </w:pPr>
            <w:r>
              <w:rPr>
                <w:rFonts w:ascii="Arial" w:cs="Arial" w:eastAsia="Arial" w:hAnsi="Arial"/>
                <w:sz w:val="17"/>
                <w:szCs w:val="17"/>
                <w:color w:val="auto"/>
              </w:rPr>
              <w:t>MAR DS</w:t>
            </w:r>
          </w:p>
        </w:tc>
        <w:tc>
          <w:tcPr>
            <w:tcW w:w="1560" w:type="dxa"/>
            <w:vAlign w:val="bottom"/>
            <w:shd w:val="clear" w:color="auto" w:fill="F4F3F3"/>
          </w:tcPr>
          <w:p>
            <w:pPr>
              <w:jc w:val="right"/>
              <w:ind w:right="195"/>
              <w:spacing w:after="0"/>
              <w:rPr>
                <w:sz w:val="20"/>
                <w:szCs w:val="20"/>
                <w:color w:val="auto"/>
              </w:rPr>
            </w:pPr>
            <w:r>
              <w:rPr>
                <w:rFonts w:ascii="Arial" w:cs="Arial" w:eastAsia="Arial" w:hAnsi="Arial"/>
                <w:sz w:val="17"/>
                <w:szCs w:val="17"/>
                <w:color w:val="auto"/>
              </w:rPr>
              <w:t>—</w:t>
            </w:r>
          </w:p>
        </w:tc>
        <w:tc>
          <w:tcPr>
            <w:tcW w:w="1720" w:type="dxa"/>
            <w:vAlign w:val="bottom"/>
            <w:shd w:val="clear" w:color="auto" w:fill="F4F3F3"/>
          </w:tcPr>
          <w:p>
            <w:pPr>
              <w:ind w:left="1160"/>
              <w:spacing w:after="0"/>
              <w:rPr>
                <w:sz w:val="20"/>
                <w:szCs w:val="20"/>
                <w:color w:val="auto"/>
              </w:rPr>
            </w:pPr>
            <w:r>
              <w:rPr>
                <w:rFonts w:ascii="Arial" w:cs="Arial" w:eastAsia="Arial" w:hAnsi="Arial"/>
                <w:sz w:val="17"/>
                <w:szCs w:val="17"/>
                <w:color w:val="auto"/>
              </w:rPr>
              <w:t>—</w:t>
            </w:r>
          </w:p>
        </w:tc>
        <w:tc>
          <w:tcPr>
            <w:tcW w:w="2020" w:type="dxa"/>
            <w:vAlign w:val="bottom"/>
            <w:shd w:val="clear" w:color="auto" w:fill="F4F3F3"/>
          </w:tcPr>
          <w:p>
            <w:pPr>
              <w:jc w:val="center"/>
              <w:ind w:left="1215"/>
              <w:spacing w:after="0"/>
              <w:rPr>
                <w:sz w:val="20"/>
                <w:szCs w:val="20"/>
                <w:color w:val="auto"/>
              </w:rPr>
            </w:pPr>
            <w:r>
              <w:rPr>
                <w:rFonts w:ascii="Arial" w:cs="Arial" w:eastAsia="Arial" w:hAnsi="Arial"/>
                <w:sz w:val="17"/>
                <w:szCs w:val="17"/>
                <w:color w:val="auto"/>
                <w:w w:val="93"/>
              </w:rPr>
              <w:t>—</w:t>
            </w:r>
          </w:p>
        </w:tc>
        <w:tc>
          <w:tcPr>
            <w:tcW w:w="2280" w:type="dxa"/>
            <w:vAlign w:val="bottom"/>
            <w:shd w:val="clear" w:color="auto" w:fill="F4F3F3"/>
          </w:tcPr>
          <w:p>
            <w:pPr>
              <w:jc w:val="right"/>
              <w:ind w:right="95"/>
              <w:spacing w:after="0"/>
              <w:rPr>
                <w:sz w:val="20"/>
                <w:szCs w:val="20"/>
                <w:color w:val="auto"/>
              </w:rPr>
            </w:pPr>
            <w:r>
              <w:rPr>
                <w:rFonts w:ascii="Arial" w:cs="Arial" w:eastAsia="Arial" w:hAnsi="Arial"/>
                <w:sz w:val="17"/>
                <w:szCs w:val="17"/>
                <w:color w:val="auto"/>
              </w:rPr>
              <w:t>1,540</w:t>
            </w:r>
          </w:p>
        </w:tc>
      </w:tr>
    </w:tbl>
    <w:p>
      <w:pPr>
        <w:spacing w:after="0" w:line="122" w:lineRule="exact"/>
        <w:rPr>
          <w:sz w:val="20"/>
          <w:szCs w:val="20"/>
          <w:color w:val="auto"/>
        </w:rPr>
      </w:pPr>
    </w:p>
    <w:p>
      <w:pPr>
        <w:ind w:left="420" w:right="280" w:hanging="210"/>
        <w:spacing w:after="0" w:line="187" w:lineRule="auto"/>
        <w:tabs>
          <w:tab w:leader="none" w:pos="420" w:val="left"/>
        </w:tabs>
        <w:numPr>
          <w:ilvl w:val="0"/>
          <w:numId w:val="125"/>
        </w:numPr>
        <w:rPr>
          <w:rFonts w:ascii="Arial" w:cs="Arial" w:eastAsia="Arial" w:hAnsi="Arial"/>
          <w:sz w:val="24"/>
          <w:szCs w:val="24"/>
          <w:color w:val="333333"/>
          <w:vertAlign w:val="superscript"/>
        </w:rPr>
      </w:pPr>
      <w:r>
        <w:rPr>
          <w:rFonts w:ascii="Arial" w:cs="Arial" w:eastAsia="Arial" w:hAnsi="Arial"/>
          <w:sz w:val="14"/>
          <w:szCs w:val="14"/>
          <w:color w:val="333333"/>
        </w:rPr>
        <w:t>The values reported equal the earnings credited to accounts in the EDC to the extent they were credited at a rate of interest exceeding 120% of the applicable federal long-term rate, as discussed for the NEOs under “Nonqualified Deferred Compensation for Fiscal Year 2017” above.</w:t>
      </w:r>
    </w:p>
    <w:p>
      <w:pPr>
        <w:spacing w:after="0" w:line="1" w:lineRule="exact"/>
        <w:rPr>
          <w:rFonts w:ascii="Arial" w:cs="Arial" w:eastAsia="Arial" w:hAnsi="Arial"/>
          <w:sz w:val="24"/>
          <w:szCs w:val="24"/>
          <w:color w:val="333333"/>
          <w:vertAlign w:val="superscript"/>
        </w:rPr>
      </w:pPr>
    </w:p>
    <w:p>
      <w:pPr>
        <w:ind w:left="420" w:right="160" w:hanging="210"/>
        <w:spacing w:after="0" w:line="209" w:lineRule="auto"/>
        <w:tabs>
          <w:tab w:leader="none" w:pos="420" w:val="left"/>
        </w:tabs>
        <w:numPr>
          <w:ilvl w:val="0"/>
          <w:numId w:val="125"/>
        </w:numPr>
        <w:rPr>
          <w:rFonts w:ascii="Arial" w:cs="Arial" w:eastAsia="Arial" w:hAnsi="Arial"/>
          <w:sz w:val="24"/>
          <w:szCs w:val="24"/>
          <w:color w:val="333333"/>
          <w:vertAlign w:val="superscript"/>
        </w:rPr>
      </w:pPr>
      <w:r>
        <w:rPr>
          <w:rFonts w:ascii="Arial" w:cs="Arial" w:eastAsia="Arial" w:hAnsi="Arial"/>
          <w:sz w:val="14"/>
          <w:szCs w:val="14"/>
          <w:color w:val="333333"/>
        </w:rPr>
        <w:t>This column includes Company allocations made by the Company under the EDC for fiscal year 2017 and perquisites and personal benefits, including complimentary rooms, food and beverages at Company-owned, operated or franchised hotels, as well as the use of hotel-related services such as Marriott-managed golf and spa facilities, when on personal travel. The values in this column do not include perquisites and personal benefits that were less than $10,000 in aggregate for each director for the fiscal year.</w:t>
      </w:r>
    </w:p>
    <w:p>
      <w:pPr>
        <w:spacing w:after="0" w:line="107" w:lineRule="exact"/>
        <w:rPr>
          <w:sz w:val="20"/>
          <w:szCs w:val="20"/>
          <w:color w:val="auto"/>
        </w:rPr>
      </w:pPr>
    </w:p>
    <w:tbl>
      <w:tblPr>
        <w:tblLayout w:type="fixed"/>
        <w:tblInd w:w="9180" w:type="dxa"/>
        <w:tblCellMar>
          <w:top w:w="0" w:type="dxa"/>
          <w:left w:w="0" w:type="dxa"/>
          <w:bottom w:w="0" w:type="dxa"/>
          <w:right w:w="0" w:type="dxa"/>
        </w:tblCellMar>
      </w:tblPr>
      <w:tr>
        <w:trPr>
          <w:trHeight w:val="214"/>
        </w:trPr>
        <w:tc>
          <w:tcPr>
            <w:tcW w:w="1660" w:type="dxa"/>
            <w:vAlign w:val="bottom"/>
          </w:tcPr>
          <w:p>
            <w:pPr>
              <w:spacing w:after="0"/>
              <w:rPr>
                <w:sz w:val="20"/>
                <w:szCs w:val="20"/>
                <w:color w:val="auto"/>
              </w:rPr>
            </w:pPr>
            <w:r>
              <w:rPr>
                <w:rFonts w:ascii="Arial" w:cs="Arial" w:eastAsia="Arial" w:hAnsi="Arial"/>
                <w:sz w:val="15"/>
                <w:szCs w:val="15"/>
                <w:color w:val="998C87"/>
              </w:rPr>
              <w:t>2018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59</w:t>
            </w:r>
          </w:p>
        </w:tc>
      </w:tr>
    </w:tbl>
    <w:p>
      <w:pPr>
        <w:sectPr>
          <w:pgSz w:w="11900" w:h="16838" w:orient="portrait"/>
          <w:cols w:equalWidth="0" w:num="1">
            <w:col w:w="11220"/>
          </w:cols>
          <w:pgMar w:left="240" w:top="455" w:right="4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Securities Authorized for Issuance under Equity Compensation Plans</w:t>
      </w:r>
    </w:p>
    <w:p>
      <w:pPr>
        <w:spacing w:after="0" w:line="104" w:lineRule="exact"/>
        <w:rPr>
          <w:sz w:val="20"/>
          <w:szCs w:val="20"/>
          <w:color w:val="auto"/>
        </w:rPr>
      </w:pPr>
    </w:p>
    <w:p>
      <w:pPr>
        <w:ind w:left="220" w:right="460"/>
        <w:spacing w:after="0" w:line="274" w:lineRule="auto"/>
        <w:rPr>
          <w:sz w:val="20"/>
          <w:szCs w:val="20"/>
          <w:color w:val="auto"/>
        </w:rPr>
      </w:pPr>
      <w:r>
        <w:rPr>
          <w:rFonts w:ascii="Arial" w:cs="Arial" w:eastAsia="Arial" w:hAnsi="Arial"/>
          <w:sz w:val="17"/>
          <w:szCs w:val="17"/>
          <w:color w:val="auto"/>
        </w:rPr>
        <w:t>The following table sets forth information about the securities authorized for issuance under the Company’s equity compensation plans 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128270</wp:posOffset>
            </wp:positionV>
            <wp:extent cx="6989445" cy="13874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89445" cy="1387475"/>
                    </a:xfrm>
                    <a:prstGeom prst="rect">
                      <a:avLst/>
                    </a:prstGeom>
                    <a:noFill/>
                  </pic:spPr>
                </pic:pic>
              </a:graphicData>
            </a:graphic>
          </wp:anchor>
        </w:drawing>
      </w:r>
    </w:p>
    <w:p>
      <w:pPr>
        <w:spacing w:after="0" w:line="167"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3720" w:type="dxa"/>
            <w:vAlign w:val="bottom"/>
            <w:shd w:val="clear" w:color="auto" w:fill="998C87"/>
          </w:tcPr>
          <w:p>
            <w:pPr>
              <w:spacing w:after="0"/>
              <w:rPr>
                <w:sz w:val="16"/>
                <w:szCs w:val="16"/>
                <w:color w:val="auto"/>
              </w:rPr>
            </w:pPr>
          </w:p>
        </w:tc>
        <w:tc>
          <w:tcPr>
            <w:tcW w:w="242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Number of Securities</w:t>
            </w:r>
          </w:p>
        </w:tc>
        <w:tc>
          <w:tcPr>
            <w:tcW w:w="320" w:type="dxa"/>
            <w:vAlign w:val="bottom"/>
            <w:shd w:val="clear" w:color="auto" w:fill="998C87"/>
          </w:tcPr>
          <w:p>
            <w:pPr>
              <w:spacing w:after="0"/>
              <w:rPr>
                <w:sz w:val="16"/>
                <w:szCs w:val="16"/>
                <w:color w:val="auto"/>
              </w:rPr>
            </w:pPr>
          </w:p>
        </w:tc>
        <w:tc>
          <w:tcPr>
            <w:tcW w:w="1660" w:type="dxa"/>
            <w:vAlign w:val="bottom"/>
            <w:shd w:val="clear" w:color="auto" w:fill="998C87"/>
          </w:tcPr>
          <w:p>
            <w:pPr>
              <w:spacing w:after="0"/>
              <w:rPr>
                <w:sz w:val="16"/>
                <w:szCs w:val="16"/>
                <w:color w:val="auto"/>
              </w:rPr>
            </w:pPr>
          </w:p>
        </w:tc>
        <w:tc>
          <w:tcPr>
            <w:tcW w:w="2880" w:type="dxa"/>
            <w:vAlign w:val="bottom"/>
            <w:shd w:val="clear" w:color="auto" w:fill="998C87"/>
          </w:tcPr>
          <w:p>
            <w:pPr>
              <w:jc w:val="center"/>
              <w:ind w:right="18"/>
              <w:spacing w:after="0"/>
              <w:rPr>
                <w:sz w:val="20"/>
                <w:szCs w:val="20"/>
                <w:color w:val="auto"/>
              </w:rPr>
            </w:pPr>
            <w:r>
              <w:rPr>
                <w:rFonts w:ascii="Arial" w:cs="Arial" w:eastAsia="Arial" w:hAnsi="Arial"/>
                <w:sz w:val="16"/>
                <w:szCs w:val="16"/>
                <w:b w:val="1"/>
                <w:bCs w:val="1"/>
                <w:color w:val="FFFFFF"/>
              </w:rPr>
              <w:t>Number of Securities</w:t>
            </w:r>
          </w:p>
        </w:tc>
      </w:tr>
      <w:tr>
        <w:trPr>
          <w:trHeight w:val="189"/>
        </w:trPr>
        <w:tc>
          <w:tcPr>
            <w:tcW w:w="3720" w:type="dxa"/>
            <w:vAlign w:val="bottom"/>
            <w:shd w:val="clear" w:color="auto" w:fill="998C87"/>
          </w:tcPr>
          <w:p>
            <w:pPr>
              <w:spacing w:after="0"/>
              <w:rPr>
                <w:sz w:val="16"/>
                <w:szCs w:val="16"/>
                <w:color w:val="auto"/>
              </w:rPr>
            </w:pPr>
          </w:p>
        </w:tc>
        <w:tc>
          <w:tcPr>
            <w:tcW w:w="242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to be Issued</w:t>
            </w:r>
          </w:p>
        </w:tc>
        <w:tc>
          <w:tcPr>
            <w:tcW w:w="1980" w:type="dxa"/>
            <w:vAlign w:val="bottom"/>
            <w:gridSpan w:val="2"/>
            <w:shd w:val="clear" w:color="auto" w:fill="998C87"/>
          </w:tcPr>
          <w:p>
            <w:pPr>
              <w:jc w:val="center"/>
              <w:ind w:right="77"/>
              <w:spacing w:after="0"/>
              <w:rPr>
                <w:sz w:val="20"/>
                <w:szCs w:val="20"/>
                <w:color w:val="auto"/>
              </w:rPr>
            </w:pPr>
            <w:r>
              <w:rPr>
                <w:rFonts w:ascii="Arial" w:cs="Arial" w:eastAsia="Arial" w:hAnsi="Arial"/>
                <w:sz w:val="16"/>
                <w:szCs w:val="16"/>
                <w:b w:val="1"/>
                <w:bCs w:val="1"/>
                <w:color w:val="FFFFFF"/>
              </w:rPr>
              <w:t>Weighted-Average</w:t>
            </w:r>
          </w:p>
        </w:tc>
        <w:tc>
          <w:tcPr>
            <w:tcW w:w="2880" w:type="dxa"/>
            <w:vAlign w:val="bottom"/>
            <w:shd w:val="clear" w:color="auto" w:fill="998C87"/>
          </w:tcPr>
          <w:p>
            <w:pPr>
              <w:jc w:val="center"/>
              <w:ind w:right="18"/>
              <w:spacing w:after="0"/>
              <w:rPr>
                <w:sz w:val="20"/>
                <w:szCs w:val="20"/>
                <w:color w:val="auto"/>
              </w:rPr>
            </w:pPr>
            <w:r>
              <w:rPr>
                <w:rFonts w:ascii="Arial" w:cs="Arial" w:eastAsia="Arial" w:hAnsi="Arial"/>
                <w:sz w:val="16"/>
                <w:szCs w:val="16"/>
                <w:b w:val="1"/>
                <w:bCs w:val="1"/>
                <w:color w:val="FFFFFF"/>
                <w:w w:val="99"/>
              </w:rPr>
              <w:t>Remaining Available for</w:t>
            </w:r>
          </w:p>
        </w:tc>
      </w:tr>
      <w:tr>
        <w:trPr>
          <w:trHeight w:val="189"/>
        </w:trPr>
        <w:tc>
          <w:tcPr>
            <w:tcW w:w="3720" w:type="dxa"/>
            <w:vAlign w:val="bottom"/>
            <w:shd w:val="clear" w:color="auto" w:fill="998C87"/>
          </w:tcPr>
          <w:p>
            <w:pPr>
              <w:spacing w:after="0"/>
              <w:rPr>
                <w:sz w:val="16"/>
                <w:szCs w:val="16"/>
                <w:color w:val="auto"/>
              </w:rPr>
            </w:pPr>
          </w:p>
        </w:tc>
        <w:tc>
          <w:tcPr>
            <w:tcW w:w="242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Upon Exercise of</w:t>
            </w:r>
          </w:p>
        </w:tc>
        <w:tc>
          <w:tcPr>
            <w:tcW w:w="1980" w:type="dxa"/>
            <w:vAlign w:val="bottom"/>
            <w:gridSpan w:val="2"/>
            <w:shd w:val="clear" w:color="auto" w:fill="998C87"/>
          </w:tcPr>
          <w:p>
            <w:pPr>
              <w:jc w:val="center"/>
              <w:ind w:right="77"/>
              <w:spacing w:after="0"/>
              <w:rPr>
                <w:sz w:val="20"/>
                <w:szCs w:val="20"/>
                <w:color w:val="auto"/>
              </w:rPr>
            </w:pPr>
            <w:r>
              <w:rPr>
                <w:rFonts w:ascii="Arial" w:cs="Arial" w:eastAsia="Arial" w:hAnsi="Arial"/>
                <w:sz w:val="16"/>
                <w:szCs w:val="16"/>
                <w:b w:val="1"/>
                <w:bCs w:val="1"/>
                <w:color w:val="FFFFFF"/>
              </w:rPr>
              <w:t>Exercise Price of</w:t>
            </w:r>
          </w:p>
        </w:tc>
        <w:tc>
          <w:tcPr>
            <w:tcW w:w="288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Future Issuance Under</w:t>
            </w:r>
          </w:p>
        </w:tc>
      </w:tr>
      <w:tr>
        <w:trPr>
          <w:trHeight w:val="189"/>
        </w:trPr>
        <w:tc>
          <w:tcPr>
            <w:tcW w:w="3720" w:type="dxa"/>
            <w:vAlign w:val="bottom"/>
            <w:shd w:val="clear" w:color="auto" w:fill="998C87"/>
          </w:tcPr>
          <w:p>
            <w:pPr>
              <w:spacing w:after="0"/>
              <w:rPr>
                <w:sz w:val="16"/>
                <w:szCs w:val="16"/>
                <w:color w:val="auto"/>
              </w:rPr>
            </w:pPr>
          </w:p>
        </w:tc>
        <w:tc>
          <w:tcPr>
            <w:tcW w:w="242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Outstanding</w:t>
            </w:r>
          </w:p>
        </w:tc>
        <w:tc>
          <w:tcPr>
            <w:tcW w:w="320" w:type="dxa"/>
            <w:vAlign w:val="bottom"/>
            <w:shd w:val="clear" w:color="auto" w:fill="998C87"/>
          </w:tcPr>
          <w:p>
            <w:pPr>
              <w:spacing w:after="0"/>
              <w:rPr>
                <w:sz w:val="16"/>
                <w:szCs w:val="16"/>
                <w:color w:val="auto"/>
              </w:rPr>
            </w:pPr>
          </w:p>
        </w:tc>
        <w:tc>
          <w:tcPr>
            <w:tcW w:w="1660" w:type="dxa"/>
            <w:vAlign w:val="bottom"/>
            <w:shd w:val="clear" w:color="auto" w:fill="998C87"/>
          </w:tcPr>
          <w:p>
            <w:pPr>
              <w:jc w:val="center"/>
              <w:ind w:right="417"/>
              <w:spacing w:after="0"/>
              <w:rPr>
                <w:sz w:val="20"/>
                <w:szCs w:val="20"/>
                <w:color w:val="auto"/>
              </w:rPr>
            </w:pPr>
            <w:r>
              <w:rPr>
                <w:rFonts w:ascii="Arial" w:cs="Arial" w:eastAsia="Arial" w:hAnsi="Arial"/>
                <w:sz w:val="16"/>
                <w:szCs w:val="16"/>
                <w:b w:val="1"/>
                <w:bCs w:val="1"/>
                <w:color w:val="FFFFFF"/>
              </w:rPr>
              <w:t>Outstanding</w:t>
            </w:r>
          </w:p>
        </w:tc>
        <w:tc>
          <w:tcPr>
            <w:tcW w:w="2880" w:type="dxa"/>
            <w:vAlign w:val="bottom"/>
            <w:shd w:val="clear" w:color="auto" w:fill="998C87"/>
          </w:tcPr>
          <w:p>
            <w:pPr>
              <w:jc w:val="center"/>
              <w:ind w:right="18"/>
              <w:spacing w:after="0"/>
              <w:rPr>
                <w:sz w:val="20"/>
                <w:szCs w:val="20"/>
                <w:color w:val="auto"/>
              </w:rPr>
            </w:pPr>
            <w:r>
              <w:rPr>
                <w:rFonts w:ascii="Arial" w:cs="Arial" w:eastAsia="Arial" w:hAnsi="Arial"/>
                <w:sz w:val="16"/>
                <w:szCs w:val="16"/>
                <w:b w:val="1"/>
                <w:bCs w:val="1"/>
                <w:color w:val="FFFFFF"/>
              </w:rPr>
              <w:t>Equity Compensation Plans</w:t>
            </w:r>
          </w:p>
        </w:tc>
      </w:tr>
      <w:tr>
        <w:trPr>
          <w:trHeight w:val="189"/>
        </w:trPr>
        <w:tc>
          <w:tcPr>
            <w:tcW w:w="3720" w:type="dxa"/>
            <w:vAlign w:val="bottom"/>
            <w:shd w:val="clear" w:color="auto" w:fill="998C87"/>
          </w:tcPr>
          <w:p>
            <w:pPr>
              <w:spacing w:after="0"/>
              <w:rPr>
                <w:sz w:val="16"/>
                <w:szCs w:val="16"/>
                <w:color w:val="auto"/>
              </w:rPr>
            </w:pPr>
          </w:p>
        </w:tc>
        <w:tc>
          <w:tcPr>
            <w:tcW w:w="242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w w:val="99"/>
              </w:rPr>
              <w:t>Options/SARs,</w:t>
            </w:r>
          </w:p>
        </w:tc>
        <w:tc>
          <w:tcPr>
            <w:tcW w:w="320" w:type="dxa"/>
            <w:vAlign w:val="bottom"/>
            <w:shd w:val="clear" w:color="auto" w:fill="998C87"/>
          </w:tcPr>
          <w:p>
            <w:pPr>
              <w:spacing w:after="0"/>
              <w:rPr>
                <w:sz w:val="16"/>
                <w:szCs w:val="16"/>
                <w:color w:val="auto"/>
              </w:rPr>
            </w:pPr>
          </w:p>
        </w:tc>
        <w:tc>
          <w:tcPr>
            <w:tcW w:w="1660" w:type="dxa"/>
            <w:vAlign w:val="bottom"/>
            <w:shd w:val="clear" w:color="auto" w:fill="998C87"/>
          </w:tcPr>
          <w:p>
            <w:pPr>
              <w:jc w:val="center"/>
              <w:ind w:right="397"/>
              <w:spacing w:after="0"/>
              <w:rPr>
                <w:sz w:val="20"/>
                <w:szCs w:val="20"/>
                <w:color w:val="auto"/>
              </w:rPr>
            </w:pPr>
            <w:r>
              <w:rPr>
                <w:rFonts w:ascii="Arial" w:cs="Arial" w:eastAsia="Arial" w:hAnsi="Arial"/>
                <w:sz w:val="16"/>
                <w:szCs w:val="16"/>
                <w:b w:val="1"/>
                <w:bCs w:val="1"/>
                <w:color w:val="FFFFFF"/>
              </w:rPr>
              <w:t>Options/SARs,</w:t>
            </w:r>
          </w:p>
        </w:tc>
        <w:tc>
          <w:tcPr>
            <w:tcW w:w="2880" w:type="dxa"/>
            <w:vAlign w:val="bottom"/>
            <w:shd w:val="clear" w:color="auto" w:fill="998C87"/>
          </w:tcPr>
          <w:p>
            <w:pPr>
              <w:jc w:val="center"/>
              <w:ind w:right="18"/>
              <w:spacing w:after="0"/>
              <w:rPr>
                <w:sz w:val="20"/>
                <w:szCs w:val="20"/>
                <w:color w:val="auto"/>
              </w:rPr>
            </w:pPr>
            <w:r>
              <w:rPr>
                <w:rFonts w:ascii="Arial" w:cs="Arial" w:eastAsia="Arial" w:hAnsi="Arial"/>
                <w:sz w:val="16"/>
                <w:szCs w:val="16"/>
                <w:b w:val="1"/>
                <w:bCs w:val="1"/>
                <w:color w:val="FFFFFF"/>
              </w:rPr>
              <w:t>(excluding securities</w:t>
            </w:r>
          </w:p>
        </w:tc>
      </w:tr>
      <w:tr>
        <w:trPr>
          <w:trHeight w:val="236"/>
        </w:trPr>
        <w:tc>
          <w:tcPr>
            <w:tcW w:w="3720" w:type="dxa"/>
            <w:vAlign w:val="bottom"/>
            <w:shd w:val="clear" w:color="auto" w:fill="998C87"/>
          </w:tcPr>
          <w:p>
            <w:pPr>
              <w:ind w:left="220"/>
              <w:spacing w:after="0"/>
              <w:rPr>
                <w:sz w:val="20"/>
                <w:szCs w:val="20"/>
                <w:color w:val="auto"/>
              </w:rPr>
            </w:pPr>
            <w:r>
              <w:rPr>
                <w:rFonts w:ascii="Arial" w:cs="Arial" w:eastAsia="Arial" w:hAnsi="Arial"/>
                <w:sz w:val="16"/>
                <w:szCs w:val="16"/>
                <w:b w:val="1"/>
                <w:bCs w:val="1"/>
                <w:color w:val="FFFFFF"/>
              </w:rPr>
              <w:t>Plan Category</w:t>
            </w:r>
          </w:p>
        </w:tc>
        <w:tc>
          <w:tcPr>
            <w:tcW w:w="242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w w:val="99"/>
              </w:rPr>
              <w:t>Warrants and Rights</w:t>
            </w:r>
          </w:p>
        </w:tc>
        <w:tc>
          <w:tcPr>
            <w:tcW w:w="1980" w:type="dxa"/>
            <w:vAlign w:val="bottom"/>
            <w:gridSpan w:val="2"/>
            <w:shd w:val="clear" w:color="auto" w:fill="998C87"/>
          </w:tcPr>
          <w:p>
            <w:pPr>
              <w:jc w:val="center"/>
              <w:ind w:right="77"/>
              <w:spacing w:after="0"/>
              <w:rPr>
                <w:sz w:val="20"/>
                <w:szCs w:val="20"/>
                <w:color w:val="auto"/>
              </w:rPr>
            </w:pPr>
            <w:r>
              <w:rPr>
                <w:rFonts w:ascii="Arial" w:cs="Arial" w:eastAsia="Arial" w:hAnsi="Arial"/>
                <w:sz w:val="16"/>
                <w:szCs w:val="16"/>
                <w:b w:val="1"/>
                <w:bCs w:val="1"/>
                <w:color w:val="FFFFFF"/>
              </w:rPr>
              <w:t>Warrants and Rights</w:t>
            </w:r>
          </w:p>
        </w:tc>
        <w:tc>
          <w:tcPr>
            <w:tcW w:w="2880" w:type="dxa"/>
            <w:vAlign w:val="bottom"/>
            <w:shd w:val="clear" w:color="auto" w:fill="998C87"/>
          </w:tcPr>
          <w:p>
            <w:pPr>
              <w:jc w:val="center"/>
              <w:ind w:right="18"/>
              <w:spacing w:after="0"/>
              <w:rPr>
                <w:sz w:val="20"/>
                <w:szCs w:val="20"/>
                <w:color w:val="auto"/>
              </w:rPr>
            </w:pPr>
            <w:r>
              <w:rPr>
                <w:rFonts w:ascii="Arial" w:cs="Arial" w:eastAsia="Arial" w:hAnsi="Arial"/>
                <w:sz w:val="16"/>
                <w:szCs w:val="16"/>
                <w:b w:val="1"/>
                <w:bCs w:val="1"/>
                <w:color w:val="FFFFFF"/>
              </w:rPr>
              <w:t>reflected in the first column)</w:t>
            </w:r>
          </w:p>
        </w:tc>
      </w:tr>
      <w:tr>
        <w:trPr>
          <w:trHeight w:val="161"/>
        </w:trPr>
        <w:tc>
          <w:tcPr>
            <w:tcW w:w="3720" w:type="dxa"/>
            <w:vAlign w:val="bottom"/>
            <w:shd w:val="clear" w:color="auto" w:fill="F4F3F3"/>
          </w:tcPr>
          <w:p>
            <w:pPr>
              <w:ind w:left="220"/>
              <w:spacing w:after="0" w:line="161" w:lineRule="exact"/>
              <w:rPr>
                <w:sz w:val="20"/>
                <w:szCs w:val="20"/>
                <w:color w:val="auto"/>
              </w:rPr>
            </w:pPr>
            <w:r>
              <w:rPr>
                <w:rFonts w:ascii="Arial" w:cs="Arial" w:eastAsia="Arial" w:hAnsi="Arial"/>
                <w:sz w:val="17"/>
                <w:szCs w:val="17"/>
                <w:color w:val="auto"/>
              </w:rPr>
              <w:t>Equity compensation plans approved by</w:t>
            </w:r>
          </w:p>
        </w:tc>
        <w:tc>
          <w:tcPr>
            <w:tcW w:w="2420" w:type="dxa"/>
            <w:vAlign w:val="bottom"/>
            <w:shd w:val="clear" w:color="auto" w:fill="F4F3F3"/>
          </w:tcPr>
          <w:p>
            <w:pPr>
              <w:spacing w:after="0"/>
              <w:rPr>
                <w:sz w:val="13"/>
                <w:szCs w:val="13"/>
                <w:color w:val="auto"/>
              </w:rPr>
            </w:pPr>
          </w:p>
        </w:tc>
        <w:tc>
          <w:tcPr>
            <w:tcW w:w="320" w:type="dxa"/>
            <w:vAlign w:val="bottom"/>
            <w:shd w:val="clear" w:color="auto" w:fill="F4F3F3"/>
          </w:tcPr>
          <w:p>
            <w:pPr>
              <w:spacing w:after="0"/>
              <w:rPr>
                <w:sz w:val="13"/>
                <w:szCs w:val="13"/>
                <w:color w:val="auto"/>
              </w:rPr>
            </w:pPr>
          </w:p>
        </w:tc>
        <w:tc>
          <w:tcPr>
            <w:tcW w:w="1660" w:type="dxa"/>
            <w:vAlign w:val="bottom"/>
            <w:shd w:val="clear" w:color="auto" w:fill="F4F3F3"/>
          </w:tcPr>
          <w:p>
            <w:pPr>
              <w:spacing w:after="0"/>
              <w:rPr>
                <w:sz w:val="13"/>
                <w:szCs w:val="13"/>
                <w:color w:val="auto"/>
              </w:rPr>
            </w:pPr>
          </w:p>
        </w:tc>
        <w:tc>
          <w:tcPr>
            <w:tcW w:w="2880" w:type="dxa"/>
            <w:vAlign w:val="bottom"/>
            <w:shd w:val="clear" w:color="auto" w:fill="F4F3F3"/>
          </w:tcPr>
          <w:p>
            <w:pPr>
              <w:spacing w:after="0"/>
              <w:rPr>
                <w:sz w:val="13"/>
                <w:szCs w:val="13"/>
                <w:color w:val="auto"/>
              </w:rPr>
            </w:pPr>
          </w:p>
        </w:tc>
      </w:tr>
      <w:tr>
        <w:trPr>
          <w:trHeight w:val="231"/>
        </w:trPr>
        <w:tc>
          <w:tcPr>
            <w:tcW w:w="3720" w:type="dxa"/>
            <w:vAlign w:val="bottom"/>
            <w:shd w:val="clear" w:color="auto" w:fill="F4F3F3"/>
          </w:tcPr>
          <w:p>
            <w:pPr>
              <w:ind w:left="340"/>
              <w:spacing w:after="0"/>
              <w:rPr>
                <w:sz w:val="20"/>
                <w:szCs w:val="20"/>
                <w:color w:val="auto"/>
              </w:rPr>
            </w:pPr>
            <w:r>
              <w:rPr>
                <w:rFonts w:ascii="Arial" w:cs="Arial" w:eastAsia="Arial" w:hAnsi="Arial"/>
                <w:sz w:val="17"/>
                <w:szCs w:val="17"/>
                <w:color w:val="auto"/>
              </w:rPr>
              <w:t>stockholders</w:t>
            </w:r>
          </w:p>
        </w:tc>
        <w:tc>
          <w:tcPr>
            <w:tcW w:w="2420" w:type="dxa"/>
            <w:vAlign w:val="bottom"/>
            <w:shd w:val="clear" w:color="auto" w:fill="F4F3F3"/>
          </w:tcPr>
          <w:p>
            <w:pPr>
              <w:jc w:val="right"/>
              <w:ind w:right="38"/>
              <w:spacing w:after="0"/>
              <w:rPr>
                <w:sz w:val="20"/>
                <w:szCs w:val="20"/>
                <w:color w:val="auto"/>
              </w:rPr>
            </w:pPr>
            <w:r>
              <w:rPr>
                <w:rFonts w:ascii="Arial" w:cs="Arial" w:eastAsia="Arial" w:hAnsi="Arial"/>
                <w:sz w:val="17"/>
                <w:szCs w:val="17"/>
                <w:color w:val="auto"/>
              </w:rPr>
              <w:t>9,619,066(1)</w:t>
            </w:r>
          </w:p>
        </w:tc>
        <w:tc>
          <w:tcPr>
            <w:tcW w:w="320" w:type="dxa"/>
            <w:vAlign w:val="bottom"/>
            <w:shd w:val="clear" w:color="auto" w:fill="F4F3F3"/>
          </w:tcPr>
          <w:p>
            <w:pPr>
              <w:jc w:val="right"/>
              <w:spacing w:after="0"/>
              <w:rPr>
                <w:sz w:val="20"/>
                <w:szCs w:val="20"/>
                <w:color w:val="auto"/>
              </w:rPr>
            </w:pPr>
            <w:r>
              <w:rPr>
                <w:rFonts w:ascii="Arial" w:cs="Arial" w:eastAsia="Arial" w:hAnsi="Arial"/>
                <w:sz w:val="17"/>
                <w:szCs w:val="17"/>
                <w:color w:val="auto"/>
              </w:rPr>
              <w:t>$</w:t>
            </w:r>
          </w:p>
        </w:tc>
        <w:tc>
          <w:tcPr>
            <w:tcW w:w="1660" w:type="dxa"/>
            <w:vAlign w:val="bottom"/>
            <w:shd w:val="clear" w:color="auto" w:fill="F4F3F3"/>
          </w:tcPr>
          <w:p>
            <w:pPr>
              <w:jc w:val="right"/>
              <w:ind w:right="297"/>
              <w:spacing w:after="0"/>
              <w:rPr>
                <w:sz w:val="20"/>
                <w:szCs w:val="20"/>
                <w:color w:val="auto"/>
              </w:rPr>
            </w:pPr>
            <w:r>
              <w:rPr>
                <w:rFonts w:ascii="Arial" w:cs="Arial" w:eastAsia="Arial" w:hAnsi="Arial"/>
                <w:sz w:val="17"/>
                <w:szCs w:val="17"/>
                <w:color w:val="auto"/>
              </w:rPr>
              <w:t>37.03</w:t>
            </w:r>
          </w:p>
        </w:tc>
        <w:tc>
          <w:tcPr>
            <w:tcW w:w="2880" w:type="dxa"/>
            <w:vAlign w:val="bottom"/>
            <w:shd w:val="clear" w:color="auto" w:fill="F4F3F3"/>
          </w:tcPr>
          <w:p>
            <w:pPr>
              <w:jc w:val="right"/>
              <w:spacing w:after="0"/>
              <w:rPr>
                <w:sz w:val="20"/>
                <w:szCs w:val="20"/>
                <w:color w:val="auto"/>
              </w:rPr>
            </w:pPr>
            <w:r>
              <w:rPr>
                <w:rFonts w:ascii="Arial" w:cs="Arial" w:eastAsia="Arial" w:hAnsi="Arial"/>
                <w:sz w:val="17"/>
                <w:szCs w:val="17"/>
                <w:color w:val="auto"/>
              </w:rPr>
              <w:t>21,172,745(2)</w:t>
            </w:r>
          </w:p>
        </w:tc>
      </w:tr>
      <w:tr>
        <w:trPr>
          <w:trHeight w:val="174"/>
        </w:trPr>
        <w:tc>
          <w:tcPr>
            <w:tcW w:w="3720" w:type="dxa"/>
            <w:vAlign w:val="bottom"/>
            <w:shd w:val="clear" w:color="auto" w:fill="F4F3F3"/>
          </w:tcPr>
          <w:p>
            <w:pPr>
              <w:ind w:left="220"/>
              <w:spacing w:after="0" w:line="174" w:lineRule="exact"/>
              <w:rPr>
                <w:sz w:val="20"/>
                <w:szCs w:val="20"/>
                <w:color w:val="auto"/>
              </w:rPr>
            </w:pPr>
            <w:r>
              <w:rPr>
                <w:rFonts w:ascii="Arial" w:cs="Arial" w:eastAsia="Arial" w:hAnsi="Arial"/>
                <w:sz w:val="17"/>
                <w:szCs w:val="17"/>
                <w:color w:val="auto"/>
              </w:rPr>
              <w:t>Equity compensation plans not approved by</w:t>
            </w:r>
          </w:p>
        </w:tc>
        <w:tc>
          <w:tcPr>
            <w:tcW w:w="2420" w:type="dxa"/>
            <w:vAlign w:val="bottom"/>
            <w:shd w:val="clear" w:color="auto" w:fill="F4F3F3"/>
          </w:tcPr>
          <w:p>
            <w:pPr>
              <w:spacing w:after="0"/>
              <w:rPr>
                <w:sz w:val="15"/>
                <w:szCs w:val="15"/>
                <w:color w:val="auto"/>
              </w:rPr>
            </w:pPr>
          </w:p>
        </w:tc>
        <w:tc>
          <w:tcPr>
            <w:tcW w:w="320" w:type="dxa"/>
            <w:vAlign w:val="bottom"/>
            <w:shd w:val="clear" w:color="auto" w:fill="F4F3F3"/>
          </w:tcPr>
          <w:p>
            <w:pPr>
              <w:spacing w:after="0"/>
              <w:rPr>
                <w:sz w:val="15"/>
                <w:szCs w:val="15"/>
                <w:color w:val="auto"/>
              </w:rPr>
            </w:pPr>
          </w:p>
        </w:tc>
        <w:tc>
          <w:tcPr>
            <w:tcW w:w="1660" w:type="dxa"/>
            <w:vAlign w:val="bottom"/>
            <w:shd w:val="clear" w:color="auto" w:fill="F4F3F3"/>
          </w:tcPr>
          <w:p>
            <w:pPr>
              <w:spacing w:after="0"/>
              <w:rPr>
                <w:sz w:val="15"/>
                <w:szCs w:val="15"/>
                <w:color w:val="auto"/>
              </w:rPr>
            </w:pPr>
          </w:p>
        </w:tc>
        <w:tc>
          <w:tcPr>
            <w:tcW w:w="2880" w:type="dxa"/>
            <w:vAlign w:val="bottom"/>
            <w:shd w:val="clear" w:color="auto" w:fill="F4F3F3"/>
          </w:tcPr>
          <w:p>
            <w:pPr>
              <w:spacing w:after="0"/>
              <w:rPr>
                <w:sz w:val="15"/>
                <w:szCs w:val="15"/>
                <w:color w:val="auto"/>
              </w:rPr>
            </w:pPr>
          </w:p>
        </w:tc>
      </w:tr>
      <w:tr>
        <w:trPr>
          <w:trHeight w:val="224"/>
        </w:trPr>
        <w:tc>
          <w:tcPr>
            <w:tcW w:w="3720" w:type="dxa"/>
            <w:vAlign w:val="bottom"/>
            <w:tcBorders>
              <w:bottom w:val="single" w:sz="8" w:color="F4F3F3"/>
            </w:tcBorders>
            <w:shd w:val="clear" w:color="auto" w:fill="F4F3F3"/>
          </w:tcPr>
          <w:p>
            <w:pPr>
              <w:ind w:left="340"/>
              <w:spacing w:after="0"/>
              <w:rPr>
                <w:sz w:val="20"/>
                <w:szCs w:val="20"/>
                <w:color w:val="auto"/>
              </w:rPr>
            </w:pPr>
            <w:r>
              <w:rPr>
                <w:rFonts w:ascii="Arial" w:cs="Arial" w:eastAsia="Arial" w:hAnsi="Arial"/>
                <w:sz w:val="17"/>
                <w:szCs w:val="17"/>
                <w:color w:val="auto"/>
              </w:rPr>
              <w:t>stockholders(3)</w:t>
            </w:r>
          </w:p>
        </w:tc>
        <w:tc>
          <w:tcPr>
            <w:tcW w:w="2420" w:type="dxa"/>
            <w:vAlign w:val="bottom"/>
            <w:tcBorders>
              <w:bottom w:val="single" w:sz="8" w:color="998C87"/>
            </w:tcBorders>
            <w:shd w:val="clear" w:color="auto" w:fill="F4F3F3"/>
          </w:tcPr>
          <w:p>
            <w:pPr>
              <w:jc w:val="right"/>
              <w:ind w:right="258"/>
              <w:spacing w:after="0"/>
              <w:rPr>
                <w:sz w:val="20"/>
                <w:szCs w:val="20"/>
                <w:color w:val="auto"/>
              </w:rPr>
            </w:pPr>
            <w:r>
              <w:rPr>
                <w:rFonts w:ascii="Arial" w:cs="Arial" w:eastAsia="Arial" w:hAnsi="Arial"/>
                <w:sz w:val="17"/>
                <w:szCs w:val="17"/>
                <w:color w:val="auto"/>
              </w:rPr>
              <w:t>454,357</w:t>
            </w:r>
          </w:p>
        </w:tc>
        <w:tc>
          <w:tcPr>
            <w:tcW w:w="320" w:type="dxa"/>
            <w:vAlign w:val="bottom"/>
            <w:tcBorders>
              <w:bottom w:val="single" w:sz="8" w:color="998C87"/>
            </w:tcBorders>
            <w:shd w:val="clear" w:color="auto" w:fill="F4F3F3"/>
          </w:tcPr>
          <w:p>
            <w:pPr>
              <w:spacing w:after="0"/>
              <w:rPr>
                <w:sz w:val="19"/>
                <w:szCs w:val="19"/>
                <w:color w:val="auto"/>
              </w:rPr>
            </w:pPr>
          </w:p>
        </w:tc>
        <w:tc>
          <w:tcPr>
            <w:tcW w:w="1660" w:type="dxa"/>
            <w:vAlign w:val="bottom"/>
            <w:tcBorders>
              <w:bottom w:val="single" w:sz="8" w:color="998C87"/>
            </w:tcBorders>
            <w:shd w:val="clear" w:color="auto" w:fill="F4F3F3"/>
          </w:tcPr>
          <w:p>
            <w:pPr>
              <w:jc w:val="right"/>
              <w:ind w:right="377"/>
              <w:spacing w:after="0"/>
              <w:rPr>
                <w:sz w:val="20"/>
                <w:szCs w:val="20"/>
                <w:color w:val="auto"/>
              </w:rPr>
            </w:pPr>
            <w:r>
              <w:rPr>
                <w:rFonts w:ascii="Arial" w:cs="Arial" w:eastAsia="Arial" w:hAnsi="Arial"/>
                <w:sz w:val="17"/>
                <w:szCs w:val="17"/>
                <w:color w:val="auto"/>
              </w:rPr>
              <w:t>—</w:t>
            </w:r>
          </w:p>
        </w:tc>
        <w:tc>
          <w:tcPr>
            <w:tcW w:w="2880" w:type="dxa"/>
            <w:vAlign w:val="bottom"/>
            <w:tcBorders>
              <w:bottom w:val="single" w:sz="8" w:color="998C87"/>
            </w:tcBorders>
            <w:shd w:val="clear" w:color="auto" w:fill="F4F3F3"/>
          </w:tcPr>
          <w:p>
            <w:pPr>
              <w:jc w:val="right"/>
              <w:ind w:right="198"/>
              <w:spacing w:after="0"/>
              <w:rPr>
                <w:sz w:val="20"/>
                <w:szCs w:val="20"/>
                <w:color w:val="auto"/>
              </w:rPr>
            </w:pPr>
            <w:r>
              <w:rPr>
                <w:rFonts w:ascii="Arial" w:cs="Arial" w:eastAsia="Arial" w:hAnsi="Arial"/>
                <w:sz w:val="17"/>
                <w:szCs w:val="17"/>
                <w:color w:val="auto"/>
              </w:rPr>
              <w:t>11,271,366</w:t>
            </w:r>
          </w:p>
        </w:tc>
      </w:tr>
      <w:tr>
        <w:trPr>
          <w:trHeight w:val="196"/>
        </w:trPr>
        <w:tc>
          <w:tcPr>
            <w:tcW w:w="3720" w:type="dxa"/>
            <w:vAlign w:val="bottom"/>
            <w:tcBorders>
              <w:bottom w:val="single" w:sz="8" w:color="F4F3F3"/>
            </w:tcBorders>
            <w:shd w:val="clear" w:color="auto" w:fill="F4F3F3"/>
          </w:tcPr>
          <w:p>
            <w:pPr>
              <w:ind w:left="220"/>
              <w:spacing w:after="0" w:line="189" w:lineRule="exact"/>
              <w:rPr>
                <w:sz w:val="20"/>
                <w:szCs w:val="20"/>
                <w:color w:val="auto"/>
              </w:rPr>
            </w:pPr>
            <w:r>
              <w:rPr>
                <w:rFonts w:ascii="Arial" w:cs="Arial" w:eastAsia="Arial" w:hAnsi="Arial"/>
                <w:sz w:val="17"/>
                <w:szCs w:val="17"/>
                <w:color w:val="auto"/>
              </w:rPr>
              <w:t>Total</w:t>
            </w:r>
          </w:p>
        </w:tc>
        <w:tc>
          <w:tcPr>
            <w:tcW w:w="2420" w:type="dxa"/>
            <w:vAlign w:val="bottom"/>
            <w:tcBorders>
              <w:bottom w:val="single" w:sz="8" w:color="998C87"/>
            </w:tcBorders>
            <w:shd w:val="clear" w:color="auto" w:fill="F4F3F3"/>
          </w:tcPr>
          <w:p>
            <w:pPr>
              <w:jc w:val="right"/>
              <w:ind w:right="258"/>
              <w:spacing w:after="0" w:line="189" w:lineRule="exact"/>
              <w:rPr>
                <w:sz w:val="20"/>
                <w:szCs w:val="20"/>
                <w:color w:val="auto"/>
              </w:rPr>
            </w:pPr>
            <w:r>
              <w:rPr>
                <w:rFonts w:ascii="Arial" w:cs="Arial" w:eastAsia="Arial" w:hAnsi="Arial"/>
                <w:sz w:val="17"/>
                <w:szCs w:val="17"/>
                <w:color w:val="auto"/>
              </w:rPr>
              <w:t>10,073,423</w:t>
            </w:r>
          </w:p>
        </w:tc>
        <w:tc>
          <w:tcPr>
            <w:tcW w:w="320" w:type="dxa"/>
            <w:vAlign w:val="bottom"/>
            <w:tcBorders>
              <w:bottom w:val="single" w:sz="8" w:color="998C87"/>
            </w:tcBorders>
            <w:shd w:val="clear" w:color="auto" w:fill="F4F3F3"/>
          </w:tcPr>
          <w:p>
            <w:pPr>
              <w:spacing w:after="0"/>
              <w:rPr>
                <w:sz w:val="17"/>
                <w:szCs w:val="17"/>
                <w:color w:val="auto"/>
              </w:rPr>
            </w:pPr>
          </w:p>
        </w:tc>
        <w:tc>
          <w:tcPr>
            <w:tcW w:w="1660" w:type="dxa"/>
            <w:vAlign w:val="bottom"/>
            <w:tcBorders>
              <w:bottom w:val="single" w:sz="8" w:color="998C87"/>
            </w:tcBorders>
            <w:shd w:val="clear" w:color="auto" w:fill="F4F3F3"/>
          </w:tcPr>
          <w:p>
            <w:pPr>
              <w:spacing w:after="0"/>
              <w:rPr>
                <w:sz w:val="17"/>
                <w:szCs w:val="17"/>
                <w:color w:val="auto"/>
              </w:rPr>
            </w:pPr>
          </w:p>
        </w:tc>
        <w:tc>
          <w:tcPr>
            <w:tcW w:w="2880" w:type="dxa"/>
            <w:vAlign w:val="bottom"/>
            <w:tcBorders>
              <w:bottom w:val="single" w:sz="8" w:color="998C87"/>
            </w:tcBorders>
            <w:shd w:val="clear" w:color="auto" w:fill="F4F3F3"/>
          </w:tcPr>
          <w:p>
            <w:pPr>
              <w:jc w:val="right"/>
              <w:ind w:right="198"/>
              <w:spacing w:after="0" w:line="189" w:lineRule="exact"/>
              <w:rPr>
                <w:sz w:val="20"/>
                <w:szCs w:val="20"/>
                <w:color w:val="auto"/>
              </w:rPr>
            </w:pPr>
            <w:r>
              <w:rPr>
                <w:rFonts w:ascii="Arial" w:cs="Arial" w:eastAsia="Arial" w:hAnsi="Arial"/>
                <w:sz w:val="17"/>
                <w:szCs w:val="17"/>
                <w:color w:val="auto"/>
              </w:rPr>
              <w:t>32,444,111</w:t>
            </w:r>
          </w:p>
        </w:tc>
      </w:tr>
    </w:tbl>
    <w:p>
      <w:pPr>
        <w:spacing w:after="0" w:line="108" w:lineRule="exact"/>
        <w:rPr>
          <w:sz w:val="20"/>
          <w:szCs w:val="20"/>
          <w:color w:val="auto"/>
        </w:rPr>
      </w:pPr>
    </w:p>
    <w:p>
      <w:pPr>
        <w:ind w:left="420" w:right="360" w:hanging="210"/>
        <w:spacing w:after="0" w:line="187" w:lineRule="auto"/>
        <w:tabs>
          <w:tab w:leader="none" w:pos="420" w:val="left"/>
        </w:tabs>
        <w:numPr>
          <w:ilvl w:val="0"/>
          <w:numId w:val="126"/>
        </w:numPr>
        <w:rPr>
          <w:rFonts w:ascii="Arial" w:cs="Arial" w:eastAsia="Arial" w:hAnsi="Arial"/>
          <w:sz w:val="24"/>
          <w:szCs w:val="24"/>
          <w:color w:val="333333"/>
          <w:vertAlign w:val="superscript"/>
        </w:rPr>
      </w:pPr>
      <w:r>
        <w:rPr>
          <w:rFonts w:ascii="Arial" w:cs="Arial" w:eastAsia="Arial" w:hAnsi="Arial"/>
          <w:sz w:val="14"/>
          <w:szCs w:val="14"/>
          <w:color w:val="333333"/>
        </w:rPr>
        <w:t>Includes 6,041,218 shares subject to outstanding PSU, RSU, and deferred stock bonus awards, as well as DS awards to directors under the Stock Plan, that are not included in the calculation of the Weighted-Average Exercise Price column. Includes 1,002,955 shares issuable at target under outstanding PSUs.</w:t>
      </w:r>
    </w:p>
    <w:p>
      <w:pPr>
        <w:spacing w:after="0" w:line="1" w:lineRule="exact"/>
        <w:rPr>
          <w:rFonts w:ascii="Arial" w:cs="Arial" w:eastAsia="Arial" w:hAnsi="Arial"/>
          <w:sz w:val="24"/>
          <w:szCs w:val="24"/>
          <w:color w:val="333333"/>
          <w:vertAlign w:val="superscript"/>
        </w:rPr>
      </w:pPr>
    </w:p>
    <w:p>
      <w:pPr>
        <w:ind w:left="420" w:hanging="210"/>
        <w:spacing w:after="0" w:line="187" w:lineRule="auto"/>
        <w:tabs>
          <w:tab w:leader="none" w:pos="420" w:val="left"/>
        </w:tabs>
        <w:numPr>
          <w:ilvl w:val="0"/>
          <w:numId w:val="126"/>
        </w:numPr>
        <w:rPr>
          <w:rFonts w:ascii="Arial" w:cs="Arial" w:eastAsia="Arial" w:hAnsi="Arial"/>
          <w:sz w:val="18"/>
          <w:szCs w:val="18"/>
          <w:color w:val="333333"/>
          <w:vertAlign w:val="superscript"/>
        </w:rPr>
      </w:pPr>
      <w:r>
        <w:rPr>
          <w:rFonts w:ascii="Arial" w:cs="Arial" w:eastAsia="Arial" w:hAnsi="Arial"/>
          <w:sz w:val="11"/>
          <w:szCs w:val="11"/>
          <w:color w:val="333333"/>
        </w:rPr>
        <w:t>Consists of 10,963,011 securities available for issuance under the Stock Plan and 10,209,734 securities available for issuance under the Employee Stock Purchase Plan.</w:t>
      </w:r>
    </w:p>
    <w:p>
      <w:pPr>
        <w:ind w:left="420" w:right="180" w:hanging="210"/>
        <w:spacing w:after="0" w:line="200" w:lineRule="auto"/>
        <w:tabs>
          <w:tab w:leader="none" w:pos="420" w:val="left"/>
        </w:tabs>
        <w:numPr>
          <w:ilvl w:val="0"/>
          <w:numId w:val="126"/>
        </w:numPr>
        <w:rPr>
          <w:rFonts w:ascii="Arial" w:cs="Arial" w:eastAsia="Arial" w:hAnsi="Arial"/>
          <w:sz w:val="24"/>
          <w:szCs w:val="24"/>
          <w:color w:val="333333"/>
          <w:vertAlign w:val="superscript"/>
        </w:rPr>
      </w:pPr>
      <w:r>
        <w:rPr>
          <w:rFonts w:ascii="Arial" w:cs="Arial" w:eastAsia="Arial" w:hAnsi="Arial"/>
          <w:sz w:val="14"/>
          <w:szCs w:val="14"/>
          <w:color w:val="333333"/>
        </w:rPr>
        <w:t>Represents shares subject to outstanding restricted stock, RSU, and deferred stock awards and shares remaining available for future issuance under the Starwood Hotels &amp; Resorts Worldwide 2013 Long-Term Incentive Compensation Plan. Does not include 67,706 shares subject to options/SARs with a weighted average exercise price of $43.95 and 41,109 shares subject to other equity awards, all of which were assumed in acquisitions.</w:t>
      </w:r>
    </w:p>
    <w:p>
      <w:pPr>
        <w:spacing w:after="0" w:line="170" w:lineRule="exact"/>
        <w:rPr>
          <w:sz w:val="20"/>
          <w:szCs w:val="20"/>
          <w:color w:val="auto"/>
        </w:rPr>
      </w:pPr>
    </w:p>
    <w:p>
      <w:pPr>
        <w:ind w:left="220" w:right="140"/>
        <w:spacing w:after="0"/>
        <w:rPr>
          <w:sz w:val="20"/>
          <w:szCs w:val="20"/>
          <w:color w:val="auto"/>
        </w:rPr>
      </w:pPr>
      <w:r>
        <w:rPr>
          <w:rFonts w:ascii="Arial" w:cs="Arial" w:eastAsia="Arial" w:hAnsi="Arial"/>
          <w:sz w:val="17"/>
          <w:szCs w:val="17"/>
          <w:color w:val="auto"/>
        </w:rPr>
        <w:t>The Company assumed the Starwood Hotels &amp; Resorts Worldwide 2013 Long-Term Incentive Compensation Plan (the “Starwood LTIP”) in connection with the acquisition of Starwood. The Starwood LTIP authorizes the award of stock options, SARs, restricted stock, RSUs, PSUs and other equity-based or equity-related awards to employees and consultants, except that awards cannot be granted to any person who was an employee of the Company or its subsidiaries at the time of the acquisition. The Starwood LTIP is administered by the Compensation Policy Committee of the Company’s Board, which may delegate to one or more executive officers or directors the authority to grant awards under the plan.</w:t>
      </w:r>
    </w:p>
    <w:p>
      <w:pPr>
        <w:spacing w:after="0" w:line="113" w:lineRule="exact"/>
        <w:rPr>
          <w:sz w:val="20"/>
          <w:szCs w:val="20"/>
          <w:color w:val="auto"/>
        </w:rPr>
      </w:pPr>
    </w:p>
    <w:p>
      <w:pPr>
        <w:ind w:left="540" w:hanging="330"/>
        <w:spacing w:after="0"/>
        <w:tabs>
          <w:tab w:leader="none" w:pos="540" w:val="left"/>
        </w:tabs>
        <w:numPr>
          <w:ilvl w:val="0"/>
          <w:numId w:val="127"/>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20"/>
          </w:cols>
          <w:pgMar w:left="240" w:top="455" w:right="4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ind w:left="10060"/>
        <w:spacing w:after="0"/>
        <w:rPr>
          <w:sz w:val="20"/>
          <w:szCs w:val="20"/>
          <w:color w:val="auto"/>
        </w:rPr>
      </w:pPr>
      <w:r>
        <w:rPr>
          <w:rFonts w:ascii="Arial" w:cs="Arial" w:eastAsia="Arial" w:hAnsi="Arial"/>
          <w:sz w:val="15"/>
          <w:szCs w:val="15"/>
          <w:color w:val="7F7F7F"/>
        </w:rPr>
        <w:t>Stock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25"/>
          <w:szCs w:val="25"/>
          <w:color w:val="998C87"/>
        </w:rPr>
        <w:t>STOCK OWNERSHIP</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Stock Ownership of our Directors, Executive Officers and Certain Beneficial Owners</w:t>
      </w:r>
    </w:p>
    <w:p>
      <w:pPr>
        <w:spacing w:after="0" w:line="104" w:lineRule="exact"/>
        <w:rPr>
          <w:sz w:val="20"/>
          <w:szCs w:val="20"/>
          <w:color w:val="auto"/>
        </w:rPr>
      </w:pPr>
    </w:p>
    <w:p>
      <w:pPr>
        <w:ind w:left="220" w:right="120"/>
        <w:spacing w:after="0" w:line="242" w:lineRule="auto"/>
        <w:rPr>
          <w:sz w:val="20"/>
          <w:szCs w:val="20"/>
          <w:color w:val="auto"/>
        </w:rPr>
      </w:pPr>
      <w:r>
        <w:rPr>
          <w:rFonts w:ascii="Arial" w:cs="Arial" w:eastAsia="Arial" w:hAnsi="Arial"/>
          <w:sz w:val="17"/>
          <w:szCs w:val="17"/>
          <w:color w:val="auto"/>
        </w:rPr>
        <w:t>The table below sets forth the beneficial ownership of Class A common stock by our directors, director nominees and executive officers as of January 31, 2018 (unless otherwise noted), as well as additional information about beneficial owners of more than five percent of the Company’s Class A common stock. Ownership consists of sole voting and sole investment power, except as indicated in the notes below, and except for shares registered in the name of children sharing the same household or subject to any community property laws. Unless otherwise noted, the address for all greater than five percent beneficial owners is Marriott International, Inc., 10400 Fernwood Road, Bethesda, Maryland 20817.</w:t>
      </w:r>
    </w:p>
    <w:p>
      <w:pPr>
        <w:spacing w:after="0" w:line="67" w:lineRule="exact"/>
        <w:rPr>
          <w:sz w:val="20"/>
          <w:szCs w:val="20"/>
          <w:color w:val="auto"/>
        </w:rPr>
      </w:pPr>
    </w:p>
    <w:p>
      <w:pPr>
        <w:ind w:left="220" w:right="20"/>
        <w:spacing w:after="0" w:line="239" w:lineRule="auto"/>
        <w:rPr>
          <w:sz w:val="20"/>
          <w:szCs w:val="20"/>
          <w:color w:val="auto"/>
        </w:rPr>
      </w:pPr>
      <w:r>
        <w:rPr>
          <w:rFonts w:ascii="Arial" w:cs="Arial" w:eastAsia="Arial" w:hAnsi="Arial"/>
          <w:sz w:val="17"/>
          <w:szCs w:val="17"/>
          <w:b w:val="1"/>
          <w:bCs w:val="1"/>
          <w:i w:val="1"/>
          <w:iCs w:val="1"/>
          <w:color w:val="998C87"/>
        </w:rPr>
        <w:t xml:space="preserve">Note on Various Marriott Family Holdings: </w:t>
      </w:r>
      <w:r>
        <w:rPr>
          <w:rFonts w:ascii="Arial" w:cs="Arial" w:eastAsia="Arial" w:hAnsi="Arial"/>
          <w:sz w:val="17"/>
          <w:szCs w:val="17"/>
          <w:color w:val="000000"/>
        </w:rPr>
        <w:t>SEC rules require reporting of beneficial ownership of certain shares by multiple parties, resulting in</w:t>
      </w:r>
      <w:r>
        <w:rPr>
          <w:rFonts w:ascii="Arial" w:cs="Arial" w:eastAsia="Arial" w:hAnsi="Arial"/>
          <w:sz w:val="17"/>
          <w:szCs w:val="17"/>
          <w:b w:val="1"/>
          <w:bCs w:val="1"/>
          <w:i w:val="1"/>
          <w:iCs w:val="1"/>
          <w:color w:val="998C87"/>
        </w:rPr>
        <w:t xml:space="preserve"> </w:t>
      </w:r>
      <w:r>
        <w:rPr>
          <w:rFonts w:ascii="Arial" w:cs="Arial" w:eastAsia="Arial" w:hAnsi="Arial"/>
          <w:sz w:val="17"/>
          <w:szCs w:val="17"/>
          <w:color w:val="000000"/>
        </w:rPr>
        <w:t>multiple counting of some shares. After eliminating double-counting of shares beneficially owned, J.W. Marriott, Jr. and Deborah M. Harrison together have an aggregate beneficial ownership of 11.33 percent of Marriott’s outstanding shares. The aggregate total beneficial ownership of J.W. Marriott, Jr., Deborah M. Harrison, and each of the “Other 5% Beneficial Owners” shown below, except for The Vanguard Group, is 16.98 percent of outstanding shares after removing the shares counted multiple times. These individuals and entities each disclaim beneficial ownership over shares owned by other members of the Marriott family and the entities named below except as specifically disclosed in the footnotes following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146050</wp:posOffset>
            </wp:positionV>
            <wp:extent cx="6989445" cy="391477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89445" cy="3914775"/>
                    </a:xfrm>
                    <a:prstGeom prst="rect">
                      <a:avLst/>
                    </a:prstGeom>
                    <a:noFill/>
                  </pic:spPr>
                </pic:pic>
              </a:graphicData>
            </a:graphic>
          </wp:anchor>
        </w:drawing>
      </w:r>
    </w:p>
    <w:p>
      <w:pPr>
        <w:spacing w:after="0" w:line="196"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7460" w:type="dxa"/>
            <w:vAlign w:val="bottom"/>
            <w:shd w:val="clear" w:color="auto" w:fill="998C87"/>
          </w:tcPr>
          <w:p>
            <w:pPr>
              <w:spacing w:after="0"/>
              <w:rPr>
                <w:sz w:val="14"/>
                <w:szCs w:val="14"/>
                <w:color w:val="auto"/>
              </w:rPr>
            </w:pPr>
          </w:p>
        </w:tc>
        <w:tc>
          <w:tcPr>
            <w:tcW w:w="580" w:type="dxa"/>
            <w:vAlign w:val="bottom"/>
            <w:shd w:val="clear" w:color="auto" w:fill="998C87"/>
          </w:tcPr>
          <w:p>
            <w:pPr>
              <w:spacing w:after="0"/>
              <w:rPr>
                <w:sz w:val="14"/>
                <w:szCs w:val="14"/>
                <w:color w:val="auto"/>
              </w:rPr>
            </w:pPr>
          </w:p>
        </w:tc>
        <w:tc>
          <w:tcPr>
            <w:tcW w:w="1460" w:type="dxa"/>
            <w:vAlign w:val="bottom"/>
            <w:shd w:val="clear" w:color="auto" w:fill="998C87"/>
          </w:tcPr>
          <w:p>
            <w:pPr>
              <w:jc w:val="right"/>
              <w:ind w:right="708"/>
              <w:spacing w:after="0"/>
              <w:rPr>
                <w:sz w:val="20"/>
                <w:szCs w:val="20"/>
                <w:color w:val="auto"/>
              </w:rPr>
            </w:pPr>
            <w:r>
              <w:rPr>
                <w:rFonts w:ascii="Arial" w:cs="Arial" w:eastAsia="Arial" w:hAnsi="Arial"/>
                <w:sz w:val="14"/>
                <w:szCs w:val="14"/>
                <w:b w:val="1"/>
                <w:bCs w:val="1"/>
                <w:color w:val="FFFFFF"/>
              </w:rPr>
              <w:t>Shares</w:t>
            </w:r>
          </w:p>
        </w:tc>
        <w:tc>
          <w:tcPr>
            <w:tcW w:w="1200" w:type="dxa"/>
            <w:vAlign w:val="bottom"/>
            <w:gridSpan w:val="2"/>
            <w:shd w:val="clear" w:color="auto" w:fill="998C87"/>
          </w:tcPr>
          <w:p>
            <w:pPr>
              <w:jc w:val="right"/>
              <w:ind w:right="28"/>
              <w:spacing w:after="0"/>
              <w:rPr>
                <w:sz w:val="20"/>
                <w:szCs w:val="20"/>
                <w:color w:val="auto"/>
              </w:rPr>
            </w:pPr>
            <w:r>
              <w:rPr>
                <w:rFonts w:ascii="Arial" w:cs="Arial" w:eastAsia="Arial" w:hAnsi="Arial"/>
                <w:sz w:val="14"/>
                <w:szCs w:val="14"/>
                <w:b w:val="1"/>
                <w:bCs w:val="1"/>
                <w:color w:val="FFFFFF"/>
              </w:rPr>
              <w:t>Percent of</w:t>
            </w:r>
          </w:p>
        </w:tc>
        <w:tc>
          <w:tcPr>
            <w:tcW w:w="300" w:type="dxa"/>
            <w:vAlign w:val="bottom"/>
            <w:shd w:val="clear" w:color="auto" w:fill="998C87"/>
          </w:tcPr>
          <w:p>
            <w:pPr>
              <w:spacing w:after="0"/>
              <w:rPr>
                <w:sz w:val="14"/>
                <w:szCs w:val="14"/>
                <w:color w:val="auto"/>
              </w:rPr>
            </w:pPr>
          </w:p>
        </w:tc>
      </w:tr>
      <w:tr>
        <w:trPr>
          <w:trHeight w:val="202"/>
        </w:trPr>
        <w:tc>
          <w:tcPr>
            <w:tcW w:w="7460" w:type="dxa"/>
            <w:vAlign w:val="bottom"/>
            <w:shd w:val="clear" w:color="auto" w:fill="998C87"/>
          </w:tcPr>
          <w:p>
            <w:pPr>
              <w:ind w:left="160"/>
              <w:spacing w:after="0"/>
              <w:rPr>
                <w:sz w:val="20"/>
                <w:szCs w:val="20"/>
                <w:color w:val="auto"/>
              </w:rPr>
            </w:pPr>
            <w:r>
              <w:rPr>
                <w:rFonts w:ascii="Arial" w:cs="Arial" w:eastAsia="Arial" w:hAnsi="Arial"/>
                <w:sz w:val="14"/>
                <w:szCs w:val="14"/>
                <w:b w:val="1"/>
                <w:bCs w:val="1"/>
                <w:color w:val="FFFFFF"/>
              </w:rPr>
              <w:t>Name</w:t>
            </w:r>
          </w:p>
        </w:tc>
        <w:tc>
          <w:tcPr>
            <w:tcW w:w="2040" w:type="dxa"/>
            <w:vAlign w:val="bottom"/>
            <w:gridSpan w:val="2"/>
            <w:shd w:val="clear" w:color="auto" w:fill="998C87"/>
          </w:tcPr>
          <w:p>
            <w:pPr>
              <w:jc w:val="right"/>
              <w:ind w:right="288"/>
              <w:spacing w:after="0"/>
              <w:rPr>
                <w:sz w:val="20"/>
                <w:szCs w:val="20"/>
                <w:color w:val="auto"/>
              </w:rPr>
            </w:pPr>
            <w:r>
              <w:rPr>
                <w:rFonts w:ascii="Arial" w:cs="Arial" w:eastAsia="Arial" w:hAnsi="Arial"/>
                <w:sz w:val="14"/>
                <w:szCs w:val="14"/>
                <w:b w:val="1"/>
                <w:bCs w:val="1"/>
                <w:color w:val="FFFFFF"/>
              </w:rPr>
              <w:t>Beneficially Owned</w:t>
            </w:r>
          </w:p>
        </w:tc>
        <w:tc>
          <w:tcPr>
            <w:tcW w:w="1200" w:type="dxa"/>
            <w:vAlign w:val="bottom"/>
            <w:gridSpan w:val="2"/>
            <w:shd w:val="clear" w:color="auto" w:fill="998C87"/>
          </w:tcPr>
          <w:p>
            <w:pPr>
              <w:jc w:val="right"/>
              <w:ind w:right="88"/>
              <w:spacing w:after="0"/>
              <w:rPr>
                <w:sz w:val="20"/>
                <w:szCs w:val="20"/>
                <w:color w:val="auto"/>
              </w:rPr>
            </w:pPr>
            <w:r>
              <w:rPr>
                <w:rFonts w:ascii="Arial" w:cs="Arial" w:eastAsia="Arial" w:hAnsi="Arial"/>
                <w:sz w:val="14"/>
                <w:szCs w:val="14"/>
                <w:b w:val="1"/>
                <w:bCs w:val="1"/>
                <w:color w:val="FFFFFF"/>
              </w:rPr>
              <w:t>Class(1)</w:t>
            </w:r>
          </w:p>
        </w:tc>
        <w:tc>
          <w:tcPr>
            <w:tcW w:w="300" w:type="dxa"/>
            <w:vAlign w:val="bottom"/>
            <w:shd w:val="clear" w:color="auto" w:fill="998C87"/>
          </w:tcPr>
          <w:p>
            <w:pPr>
              <w:spacing w:after="0"/>
              <w:rPr>
                <w:sz w:val="17"/>
                <w:szCs w:val="17"/>
                <w:color w:val="auto"/>
              </w:rPr>
            </w:pPr>
          </w:p>
        </w:tc>
      </w:tr>
      <w:tr>
        <w:trPr>
          <w:trHeight w:val="69"/>
        </w:trPr>
        <w:tc>
          <w:tcPr>
            <w:tcW w:w="7460" w:type="dxa"/>
            <w:vAlign w:val="bottom"/>
            <w:shd w:val="clear" w:color="auto" w:fill="998C87"/>
          </w:tcPr>
          <w:p>
            <w:pPr>
              <w:spacing w:after="0"/>
              <w:rPr>
                <w:sz w:val="6"/>
                <w:szCs w:val="6"/>
                <w:color w:val="auto"/>
              </w:rPr>
            </w:pPr>
          </w:p>
        </w:tc>
        <w:tc>
          <w:tcPr>
            <w:tcW w:w="580" w:type="dxa"/>
            <w:vAlign w:val="bottom"/>
            <w:shd w:val="clear" w:color="auto" w:fill="998C87"/>
          </w:tcPr>
          <w:p>
            <w:pPr>
              <w:spacing w:after="0"/>
              <w:rPr>
                <w:sz w:val="6"/>
                <w:szCs w:val="6"/>
                <w:color w:val="auto"/>
              </w:rPr>
            </w:pPr>
          </w:p>
        </w:tc>
        <w:tc>
          <w:tcPr>
            <w:tcW w:w="1460" w:type="dxa"/>
            <w:vAlign w:val="bottom"/>
            <w:shd w:val="clear" w:color="auto" w:fill="998C87"/>
          </w:tcPr>
          <w:p>
            <w:pPr>
              <w:spacing w:after="0"/>
              <w:rPr>
                <w:sz w:val="6"/>
                <w:szCs w:val="6"/>
                <w:color w:val="auto"/>
              </w:rPr>
            </w:pPr>
          </w:p>
        </w:tc>
        <w:tc>
          <w:tcPr>
            <w:tcW w:w="600" w:type="dxa"/>
            <w:vAlign w:val="bottom"/>
            <w:shd w:val="clear" w:color="auto" w:fill="998C87"/>
          </w:tcPr>
          <w:p>
            <w:pPr>
              <w:spacing w:after="0"/>
              <w:rPr>
                <w:sz w:val="6"/>
                <w:szCs w:val="6"/>
                <w:color w:val="auto"/>
              </w:rPr>
            </w:pPr>
          </w:p>
        </w:tc>
        <w:tc>
          <w:tcPr>
            <w:tcW w:w="600" w:type="dxa"/>
            <w:vAlign w:val="bottom"/>
            <w:shd w:val="clear" w:color="auto" w:fill="998C87"/>
          </w:tcPr>
          <w:p>
            <w:pPr>
              <w:spacing w:after="0"/>
              <w:rPr>
                <w:sz w:val="6"/>
                <w:szCs w:val="6"/>
                <w:color w:val="auto"/>
              </w:rPr>
            </w:pPr>
          </w:p>
        </w:tc>
        <w:tc>
          <w:tcPr>
            <w:tcW w:w="300" w:type="dxa"/>
            <w:vAlign w:val="bottom"/>
            <w:shd w:val="clear" w:color="auto" w:fill="998C87"/>
          </w:tcPr>
          <w:p>
            <w:pPr>
              <w:spacing w:after="0"/>
              <w:rPr>
                <w:sz w:val="6"/>
                <w:szCs w:val="6"/>
                <w:color w:val="auto"/>
              </w:rPr>
            </w:pPr>
          </w:p>
        </w:tc>
      </w:tr>
      <w:tr>
        <w:trPr>
          <w:trHeight w:val="162"/>
        </w:trPr>
        <w:tc>
          <w:tcPr>
            <w:tcW w:w="7460" w:type="dxa"/>
            <w:vAlign w:val="bottom"/>
            <w:shd w:val="clear" w:color="auto" w:fill="F4F3F3"/>
          </w:tcPr>
          <w:p>
            <w:pPr>
              <w:ind w:left="160"/>
              <w:spacing w:after="0"/>
              <w:rPr>
                <w:sz w:val="20"/>
                <w:szCs w:val="20"/>
                <w:color w:val="auto"/>
              </w:rPr>
            </w:pPr>
            <w:r>
              <w:rPr>
                <w:rFonts w:ascii="Arial" w:cs="Arial" w:eastAsia="Arial" w:hAnsi="Arial"/>
                <w:sz w:val="14"/>
                <w:szCs w:val="14"/>
                <w:b w:val="1"/>
                <w:bCs w:val="1"/>
                <w:color w:val="998C87"/>
              </w:rPr>
              <w:t>Directors and Director Nominees:</w:t>
            </w:r>
          </w:p>
        </w:tc>
        <w:tc>
          <w:tcPr>
            <w:tcW w:w="580" w:type="dxa"/>
            <w:vAlign w:val="bottom"/>
            <w:shd w:val="clear" w:color="auto" w:fill="F4F3F3"/>
          </w:tcPr>
          <w:p>
            <w:pPr>
              <w:spacing w:after="0"/>
              <w:rPr>
                <w:sz w:val="14"/>
                <w:szCs w:val="14"/>
                <w:color w:val="auto"/>
              </w:rPr>
            </w:pPr>
          </w:p>
        </w:tc>
        <w:tc>
          <w:tcPr>
            <w:tcW w:w="1460" w:type="dxa"/>
            <w:vAlign w:val="bottom"/>
            <w:shd w:val="clear" w:color="auto" w:fill="F4F3F3"/>
          </w:tcPr>
          <w:p>
            <w:pPr>
              <w:spacing w:after="0"/>
              <w:rPr>
                <w:sz w:val="14"/>
                <w:szCs w:val="14"/>
                <w:color w:val="auto"/>
              </w:rPr>
            </w:pPr>
          </w:p>
        </w:tc>
        <w:tc>
          <w:tcPr>
            <w:tcW w:w="600" w:type="dxa"/>
            <w:vAlign w:val="bottom"/>
            <w:shd w:val="clear" w:color="auto" w:fill="F4F3F3"/>
          </w:tcPr>
          <w:p>
            <w:pPr>
              <w:spacing w:after="0"/>
              <w:rPr>
                <w:sz w:val="14"/>
                <w:szCs w:val="14"/>
                <w:color w:val="auto"/>
              </w:rPr>
            </w:pPr>
          </w:p>
        </w:tc>
        <w:tc>
          <w:tcPr>
            <w:tcW w:w="600" w:type="dxa"/>
            <w:vAlign w:val="bottom"/>
            <w:shd w:val="clear" w:color="auto" w:fill="F4F3F3"/>
          </w:tcPr>
          <w:p>
            <w:pPr>
              <w:spacing w:after="0"/>
              <w:rPr>
                <w:sz w:val="14"/>
                <w:szCs w:val="14"/>
                <w:color w:val="auto"/>
              </w:rPr>
            </w:pPr>
          </w:p>
        </w:tc>
        <w:tc>
          <w:tcPr>
            <w:tcW w:w="300" w:type="dxa"/>
            <w:vAlign w:val="bottom"/>
            <w:shd w:val="clear" w:color="auto" w:fill="F4F3F3"/>
          </w:tcPr>
          <w:p>
            <w:pPr>
              <w:spacing w:after="0"/>
              <w:rPr>
                <w:sz w:val="14"/>
                <w:szCs w:val="14"/>
                <w:color w:val="auto"/>
              </w:rPr>
            </w:pPr>
          </w:p>
        </w:tc>
      </w:tr>
      <w:tr>
        <w:trPr>
          <w:trHeight w:val="162"/>
        </w:trPr>
        <w:tc>
          <w:tcPr>
            <w:tcW w:w="7460" w:type="dxa"/>
            <w:vAlign w:val="bottom"/>
            <w:shd w:val="clear" w:color="auto" w:fill="F4F3F3"/>
          </w:tcPr>
          <w:p>
            <w:pPr>
              <w:ind w:left="160"/>
              <w:spacing w:after="0"/>
              <w:rPr>
                <w:sz w:val="20"/>
                <w:szCs w:val="20"/>
                <w:color w:val="auto"/>
              </w:rPr>
            </w:pPr>
            <w:r>
              <w:rPr>
                <w:rFonts w:ascii="Arial" w:cs="Arial" w:eastAsia="Arial" w:hAnsi="Arial"/>
                <w:sz w:val="14"/>
                <w:szCs w:val="14"/>
                <w:color w:val="auto"/>
              </w:rPr>
              <w:t>J.W. Marriott, Jr.</w:t>
            </w:r>
          </w:p>
        </w:tc>
        <w:tc>
          <w:tcPr>
            <w:tcW w:w="2040" w:type="dxa"/>
            <w:vAlign w:val="bottom"/>
            <w:gridSpan w:val="2"/>
            <w:shd w:val="clear" w:color="auto" w:fill="F4F3F3"/>
          </w:tcPr>
          <w:p>
            <w:pPr>
              <w:ind w:left="600"/>
              <w:spacing w:after="0"/>
              <w:rPr>
                <w:sz w:val="20"/>
                <w:szCs w:val="20"/>
                <w:color w:val="auto"/>
              </w:rPr>
            </w:pPr>
            <w:r>
              <w:rPr>
                <w:rFonts w:ascii="Arial" w:cs="Arial" w:eastAsia="Arial" w:hAnsi="Arial"/>
                <w:sz w:val="14"/>
                <w:szCs w:val="14"/>
                <w:color w:val="auto"/>
              </w:rPr>
              <w:t>39,477,386(2)(3)(4)(5)</w:t>
            </w:r>
          </w:p>
        </w:tc>
        <w:tc>
          <w:tcPr>
            <w:tcW w:w="1200" w:type="dxa"/>
            <w:vAlign w:val="bottom"/>
            <w:gridSpan w:val="2"/>
            <w:shd w:val="clear" w:color="auto" w:fill="F4F3F3"/>
          </w:tcPr>
          <w:p>
            <w:pPr>
              <w:jc w:val="right"/>
              <w:ind w:right="48"/>
              <w:spacing w:after="0"/>
              <w:rPr>
                <w:sz w:val="20"/>
                <w:szCs w:val="20"/>
                <w:color w:val="auto"/>
              </w:rPr>
            </w:pPr>
            <w:r>
              <w:rPr>
                <w:rFonts w:ascii="Arial" w:cs="Arial" w:eastAsia="Arial" w:hAnsi="Arial"/>
                <w:sz w:val="14"/>
                <w:szCs w:val="14"/>
                <w:color w:val="auto"/>
              </w:rPr>
              <w:t>11.00%</w:t>
            </w:r>
          </w:p>
        </w:tc>
        <w:tc>
          <w:tcPr>
            <w:tcW w:w="300" w:type="dxa"/>
            <w:vAlign w:val="bottom"/>
            <w:shd w:val="clear" w:color="auto" w:fill="F4F3F3"/>
          </w:tcPr>
          <w:p>
            <w:pPr>
              <w:spacing w:after="0"/>
              <w:rPr>
                <w:sz w:val="14"/>
                <w:szCs w:val="14"/>
                <w:color w:val="auto"/>
              </w:rPr>
            </w:pPr>
          </w:p>
        </w:tc>
      </w:tr>
      <w:tr>
        <w:trPr>
          <w:trHeight w:val="162"/>
        </w:trPr>
        <w:tc>
          <w:tcPr>
            <w:tcW w:w="7460" w:type="dxa"/>
            <w:vAlign w:val="bottom"/>
            <w:shd w:val="clear" w:color="auto" w:fill="F4F3F3"/>
          </w:tcPr>
          <w:p>
            <w:pPr>
              <w:ind w:left="160"/>
              <w:spacing w:after="0"/>
              <w:rPr>
                <w:sz w:val="20"/>
                <w:szCs w:val="20"/>
                <w:color w:val="auto"/>
              </w:rPr>
            </w:pPr>
            <w:r>
              <w:rPr>
                <w:rFonts w:ascii="Arial" w:cs="Arial" w:eastAsia="Arial" w:hAnsi="Arial"/>
                <w:sz w:val="14"/>
                <w:szCs w:val="14"/>
                <w:color w:val="auto"/>
              </w:rPr>
              <w:t>Mary K. Bush</w:t>
            </w:r>
          </w:p>
        </w:tc>
        <w:tc>
          <w:tcPr>
            <w:tcW w:w="2040" w:type="dxa"/>
            <w:vAlign w:val="bottom"/>
            <w:gridSpan w:val="2"/>
            <w:shd w:val="clear" w:color="auto" w:fill="F4F3F3"/>
          </w:tcPr>
          <w:p>
            <w:pPr>
              <w:jc w:val="right"/>
              <w:ind w:right="488"/>
              <w:spacing w:after="0"/>
              <w:rPr>
                <w:sz w:val="20"/>
                <w:szCs w:val="20"/>
                <w:color w:val="auto"/>
              </w:rPr>
            </w:pPr>
            <w:r>
              <w:rPr>
                <w:rFonts w:ascii="Arial" w:cs="Arial" w:eastAsia="Arial" w:hAnsi="Arial"/>
                <w:sz w:val="14"/>
                <w:szCs w:val="14"/>
                <w:color w:val="auto"/>
              </w:rPr>
              <w:t>21,161(7)</w:t>
            </w:r>
          </w:p>
        </w:tc>
        <w:tc>
          <w:tcPr>
            <w:tcW w:w="1200" w:type="dxa"/>
            <w:vAlign w:val="bottom"/>
            <w:gridSpan w:val="2"/>
            <w:shd w:val="clear" w:color="auto" w:fill="F4F3F3"/>
          </w:tcPr>
          <w:p>
            <w:pPr>
              <w:jc w:val="right"/>
              <w:ind w:right="168"/>
              <w:spacing w:after="0"/>
              <w:rPr>
                <w:sz w:val="20"/>
                <w:szCs w:val="20"/>
                <w:color w:val="auto"/>
              </w:rPr>
            </w:pPr>
            <w:r>
              <w:rPr>
                <w:rFonts w:ascii="Arial" w:cs="Arial" w:eastAsia="Arial" w:hAnsi="Arial"/>
                <w:sz w:val="14"/>
                <w:szCs w:val="14"/>
                <w:color w:val="auto"/>
              </w:rPr>
              <w:t>*</w:t>
            </w:r>
          </w:p>
        </w:tc>
        <w:tc>
          <w:tcPr>
            <w:tcW w:w="300" w:type="dxa"/>
            <w:vAlign w:val="bottom"/>
            <w:shd w:val="clear" w:color="auto" w:fill="F4F3F3"/>
          </w:tcPr>
          <w:p>
            <w:pPr>
              <w:spacing w:after="0"/>
              <w:rPr>
                <w:sz w:val="14"/>
                <w:szCs w:val="14"/>
                <w:color w:val="auto"/>
              </w:rPr>
            </w:pPr>
          </w:p>
        </w:tc>
      </w:tr>
      <w:tr>
        <w:trPr>
          <w:trHeight w:val="162"/>
        </w:trPr>
        <w:tc>
          <w:tcPr>
            <w:tcW w:w="7460" w:type="dxa"/>
            <w:vAlign w:val="bottom"/>
            <w:shd w:val="clear" w:color="auto" w:fill="F4F3F3"/>
          </w:tcPr>
          <w:p>
            <w:pPr>
              <w:ind w:left="160"/>
              <w:spacing w:after="0"/>
              <w:rPr>
                <w:sz w:val="20"/>
                <w:szCs w:val="20"/>
                <w:color w:val="auto"/>
              </w:rPr>
            </w:pPr>
            <w:r>
              <w:rPr>
                <w:rFonts w:ascii="Arial" w:cs="Arial" w:eastAsia="Arial" w:hAnsi="Arial"/>
                <w:sz w:val="14"/>
                <w:szCs w:val="14"/>
                <w:color w:val="auto"/>
              </w:rPr>
              <w:t>Bruce W. Duncan</w:t>
            </w:r>
          </w:p>
        </w:tc>
        <w:tc>
          <w:tcPr>
            <w:tcW w:w="580" w:type="dxa"/>
            <w:vAlign w:val="bottom"/>
            <w:shd w:val="clear" w:color="auto" w:fill="F4F3F3"/>
          </w:tcPr>
          <w:p>
            <w:pPr>
              <w:spacing w:after="0"/>
              <w:rPr>
                <w:sz w:val="14"/>
                <w:szCs w:val="14"/>
                <w:color w:val="auto"/>
              </w:rPr>
            </w:pPr>
          </w:p>
        </w:tc>
        <w:tc>
          <w:tcPr>
            <w:tcW w:w="1460" w:type="dxa"/>
            <w:vAlign w:val="bottom"/>
            <w:shd w:val="clear" w:color="auto" w:fill="F4F3F3"/>
          </w:tcPr>
          <w:p>
            <w:pPr>
              <w:jc w:val="right"/>
              <w:ind w:right="228"/>
              <w:spacing w:after="0"/>
              <w:rPr>
                <w:sz w:val="20"/>
                <w:szCs w:val="20"/>
                <w:color w:val="auto"/>
              </w:rPr>
            </w:pPr>
            <w:r>
              <w:rPr>
                <w:rFonts w:ascii="Arial" w:cs="Arial" w:eastAsia="Arial" w:hAnsi="Arial"/>
                <w:sz w:val="14"/>
                <w:szCs w:val="14"/>
                <w:color w:val="auto"/>
              </w:rPr>
              <w:t>103,659(8)(16)</w:t>
            </w:r>
          </w:p>
        </w:tc>
        <w:tc>
          <w:tcPr>
            <w:tcW w:w="1200" w:type="dxa"/>
            <w:vAlign w:val="bottom"/>
            <w:gridSpan w:val="2"/>
            <w:shd w:val="clear" w:color="auto" w:fill="F4F3F3"/>
          </w:tcPr>
          <w:p>
            <w:pPr>
              <w:jc w:val="right"/>
              <w:ind w:right="168"/>
              <w:spacing w:after="0"/>
              <w:rPr>
                <w:sz w:val="20"/>
                <w:szCs w:val="20"/>
                <w:color w:val="auto"/>
              </w:rPr>
            </w:pPr>
            <w:r>
              <w:rPr>
                <w:rFonts w:ascii="Arial" w:cs="Arial" w:eastAsia="Arial" w:hAnsi="Arial"/>
                <w:sz w:val="14"/>
                <w:szCs w:val="14"/>
                <w:color w:val="auto"/>
              </w:rPr>
              <w:t>*</w:t>
            </w:r>
          </w:p>
        </w:tc>
        <w:tc>
          <w:tcPr>
            <w:tcW w:w="300" w:type="dxa"/>
            <w:vAlign w:val="bottom"/>
            <w:shd w:val="clear" w:color="auto" w:fill="F4F3F3"/>
          </w:tcPr>
          <w:p>
            <w:pPr>
              <w:spacing w:after="0"/>
              <w:rPr>
                <w:sz w:val="14"/>
                <w:szCs w:val="14"/>
                <w:color w:val="auto"/>
              </w:rPr>
            </w:pPr>
          </w:p>
        </w:tc>
      </w:tr>
      <w:tr>
        <w:trPr>
          <w:trHeight w:val="162"/>
        </w:trPr>
        <w:tc>
          <w:tcPr>
            <w:tcW w:w="7460" w:type="dxa"/>
            <w:vAlign w:val="bottom"/>
            <w:shd w:val="clear" w:color="auto" w:fill="F4F3F3"/>
          </w:tcPr>
          <w:p>
            <w:pPr>
              <w:ind w:left="160"/>
              <w:spacing w:after="0"/>
              <w:rPr>
                <w:sz w:val="20"/>
                <w:szCs w:val="20"/>
                <w:color w:val="auto"/>
              </w:rPr>
            </w:pPr>
            <w:r>
              <w:rPr>
                <w:rFonts w:ascii="Arial" w:cs="Arial" w:eastAsia="Arial" w:hAnsi="Arial"/>
                <w:sz w:val="14"/>
                <w:szCs w:val="14"/>
                <w:color w:val="auto"/>
              </w:rPr>
              <w:t>Frederick A. Henderson</w:t>
            </w:r>
          </w:p>
        </w:tc>
        <w:tc>
          <w:tcPr>
            <w:tcW w:w="580" w:type="dxa"/>
            <w:vAlign w:val="bottom"/>
            <w:shd w:val="clear" w:color="auto" w:fill="F4F3F3"/>
          </w:tcPr>
          <w:p>
            <w:pPr>
              <w:spacing w:after="0"/>
              <w:rPr>
                <w:sz w:val="14"/>
                <w:szCs w:val="14"/>
                <w:color w:val="auto"/>
              </w:rPr>
            </w:pPr>
          </w:p>
        </w:tc>
        <w:tc>
          <w:tcPr>
            <w:tcW w:w="1460" w:type="dxa"/>
            <w:vAlign w:val="bottom"/>
            <w:shd w:val="clear" w:color="auto" w:fill="F4F3F3"/>
          </w:tcPr>
          <w:p>
            <w:pPr>
              <w:jc w:val="right"/>
              <w:ind w:right="488"/>
              <w:spacing w:after="0"/>
              <w:rPr>
                <w:sz w:val="20"/>
                <w:szCs w:val="20"/>
                <w:color w:val="auto"/>
              </w:rPr>
            </w:pPr>
            <w:r>
              <w:rPr>
                <w:rFonts w:ascii="Arial" w:cs="Arial" w:eastAsia="Arial" w:hAnsi="Arial"/>
                <w:sz w:val="14"/>
                <w:szCs w:val="14"/>
                <w:color w:val="auto"/>
              </w:rPr>
              <w:t>10,108(7)</w:t>
            </w:r>
          </w:p>
        </w:tc>
        <w:tc>
          <w:tcPr>
            <w:tcW w:w="1200" w:type="dxa"/>
            <w:vAlign w:val="bottom"/>
            <w:gridSpan w:val="2"/>
            <w:shd w:val="clear" w:color="auto" w:fill="F4F3F3"/>
          </w:tcPr>
          <w:p>
            <w:pPr>
              <w:jc w:val="right"/>
              <w:ind w:right="168"/>
              <w:spacing w:after="0"/>
              <w:rPr>
                <w:sz w:val="20"/>
                <w:szCs w:val="20"/>
                <w:color w:val="auto"/>
              </w:rPr>
            </w:pPr>
            <w:r>
              <w:rPr>
                <w:rFonts w:ascii="Arial" w:cs="Arial" w:eastAsia="Arial" w:hAnsi="Arial"/>
                <w:sz w:val="14"/>
                <w:szCs w:val="14"/>
                <w:color w:val="auto"/>
              </w:rPr>
              <w:t>*</w:t>
            </w:r>
          </w:p>
        </w:tc>
        <w:tc>
          <w:tcPr>
            <w:tcW w:w="300" w:type="dxa"/>
            <w:vAlign w:val="bottom"/>
            <w:shd w:val="clear" w:color="auto" w:fill="F4F3F3"/>
          </w:tcPr>
          <w:p>
            <w:pPr>
              <w:spacing w:after="0"/>
              <w:rPr>
                <w:sz w:val="14"/>
                <w:szCs w:val="14"/>
                <w:color w:val="auto"/>
              </w:rPr>
            </w:pPr>
          </w:p>
        </w:tc>
      </w:tr>
      <w:tr>
        <w:trPr>
          <w:trHeight w:val="162"/>
        </w:trPr>
        <w:tc>
          <w:tcPr>
            <w:tcW w:w="7460" w:type="dxa"/>
            <w:vAlign w:val="bottom"/>
            <w:shd w:val="clear" w:color="auto" w:fill="F4F3F3"/>
          </w:tcPr>
          <w:p>
            <w:pPr>
              <w:ind w:left="160"/>
              <w:spacing w:after="0"/>
              <w:rPr>
                <w:sz w:val="20"/>
                <w:szCs w:val="20"/>
                <w:color w:val="auto"/>
              </w:rPr>
            </w:pPr>
            <w:r>
              <w:rPr>
                <w:rFonts w:ascii="Arial" w:cs="Arial" w:eastAsia="Arial" w:hAnsi="Arial"/>
                <w:sz w:val="14"/>
                <w:szCs w:val="14"/>
                <w:color w:val="auto"/>
              </w:rPr>
              <w:t>Deborah M. Harrison</w:t>
            </w:r>
          </w:p>
        </w:tc>
        <w:tc>
          <w:tcPr>
            <w:tcW w:w="580" w:type="dxa"/>
            <w:vAlign w:val="bottom"/>
            <w:shd w:val="clear" w:color="auto" w:fill="F4F3F3"/>
          </w:tcPr>
          <w:p>
            <w:pPr>
              <w:spacing w:after="0"/>
              <w:rPr>
                <w:sz w:val="14"/>
                <w:szCs w:val="14"/>
                <w:color w:val="auto"/>
              </w:rPr>
            </w:pPr>
          </w:p>
        </w:tc>
        <w:tc>
          <w:tcPr>
            <w:tcW w:w="1460" w:type="dxa"/>
            <w:vAlign w:val="bottom"/>
          </w:tcPr>
          <w:p>
            <w:pPr>
              <w:ind w:left="20"/>
              <w:spacing w:after="0"/>
              <w:rPr>
                <w:sz w:val="20"/>
                <w:szCs w:val="20"/>
                <w:color w:val="auto"/>
              </w:rPr>
            </w:pPr>
            <w:r>
              <w:rPr>
                <w:rFonts w:ascii="Arial" w:cs="Arial" w:eastAsia="Arial" w:hAnsi="Arial"/>
                <w:sz w:val="14"/>
                <w:szCs w:val="14"/>
                <w:color w:val="auto"/>
              </w:rPr>
              <w:t>29,189,935(3)(4)(6)</w:t>
            </w:r>
          </w:p>
        </w:tc>
        <w:tc>
          <w:tcPr>
            <w:tcW w:w="1200" w:type="dxa"/>
            <w:vAlign w:val="bottom"/>
            <w:gridSpan w:val="2"/>
          </w:tcPr>
          <w:p>
            <w:pPr>
              <w:jc w:val="right"/>
              <w:ind w:right="48"/>
              <w:spacing w:after="0"/>
              <w:rPr>
                <w:sz w:val="20"/>
                <w:szCs w:val="20"/>
                <w:color w:val="auto"/>
              </w:rPr>
            </w:pPr>
            <w:r>
              <w:rPr>
                <w:rFonts w:ascii="Arial" w:cs="Arial" w:eastAsia="Arial" w:hAnsi="Arial"/>
                <w:sz w:val="14"/>
                <w:szCs w:val="14"/>
                <w:color w:val="auto"/>
              </w:rPr>
              <w:t>8.14%</w:t>
            </w:r>
          </w:p>
        </w:tc>
        <w:tc>
          <w:tcPr>
            <w:tcW w:w="300" w:type="dxa"/>
            <w:vAlign w:val="bottom"/>
          </w:tcPr>
          <w:p>
            <w:pPr>
              <w:spacing w:after="0"/>
              <w:rPr>
                <w:sz w:val="14"/>
                <w:szCs w:val="14"/>
                <w:color w:val="auto"/>
              </w:rPr>
            </w:pPr>
          </w:p>
        </w:tc>
      </w:tr>
      <w:tr>
        <w:trPr>
          <w:trHeight w:val="162"/>
        </w:trPr>
        <w:tc>
          <w:tcPr>
            <w:tcW w:w="7460" w:type="dxa"/>
            <w:vAlign w:val="bottom"/>
            <w:shd w:val="clear" w:color="auto" w:fill="F4F3F3"/>
          </w:tcPr>
          <w:p>
            <w:pPr>
              <w:ind w:left="160"/>
              <w:spacing w:after="0"/>
              <w:rPr>
                <w:sz w:val="20"/>
                <w:szCs w:val="20"/>
                <w:color w:val="auto"/>
              </w:rPr>
            </w:pPr>
            <w:r>
              <w:rPr>
                <w:rFonts w:ascii="Arial" w:cs="Arial" w:eastAsia="Arial" w:hAnsi="Arial"/>
                <w:sz w:val="14"/>
                <w:szCs w:val="14"/>
                <w:color w:val="auto"/>
              </w:rPr>
              <w:t>Eric Hippeau</w:t>
            </w:r>
          </w:p>
        </w:tc>
        <w:tc>
          <w:tcPr>
            <w:tcW w:w="580" w:type="dxa"/>
            <w:vAlign w:val="bottom"/>
            <w:shd w:val="clear" w:color="auto" w:fill="F4F3F3"/>
          </w:tcPr>
          <w:p>
            <w:pPr>
              <w:spacing w:after="0"/>
              <w:rPr>
                <w:sz w:val="14"/>
                <w:szCs w:val="14"/>
                <w:color w:val="auto"/>
              </w:rPr>
            </w:pPr>
          </w:p>
        </w:tc>
        <w:tc>
          <w:tcPr>
            <w:tcW w:w="1460" w:type="dxa"/>
            <w:vAlign w:val="bottom"/>
          </w:tcPr>
          <w:p>
            <w:pPr>
              <w:jc w:val="right"/>
              <w:ind w:right="488"/>
              <w:spacing w:after="0"/>
              <w:rPr>
                <w:sz w:val="20"/>
                <w:szCs w:val="20"/>
                <w:color w:val="auto"/>
              </w:rPr>
            </w:pPr>
            <w:r>
              <w:rPr>
                <w:rFonts w:ascii="Arial" w:cs="Arial" w:eastAsia="Arial" w:hAnsi="Arial"/>
                <w:sz w:val="14"/>
                <w:szCs w:val="14"/>
                <w:color w:val="auto"/>
              </w:rPr>
              <w:t>37,172(8)</w:t>
            </w:r>
          </w:p>
        </w:tc>
        <w:tc>
          <w:tcPr>
            <w:tcW w:w="1200" w:type="dxa"/>
            <w:vAlign w:val="bottom"/>
            <w:gridSpan w:val="2"/>
            <w:shd w:val="clear" w:color="auto" w:fill="F4F3F3"/>
          </w:tcPr>
          <w:p>
            <w:pPr>
              <w:jc w:val="right"/>
              <w:ind w:right="168"/>
              <w:spacing w:after="0"/>
              <w:rPr>
                <w:sz w:val="20"/>
                <w:szCs w:val="20"/>
                <w:color w:val="auto"/>
              </w:rPr>
            </w:pPr>
            <w:r>
              <w:rPr>
                <w:rFonts w:ascii="Arial" w:cs="Arial" w:eastAsia="Arial" w:hAnsi="Arial"/>
                <w:sz w:val="14"/>
                <w:szCs w:val="14"/>
                <w:color w:val="auto"/>
              </w:rPr>
              <w:t>*</w:t>
            </w:r>
          </w:p>
        </w:tc>
        <w:tc>
          <w:tcPr>
            <w:tcW w:w="300" w:type="dxa"/>
            <w:vAlign w:val="bottom"/>
            <w:shd w:val="clear" w:color="auto" w:fill="F4F3F3"/>
          </w:tcPr>
          <w:p>
            <w:pPr>
              <w:spacing w:after="0"/>
              <w:rPr>
                <w:sz w:val="14"/>
                <w:szCs w:val="14"/>
                <w:color w:val="auto"/>
              </w:rPr>
            </w:pPr>
          </w:p>
        </w:tc>
      </w:tr>
      <w:tr>
        <w:trPr>
          <w:trHeight w:val="162"/>
        </w:trPr>
        <w:tc>
          <w:tcPr>
            <w:tcW w:w="7460" w:type="dxa"/>
            <w:vAlign w:val="bottom"/>
            <w:shd w:val="clear" w:color="auto" w:fill="F4F3F3"/>
          </w:tcPr>
          <w:p>
            <w:pPr>
              <w:ind w:left="160"/>
              <w:spacing w:after="0"/>
              <w:rPr>
                <w:sz w:val="20"/>
                <w:szCs w:val="20"/>
                <w:color w:val="auto"/>
              </w:rPr>
            </w:pPr>
            <w:r>
              <w:rPr>
                <w:rFonts w:ascii="Arial" w:cs="Arial" w:eastAsia="Arial" w:hAnsi="Arial"/>
                <w:sz w:val="14"/>
                <w:szCs w:val="14"/>
                <w:color w:val="auto"/>
              </w:rPr>
              <w:t>Lawrence W. Kellner</w:t>
            </w:r>
          </w:p>
        </w:tc>
        <w:tc>
          <w:tcPr>
            <w:tcW w:w="580" w:type="dxa"/>
            <w:vAlign w:val="bottom"/>
            <w:shd w:val="clear" w:color="auto" w:fill="F4F3F3"/>
          </w:tcPr>
          <w:p>
            <w:pPr>
              <w:spacing w:after="0"/>
              <w:rPr>
                <w:sz w:val="14"/>
                <w:szCs w:val="14"/>
                <w:color w:val="auto"/>
              </w:rPr>
            </w:pPr>
          </w:p>
        </w:tc>
        <w:tc>
          <w:tcPr>
            <w:tcW w:w="1460" w:type="dxa"/>
            <w:vAlign w:val="bottom"/>
          </w:tcPr>
          <w:p>
            <w:pPr>
              <w:jc w:val="right"/>
              <w:ind w:right="488"/>
              <w:spacing w:after="0"/>
              <w:rPr>
                <w:sz w:val="20"/>
                <w:szCs w:val="20"/>
                <w:color w:val="auto"/>
              </w:rPr>
            </w:pPr>
            <w:r>
              <w:rPr>
                <w:rFonts w:ascii="Arial" w:cs="Arial" w:eastAsia="Arial" w:hAnsi="Arial"/>
                <w:sz w:val="14"/>
                <w:szCs w:val="14"/>
                <w:color w:val="auto"/>
              </w:rPr>
              <w:t>22,320(7)</w:t>
            </w:r>
          </w:p>
        </w:tc>
        <w:tc>
          <w:tcPr>
            <w:tcW w:w="1200" w:type="dxa"/>
            <w:vAlign w:val="bottom"/>
            <w:gridSpan w:val="2"/>
            <w:shd w:val="clear" w:color="auto" w:fill="F4F3F3"/>
          </w:tcPr>
          <w:p>
            <w:pPr>
              <w:jc w:val="right"/>
              <w:ind w:right="168"/>
              <w:spacing w:after="0"/>
              <w:rPr>
                <w:sz w:val="20"/>
                <w:szCs w:val="20"/>
                <w:color w:val="auto"/>
              </w:rPr>
            </w:pPr>
            <w:r>
              <w:rPr>
                <w:rFonts w:ascii="Arial" w:cs="Arial" w:eastAsia="Arial" w:hAnsi="Arial"/>
                <w:sz w:val="14"/>
                <w:szCs w:val="14"/>
                <w:color w:val="auto"/>
              </w:rPr>
              <w:t>*</w:t>
            </w:r>
          </w:p>
        </w:tc>
        <w:tc>
          <w:tcPr>
            <w:tcW w:w="300" w:type="dxa"/>
            <w:vAlign w:val="bottom"/>
            <w:shd w:val="clear" w:color="auto" w:fill="F4F3F3"/>
          </w:tcPr>
          <w:p>
            <w:pPr>
              <w:spacing w:after="0"/>
              <w:rPr>
                <w:sz w:val="14"/>
                <w:szCs w:val="14"/>
                <w:color w:val="auto"/>
              </w:rPr>
            </w:pPr>
          </w:p>
        </w:tc>
      </w:tr>
      <w:tr>
        <w:trPr>
          <w:trHeight w:val="162"/>
        </w:trPr>
        <w:tc>
          <w:tcPr>
            <w:tcW w:w="7460" w:type="dxa"/>
            <w:vAlign w:val="bottom"/>
            <w:shd w:val="clear" w:color="auto" w:fill="F4F3F3"/>
          </w:tcPr>
          <w:p>
            <w:pPr>
              <w:ind w:left="160"/>
              <w:spacing w:after="0"/>
              <w:rPr>
                <w:sz w:val="20"/>
                <w:szCs w:val="20"/>
                <w:color w:val="auto"/>
              </w:rPr>
            </w:pPr>
            <w:r>
              <w:rPr>
                <w:rFonts w:ascii="Arial" w:cs="Arial" w:eastAsia="Arial" w:hAnsi="Arial"/>
                <w:sz w:val="14"/>
                <w:szCs w:val="14"/>
                <w:color w:val="auto"/>
              </w:rPr>
              <w:t>Debra L. Lee</w:t>
            </w:r>
          </w:p>
        </w:tc>
        <w:tc>
          <w:tcPr>
            <w:tcW w:w="580" w:type="dxa"/>
            <w:vAlign w:val="bottom"/>
            <w:shd w:val="clear" w:color="auto" w:fill="F4F3F3"/>
          </w:tcPr>
          <w:p>
            <w:pPr>
              <w:spacing w:after="0"/>
              <w:rPr>
                <w:sz w:val="14"/>
                <w:szCs w:val="14"/>
                <w:color w:val="auto"/>
              </w:rPr>
            </w:pPr>
          </w:p>
        </w:tc>
        <w:tc>
          <w:tcPr>
            <w:tcW w:w="1460" w:type="dxa"/>
            <w:vAlign w:val="bottom"/>
          </w:tcPr>
          <w:p>
            <w:pPr>
              <w:jc w:val="right"/>
              <w:ind w:right="488"/>
              <w:spacing w:after="0"/>
              <w:rPr>
                <w:sz w:val="20"/>
                <w:szCs w:val="20"/>
                <w:color w:val="auto"/>
              </w:rPr>
            </w:pPr>
            <w:r>
              <w:rPr>
                <w:rFonts w:ascii="Arial" w:cs="Arial" w:eastAsia="Arial" w:hAnsi="Arial"/>
                <w:sz w:val="14"/>
                <w:szCs w:val="14"/>
                <w:color w:val="auto"/>
              </w:rPr>
              <w:t>29,956(7)</w:t>
            </w:r>
          </w:p>
        </w:tc>
        <w:tc>
          <w:tcPr>
            <w:tcW w:w="600" w:type="dxa"/>
            <w:vAlign w:val="bottom"/>
            <w:shd w:val="clear" w:color="auto" w:fill="F4F3F3"/>
          </w:tcPr>
          <w:p>
            <w:pPr>
              <w:spacing w:after="0"/>
              <w:rPr>
                <w:sz w:val="14"/>
                <w:szCs w:val="14"/>
                <w:color w:val="auto"/>
              </w:rPr>
            </w:pPr>
          </w:p>
        </w:tc>
        <w:tc>
          <w:tcPr>
            <w:tcW w:w="600" w:type="dxa"/>
            <w:vAlign w:val="bottom"/>
            <w:shd w:val="clear" w:color="auto" w:fill="F4F3F3"/>
          </w:tcPr>
          <w:p>
            <w:pPr>
              <w:jc w:val="right"/>
              <w:ind w:right="168"/>
              <w:spacing w:after="0"/>
              <w:rPr>
                <w:sz w:val="20"/>
                <w:szCs w:val="20"/>
                <w:color w:val="auto"/>
              </w:rPr>
            </w:pPr>
            <w:r>
              <w:rPr>
                <w:rFonts w:ascii="Arial" w:cs="Arial" w:eastAsia="Arial" w:hAnsi="Arial"/>
                <w:sz w:val="14"/>
                <w:szCs w:val="14"/>
                <w:color w:val="auto"/>
              </w:rPr>
              <w:t>*</w:t>
            </w:r>
          </w:p>
        </w:tc>
        <w:tc>
          <w:tcPr>
            <w:tcW w:w="300" w:type="dxa"/>
            <w:vAlign w:val="bottom"/>
            <w:shd w:val="clear" w:color="auto" w:fill="F4F3F3"/>
          </w:tcPr>
          <w:p>
            <w:pPr>
              <w:spacing w:after="0"/>
              <w:rPr>
                <w:sz w:val="14"/>
                <w:szCs w:val="14"/>
                <w:color w:val="auto"/>
              </w:rPr>
            </w:pPr>
          </w:p>
        </w:tc>
      </w:tr>
      <w:tr>
        <w:trPr>
          <w:trHeight w:val="162"/>
        </w:trPr>
        <w:tc>
          <w:tcPr>
            <w:tcW w:w="7460" w:type="dxa"/>
            <w:vAlign w:val="bottom"/>
            <w:shd w:val="clear" w:color="auto" w:fill="F4F3F3"/>
          </w:tcPr>
          <w:p>
            <w:pPr>
              <w:ind w:left="140"/>
              <w:spacing w:after="0"/>
              <w:rPr>
                <w:sz w:val="20"/>
                <w:szCs w:val="20"/>
                <w:color w:val="auto"/>
              </w:rPr>
            </w:pPr>
            <w:r>
              <w:rPr>
                <w:rFonts w:ascii="Arial" w:cs="Arial" w:eastAsia="Arial" w:hAnsi="Arial"/>
                <w:sz w:val="14"/>
                <w:szCs w:val="14"/>
                <w:color w:val="auto"/>
              </w:rPr>
              <w:t>Aylwin B. Lewis</w:t>
            </w:r>
          </w:p>
        </w:tc>
        <w:tc>
          <w:tcPr>
            <w:tcW w:w="580" w:type="dxa"/>
            <w:vAlign w:val="bottom"/>
            <w:shd w:val="clear" w:color="auto" w:fill="F4F3F3"/>
          </w:tcPr>
          <w:p>
            <w:pPr>
              <w:spacing w:after="0"/>
              <w:rPr>
                <w:sz w:val="14"/>
                <w:szCs w:val="14"/>
                <w:color w:val="auto"/>
              </w:rPr>
            </w:pPr>
          </w:p>
        </w:tc>
        <w:tc>
          <w:tcPr>
            <w:tcW w:w="1460" w:type="dxa"/>
            <w:vAlign w:val="bottom"/>
          </w:tcPr>
          <w:p>
            <w:pPr>
              <w:jc w:val="right"/>
              <w:ind w:right="648"/>
              <w:spacing w:after="0"/>
              <w:rPr>
                <w:sz w:val="20"/>
                <w:szCs w:val="20"/>
                <w:color w:val="auto"/>
              </w:rPr>
            </w:pPr>
            <w:r>
              <w:rPr>
                <w:rFonts w:ascii="Arial" w:cs="Arial" w:eastAsia="Arial" w:hAnsi="Arial"/>
                <w:sz w:val="14"/>
                <w:szCs w:val="14"/>
                <w:color w:val="auto"/>
              </w:rPr>
              <w:t>10,608</w:t>
            </w:r>
          </w:p>
        </w:tc>
        <w:tc>
          <w:tcPr>
            <w:tcW w:w="600" w:type="dxa"/>
            <w:vAlign w:val="bottom"/>
            <w:shd w:val="clear" w:color="auto" w:fill="F4F3F3"/>
          </w:tcPr>
          <w:p>
            <w:pPr>
              <w:spacing w:after="0"/>
              <w:rPr>
                <w:sz w:val="14"/>
                <w:szCs w:val="14"/>
                <w:color w:val="auto"/>
              </w:rPr>
            </w:pPr>
          </w:p>
        </w:tc>
        <w:tc>
          <w:tcPr>
            <w:tcW w:w="600" w:type="dxa"/>
            <w:vAlign w:val="bottom"/>
            <w:shd w:val="clear" w:color="auto" w:fill="F4F3F3"/>
          </w:tcPr>
          <w:p>
            <w:pPr>
              <w:jc w:val="right"/>
              <w:ind w:right="168"/>
              <w:spacing w:after="0"/>
              <w:rPr>
                <w:sz w:val="20"/>
                <w:szCs w:val="20"/>
                <w:color w:val="auto"/>
              </w:rPr>
            </w:pPr>
            <w:r>
              <w:rPr>
                <w:rFonts w:ascii="Arial" w:cs="Arial" w:eastAsia="Arial" w:hAnsi="Arial"/>
                <w:sz w:val="14"/>
                <w:szCs w:val="14"/>
                <w:color w:val="auto"/>
              </w:rPr>
              <w:t>*</w:t>
            </w:r>
          </w:p>
        </w:tc>
        <w:tc>
          <w:tcPr>
            <w:tcW w:w="300" w:type="dxa"/>
            <w:vAlign w:val="bottom"/>
            <w:shd w:val="clear" w:color="auto" w:fill="F4F3F3"/>
          </w:tcPr>
          <w:p>
            <w:pPr>
              <w:spacing w:after="0"/>
              <w:rPr>
                <w:sz w:val="14"/>
                <w:szCs w:val="14"/>
                <w:color w:val="auto"/>
              </w:rPr>
            </w:pPr>
          </w:p>
        </w:tc>
      </w:tr>
      <w:tr>
        <w:trPr>
          <w:trHeight w:val="149"/>
        </w:trPr>
        <w:tc>
          <w:tcPr>
            <w:tcW w:w="7460" w:type="dxa"/>
            <w:vAlign w:val="bottom"/>
            <w:shd w:val="clear" w:color="auto" w:fill="F4F3F3"/>
          </w:tcPr>
          <w:p>
            <w:pPr>
              <w:ind w:left="160"/>
              <w:spacing w:after="0" w:line="149" w:lineRule="exact"/>
              <w:rPr>
                <w:sz w:val="20"/>
                <w:szCs w:val="20"/>
                <w:color w:val="auto"/>
              </w:rPr>
            </w:pPr>
            <w:r>
              <w:rPr>
                <w:rFonts w:ascii="Arial" w:cs="Arial" w:eastAsia="Arial" w:hAnsi="Arial"/>
                <w:sz w:val="14"/>
                <w:szCs w:val="14"/>
                <w:color w:val="auto"/>
              </w:rPr>
              <w:t>George Muñoz</w:t>
            </w:r>
          </w:p>
        </w:tc>
        <w:tc>
          <w:tcPr>
            <w:tcW w:w="580" w:type="dxa"/>
            <w:vAlign w:val="bottom"/>
            <w:shd w:val="clear" w:color="auto" w:fill="F4F3F3"/>
          </w:tcPr>
          <w:p>
            <w:pPr>
              <w:spacing w:after="0"/>
              <w:rPr>
                <w:sz w:val="12"/>
                <w:szCs w:val="12"/>
                <w:color w:val="auto"/>
              </w:rPr>
            </w:pPr>
          </w:p>
        </w:tc>
        <w:tc>
          <w:tcPr>
            <w:tcW w:w="146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64,269(7)(8)</w:t>
            </w:r>
          </w:p>
        </w:tc>
        <w:tc>
          <w:tcPr>
            <w:tcW w:w="600" w:type="dxa"/>
            <w:vAlign w:val="bottom"/>
            <w:shd w:val="clear" w:color="auto" w:fill="F4F3F3"/>
          </w:tcPr>
          <w:p>
            <w:pPr>
              <w:spacing w:after="0"/>
              <w:rPr>
                <w:sz w:val="12"/>
                <w:szCs w:val="12"/>
                <w:color w:val="auto"/>
              </w:rPr>
            </w:pPr>
          </w:p>
        </w:tc>
        <w:tc>
          <w:tcPr>
            <w:tcW w:w="60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r>
      <w:tr>
        <w:trPr>
          <w:trHeight w:val="162"/>
        </w:trPr>
        <w:tc>
          <w:tcPr>
            <w:tcW w:w="7460" w:type="dxa"/>
            <w:vAlign w:val="bottom"/>
            <w:shd w:val="clear" w:color="auto" w:fill="F4F3F3"/>
          </w:tcPr>
          <w:p>
            <w:pPr>
              <w:ind w:left="160"/>
              <w:spacing w:after="0"/>
              <w:rPr>
                <w:sz w:val="20"/>
                <w:szCs w:val="20"/>
                <w:color w:val="auto"/>
              </w:rPr>
            </w:pPr>
            <w:r>
              <w:rPr>
                <w:rFonts w:ascii="Arial" w:cs="Arial" w:eastAsia="Arial" w:hAnsi="Arial"/>
                <w:sz w:val="14"/>
                <w:szCs w:val="14"/>
                <w:color w:val="auto"/>
              </w:rPr>
              <w:t>Steven S Reinemund</w:t>
            </w:r>
          </w:p>
        </w:tc>
        <w:tc>
          <w:tcPr>
            <w:tcW w:w="580" w:type="dxa"/>
            <w:vAlign w:val="bottom"/>
            <w:shd w:val="clear" w:color="auto" w:fill="F4F3F3"/>
          </w:tcPr>
          <w:p>
            <w:pPr>
              <w:spacing w:after="0"/>
              <w:rPr>
                <w:sz w:val="14"/>
                <w:szCs w:val="14"/>
                <w:color w:val="auto"/>
              </w:rPr>
            </w:pPr>
          </w:p>
        </w:tc>
        <w:tc>
          <w:tcPr>
            <w:tcW w:w="1460" w:type="dxa"/>
            <w:vAlign w:val="bottom"/>
          </w:tcPr>
          <w:p>
            <w:pPr>
              <w:jc w:val="right"/>
              <w:ind w:right="488"/>
              <w:spacing w:after="0"/>
              <w:rPr>
                <w:sz w:val="20"/>
                <w:szCs w:val="20"/>
                <w:color w:val="auto"/>
              </w:rPr>
            </w:pPr>
            <w:r>
              <w:rPr>
                <w:rFonts w:ascii="Arial" w:cs="Arial" w:eastAsia="Arial" w:hAnsi="Arial"/>
                <w:sz w:val="14"/>
                <w:szCs w:val="14"/>
                <w:color w:val="auto"/>
              </w:rPr>
              <w:t>32,523(7)</w:t>
            </w:r>
          </w:p>
        </w:tc>
        <w:tc>
          <w:tcPr>
            <w:tcW w:w="600" w:type="dxa"/>
            <w:vAlign w:val="bottom"/>
            <w:shd w:val="clear" w:color="auto" w:fill="F4F3F3"/>
          </w:tcPr>
          <w:p>
            <w:pPr>
              <w:spacing w:after="0"/>
              <w:rPr>
                <w:sz w:val="14"/>
                <w:szCs w:val="14"/>
                <w:color w:val="auto"/>
              </w:rPr>
            </w:pPr>
          </w:p>
        </w:tc>
        <w:tc>
          <w:tcPr>
            <w:tcW w:w="6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r>
      <w:tr>
        <w:trPr>
          <w:trHeight w:val="162"/>
        </w:trPr>
        <w:tc>
          <w:tcPr>
            <w:tcW w:w="7460" w:type="dxa"/>
            <w:vAlign w:val="bottom"/>
            <w:shd w:val="clear" w:color="auto" w:fill="F4F3F3"/>
          </w:tcPr>
          <w:p>
            <w:pPr>
              <w:ind w:left="160"/>
              <w:spacing w:after="0"/>
              <w:rPr>
                <w:sz w:val="20"/>
                <w:szCs w:val="20"/>
                <w:color w:val="auto"/>
              </w:rPr>
            </w:pPr>
            <w:r>
              <w:rPr>
                <w:rFonts w:ascii="Arial" w:cs="Arial" w:eastAsia="Arial" w:hAnsi="Arial"/>
                <w:sz w:val="14"/>
                <w:szCs w:val="14"/>
                <w:color w:val="auto"/>
              </w:rPr>
              <w:t>W. Mitt Romney</w:t>
            </w:r>
          </w:p>
        </w:tc>
        <w:tc>
          <w:tcPr>
            <w:tcW w:w="580" w:type="dxa"/>
            <w:vAlign w:val="bottom"/>
            <w:shd w:val="clear" w:color="auto" w:fill="F4F3F3"/>
          </w:tcPr>
          <w:p>
            <w:pPr>
              <w:spacing w:after="0"/>
              <w:rPr>
                <w:sz w:val="14"/>
                <w:szCs w:val="14"/>
                <w:color w:val="auto"/>
              </w:rPr>
            </w:pPr>
          </w:p>
        </w:tc>
        <w:tc>
          <w:tcPr>
            <w:tcW w:w="1460" w:type="dxa"/>
            <w:vAlign w:val="bottom"/>
          </w:tcPr>
          <w:p>
            <w:pPr>
              <w:jc w:val="right"/>
              <w:ind w:right="488"/>
              <w:spacing w:after="0"/>
              <w:rPr>
                <w:sz w:val="20"/>
                <w:szCs w:val="20"/>
                <w:color w:val="auto"/>
              </w:rPr>
            </w:pPr>
            <w:r>
              <w:rPr>
                <w:rFonts w:ascii="Arial" w:cs="Arial" w:eastAsia="Arial" w:hAnsi="Arial"/>
                <w:sz w:val="14"/>
                <w:szCs w:val="14"/>
                <w:color w:val="auto"/>
              </w:rPr>
              <w:t>14,888(7)</w:t>
            </w:r>
          </w:p>
        </w:tc>
        <w:tc>
          <w:tcPr>
            <w:tcW w:w="600" w:type="dxa"/>
            <w:vAlign w:val="bottom"/>
            <w:shd w:val="clear" w:color="auto" w:fill="F4F3F3"/>
          </w:tcPr>
          <w:p>
            <w:pPr>
              <w:spacing w:after="0"/>
              <w:rPr>
                <w:sz w:val="14"/>
                <w:szCs w:val="14"/>
                <w:color w:val="auto"/>
              </w:rPr>
            </w:pPr>
          </w:p>
        </w:tc>
        <w:tc>
          <w:tcPr>
            <w:tcW w:w="6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r>
      <w:tr>
        <w:trPr>
          <w:trHeight w:val="162"/>
        </w:trPr>
        <w:tc>
          <w:tcPr>
            <w:tcW w:w="7460" w:type="dxa"/>
            <w:vAlign w:val="bottom"/>
            <w:shd w:val="clear" w:color="auto" w:fill="F4F3F3"/>
          </w:tcPr>
          <w:p>
            <w:pPr>
              <w:ind w:left="140"/>
              <w:spacing w:after="0"/>
              <w:rPr>
                <w:sz w:val="20"/>
                <w:szCs w:val="20"/>
                <w:color w:val="auto"/>
              </w:rPr>
            </w:pPr>
            <w:r>
              <w:rPr>
                <w:rFonts w:ascii="Arial" w:cs="Arial" w:eastAsia="Arial" w:hAnsi="Arial"/>
                <w:sz w:val="14"/>
                <w:szCs w:val="14"/>
                <w:color w:val="auto"/>
              </w:rPr>
              <w:t>Arne M. Sorenson</w:t>
            </w:r>
          </w:p>
        </w:tc>
        <w:tc>
          <w:tcPr>
            <w:tcW w:w="580" w:type="dxa"/>
            <w:vAlign w:val="bottom"/>
            <w:shd w:val="clear" w:color="auto" w:fill="F4F3F3"/>
          </w:tcPr>
          <w:p>
            <w:pPr>
              <w:spacing w:after="0"/>
              <w:rPr>
                <w:sz w:val="14"/>
                <w:szCs w:val="14"/>
                <w:color w:val="auto"/>
              </w:rPr>
            </w:pPr>
          </w:p>
        </w:tc>
        <w:tc>
          <w:tcPr>
            <w:tcW w:w="1460" w:type="dxa"/>
            <w:vAlign w:val="bottom"/>
          </w:tcPr>
          <w:p>
            <w:pPr>
              <w:jc w:val="right"/>
              <w:ind w:right="488"/>
              <w:spacing w:after="0"/>
              <w:rPr>
                <w:sz w:val="20"/>
                <w:szCs w:val="20"/>
                <w:color w:val="auto"/>
              </w:rPr>
            </w:pPr>
            <w:r>
              <w:rPr>
                <w:rFonts w:ascii="Arial" w:cs="Arial" w:eastAsia="Arial" w:hAnsi="Arial"/>
                <w:sz w:val="14"/>
                <w:szCs w:val="14"/>
                <w:color w:val="auto"/>
              </w:rPr>
              <w:t>1,628,654(8)</w:t>
            </w:r>
          </w:p>
        </w:tc>
        <w:tc>
          <w:tcPr>
            <w:tcW w:w="600" w:type="dxa"/>
            <w:vAlign w:val="bottom"/>
            <w:shd w:val="clear" w:color="auto" w:fill="F4F3F3"/>
          </w:tcPr>
          <w:p>
            <w:pPr>
              <w:spacing w:after="0"/>
              <w:rPr>
                <w:sz w:val="14"/>
                <w:szCs w:val="14"/>
                <w:color w:val="auto"/>
              </w:rPr>
            </w:pPr>
          </w:p>
        </w:tc>
        <w:tc>
          <w:tcPr>
            <w:tcW w:w="6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r>
      <w:tr>
        <w:trPr>
          <w:trHeight w:val="187"/>
        </w:trPr>
        <w:tc>
          <w:tcPr>
            <w:tcW w:w="7460" w:type="dxa"/>
            <w:vAlign w:val="bottom"/>
            <w:shd w:val="clear" w:color="auto" w:fill="F4F3F3"/>
          </w:tcPr>
          <w:p>
            <w:pPr>
              <w:ind w:left="160"/>
              <w:spacing w:after="0"/>
              <w:rPr>
                <w:sz w:val="20"/>
                <w:szCs w:val="20"/>
                <w:color w:val="auto"/>
              </w:rPr>
            </w:pPr>
            <w:r>
              <w:rPr>
                <w:rFonts w:ascii="Arial" w:cs="Arial" w:eastAsia="Arial" w:hAnsi="Arial"/>
                <w:sz w:val="14"/>
                <w:szCs w:val="14"/>
                <w:color w:val="auto"/>
              </w:rPr>
              <w:t>Susan C. Schwab</w:t>
            </w:r>
          </w:p>
        </w:tc>
        <w:tc>
          <w:tcPr>
            <w:tcW w:w="580" w:type="dxa"/>
            <w:vAlign w:val="bottom"/>
            <w:shd w:val="clear" w:color="auto" w:fill="F4F3F3"/>
          </w:tcPr>
          <w:p>
            <w:pPr>
              <w:spacing w:after="0"/>
              <w:rPr>
                <w:sz w:val="16"/>
                <w:szCs w:val="16"/>
                <w:color w:val="auto"/>
              </w:rPr>
            </w:pPr>
          </w:p>
        </w:tc>
        <w:tc>
          <w:tcPr>
            <w:tcW w:w="1460" w:type="dxa"/>
            <w:vAlign w:val="bottom"/>
          </w:tcPr>
          <w:p>
            <w:pPr>
              <w:jc w:val="right"/>
              <w:ind w:right="488"/>
              <w:spacing w:after="0"/>
              <w:rPr>
                <w:sz w:val="20"/>
                <w:szCs w:val="20"/>
                <w:color w:val="auto"/>
              </w:rPr>
            </w:pPr>
            <w:r>
              <w:rPr>
                <w:rFonts w:ascii="Arial" w:cs="Arial" w:eastAsia="Arial" w:hAnsi="Arial"/>
                <w:sz w:val="14"/>
                <w:szCs w:val="14"/>
                <w:color w:val="auto"/>
              </w:rPr>
              <w:t>5,855(7)</w:t>
            </w:r>
          </w:p>
        </w:tc>
        <w:tc>
          <w:tcPr>
            <w:tcW w:w="600" w:type="dxa"/>
            <w:vAlign w:val="bottom"/>
            <w:shd w:val="clear" w:color="auto" w:fill="F4F3F3"/>
          </w:tcPr>
          <w:p>
            <w:pPr>
              <w:spacing w:after="0"/>
              <w:rPr>
                <w:sz w:val="16"/>
                <w:szCs w:val="16"/>
                <w:color w:val="auto"/>
              </w:rPr>
            </w:pPr>
          </w:p>
        </w:tc>
        <w:tc>
          <w:tcPr>
            <w:tcW w:w="6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r>
      <w:tr>
        <w:trPr>
          <w:trHeight w:val="164"/>
        </w:trPr>
        <w:tc>
          <w:tcPr>
            <w:tcW w:w="7460" w:type="dxa"/>
            <w:vAlign w:val="bottom"/>
            <w:shd w:val="clear" w:color="auto" w:fill="F4F3F3"/>
          </w:tcPr>
          <w:p>
            <w:pPr>
              <w:ind w:left="140"/>
              <w:spacing w:after="0"/>
              <w:rPr>
                <w:sz w:val="20"/>
                <w:szCs w:val="20"/>
                <w:color w:val="auto"/>
              </w:rPr>
            </w:pPr>
            <w:r>
              <w:rPr>
                <w:rFonts w:ascii="Arial" w:cs="Arial" w:eastAsia="Arial" w:hAnsi="Arial"/>
                <w:sz w:val="14"/>
                <w:szCs w:val="14"/>
                <w:b w:val="1"/>
                <w:bCs w:val="1"/>
                <w:color w:val="998C87"/>
              </w:rPr>
              <w:t>Other Named Executive Officers:</w:t>
            </w:r>
          </w:p>
        </w:tc>
        <w:tc>
          <w:tcPr>
            <w:tcW w:w="580" w:type="dxa"/>
            <w:vAlign w:val="bottom"/>
            <w:shd w:val="clear" w:color="auto" w:fill="F4F3F3"/>
          </w:tcPr>
          <w:p>
            <w:pPr>
              <w:spacing w:after="0"/>
              <w:rPr>
                <w:sz w:val="14"/>
                <w:szCs w:val="14"/>
                <w:color w:val="auto"/>
              </w:rPr>
            </w:pPr>
          </w:p>
        </w:tc>
        <w:tc>
          <w:tcPr>
            <w:tcW w:w="1460" w:type="dxa"/>
            <w:vAlign w:val="bottom"/>
          </w:tcPr>
          <w:p>
            <w:pPr>
              <w:spacing w:after="0"/>
              <w:rPr>
                <w:sz w:val="14"/>
                <w:szCs w:val="14"/>
                <w:color w:val="auto"/>
              </w:rPr>
            </w:pPr>
          </w:p>
        </w:tc>
        <w:tc>
          <w:tcPr>
            <w:tcW w:w="600" w:type="dxa"/>
            <w:vAlign w:val="bottom"/>
            <w:shd w:val="clear" w:color="auto" w:fill="F4F3F3"/>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2"/>
        </w:trPr>
        <w:tc>
          <w:tcPr>
            <w:tcW w:w="7460" w:type="dxa"/>
            <w:vAlign w:val="bottom"/>
            <w:shd w:val="clear" w:color="auto" w:fill="F4F3F3"/>
          </w:tcPr>
          <w:p>
            <w:pPr>
              <w:ind w:left="140"/>
              <w:spacing w:after="0"/>
              <w:rPr>
                <w:sz w:val="20"/>
                <w:szCs w:val="20"/>
                <w:color w:val="auto"/>
              </w:rPr>
            </w:pPr>
            <w:r>
              <w:rPr>
                <w:rFonts w:ascii="Arial" w:cs="Arial" w:eastAsia="Arial" w:hAnsi="Arial"/>
                <w:sz w:val="14"/>
                <w:szCs w:val="14"/>
                <w:color w:val="auto"/>
              </w:rPr>
              <w:t>Anthony G. Capuano</w:t>
            </w:r>
          </w:p>
        </w:tc>
        <w:tc>
          <w:tcPr>
            <w:tcW w:w="580" w:type="dxa"/>
            <w:vAlign w:val="bottom"/>
            <w:shd w:val="clear" w:color="auto" w:fill="F4F3F3"/>
          </w:tcPr>
          <w:p>
            <w:pPr>
              <w:spacing w:after="0"/>
              <w:rPr>
                <w:sz w:val="14"/>
                <w:szCs w:val="14"/>
                <w:color w:val="auto"/>
              </w:rPr>
            </w:pPr>
          </w:p>
        </w:tc>
        <w:tc>
          <w:tcPr>
            <w:tcW w:w="1460" w:type="dxa"/>
            <w:vAlign w:val="bottom"/>
          </w:tcPr>
          <w:p>
            <w:pPr>
              <w:jc w:val="right"/>
              <w:ind w:right="488"/>
              <w:spacing w:after="0"/>
              <w:rPr>
                <w:sz w:val="20"/>
                <w:szCs w:val="20"/>
                <w:color w:val="auto"/>
              </w:rPr>
            </w:pPr>
            <w:r>
              <w:rPr>
                <w:rFonts w:ascii="Arial" w:cs="Arial" w:eastAsia="Arial" w:hAnsi="Arial"/>
                <w:sz w:val="14"/>
                <w:szCs w:val="14"/>
                <w:color w:val="auto"/>
              </w:rPr>
              <w:t>155,383(8)</w:t>
            </w:r>
          </w:p>
        </w:tc>
        <w:tc>
          <w:tcPr>
            <w:tcW w:w="600" w:type="dxa"/>
            <w:vAlign w:val="bottom"/>
            <w:shd w:val="clear" w:color="auto" w:fill="F4F3F3"/>
          </w:tcPr>
          <w:p>
            <w:pPr>
              <w:spacing w:after="0"/>
              <w:rPr>
                <w:sz w:val="14"/>
                <w:szCs w:val="14"/>
                <w:color w:val="auto"/>
              </w:rPr>
            </w:pPr>
          </w:p>
        </w:tc>
        <w:tc>
          <w:tcPr>
            <w:tcW w:w="6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r>
      <w:tr>
        <w:trPr>
          <w:trHeight w:val="162"/>
        </w:trPr>
        <w:tc>
          <w:tcPr>
            <w:tcW w:w="7460" w:type="dxa"/>
            <w:vAlign w:val="bottom"/>
            <w:shd w:val="clear" w:color="auto" w:fill="F4F3F3"/>
          </w:tcPr>
          <w:p>
            <w:pPr>
              <w:ind w:left="160"/>
              <w:spacing w:after="0"/>
              <w:rPr>
                <w:sz w:val="20"/>
                <w:szCs w:val="20"/>
                <w:color w:val="auto"/>
              </w:rPr>
            </w:pPr>
            <w:r>
              <w:rPr>
                <w:rFonts w:ascii="Arial" w:cs="Arial" w:eastAsia="Arial" w:hAnsi="Arial"/>
                <w:sz w:val="14"/>
                <w:szCs w:val="14"/>
                <w:color w:val="auto"/>
              </w:rPr>
              <w:t>Stephanie C. Linnartz</w:t>
            </w:r>
          </w:p>
        </w:tc>
        <w:tc>
          <w:tcPr>
            <w:tcW w:w="580" w:type="dxa"/>
            <w:vAlign w:val="bottom"/>
            <w:shd w:val="clear" w:color="auto" w:fill="F4F3F3"/>
          </w:tcPr>
          <w:p>
            <w:pPr>
              <w:spacing w:after="0"/>
              <w:rPr>
                <w:sz w:val="14"/>
                <w:szCs w:val="14"/>
                <w:color w:val="auto"/>
              </w:rPr>
            </w:pPr>
          </w:p>
        </w:tc>
        <w:tc>
          <w:tcPr>
            <w:tcW w:w="1460" w:type="dxa"/>
            <w:vAlign w:val="bottom"/>
          </w:tcPr>
          <w:p>
            <w:pPr>
              <w:jc w:val="right"/>
              <w:ind w:right="488"/>
              <w:spacing w:after="0"/>
              <w:rPr>
                <w:sz w:val="20"/>
                <w:szCs w:val="20"/>
                <w:color w:val="auto"/>
              </w:rPr>
            </w:pPr>
            <w:r>
              <w:rPr>
                <w:rFonts w:ascii="Arial" w:cs="Arial" w:eastAsia="Arial" w:hAnsi="Arial"/>
                <w:sz w:val="14"/>
                <w:szCs w:val="14"/>
                <w:color w:val="auto"/>
              </w:rPr>
              <w:t>63,172(8)</w:t>
            </w:r>
          </w:p>
        </w:tc>
        <w:tc>
          <w:tcPr>
            <w:tcW w:w="600" w:type="dxa"/>
            <w:vAlign w:val="bottom"/>
            <w:shd w:val="clear" w:color="auto" w:fill="F4F3F3"/>
          </w:tcPr>
          <w:p>
            <w:pPr>
              <w:spacing w:after="0"/>
              <w:rPr>
                <w:sz w:val="14"/>
                <w:szCs w:val="14"/>
                <w:color w:val="auto"/>
              </w:rPr>
            </w:pPr>
          </w:p>
        </w:tc>
        <w:tc>
          <w:tcPr>
            <w:tcW w:w="6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r>
      <w:tr>
        <w:trPr>
          <w:trHeight w:val="162"/>
        </w:trPr>
        <w:tc>
          <w:tcPr>
            <w:tcW w:w="7460" w:type="dxa"/>
            <w:vAlign w:val="bottom"/>
            <w:shd w:val="clear" w:color="auto" w:fill="F4F3F3"/>
          </w:tcPr>
          <w:p>
            <w:pPr>
              <w:ind w:left="160"/>
              <w:spacing w:after="0"/>
              <w:rPr>
                <w:sz w:val="20"/>
                <w:szCs w:val="20"/>
                <w:color w:val="auto"/>
              </w:rPr>
            </w:pPr>
            <w:r>
              <w:rPr>
                <w:rFonts w:ascii="Arial" w:cs="Arial" w:eastAsia="Arial" w:hAnsi="Arial"/>
                <w:sz w:val="14"/>
                <w:szCs w:val="14"/>
                <w:color w:val="auto"/>
              </w:rPr>
              <w:t>David J. Grissen</w:t>
            </w:r>
          </w:p>
        </w:tc>
        <w:tc>
          <w:tcPr>
            <w:tcW w:w="580" w:type="dxa"/>
            <w:vAlign w:val="bottom"/>
            <w:shd w:val="clear" w:color="auto" w:fill="F4F3F3"/>
          </w:tcPr>
          <w:p>
            <w:pPr>
              <w:spacing w:after="0"/>
              <w:rPr>
                <w:sz w:val="14"/>
                <w:szCs w:val="14"/>
                <w:color w:val="auto"/>
              </w:rPr>
            </w:pPr>
          </w:p>
        </w:tc>
        <w:tc>
          <w:tcPr>
            <w:tcW w:w="1460" w:type="dxa"/>
            <w:vAlign w:val="bottom"/>
          </w:tcPr>
          <w:p>
            <w:pPr>
              <w:jc w:val="right"/>
              <w:ind w:right="488"/>
              <w:spacing w:after="0"/>
              <w:rPr>
                <w:sz w:val="20"/>
                <w:szCs w:val="20"/>
                <w:color w:val="auto"/>
              </w:rPr>
            </w:pPr>
            <w:r>
              <w:rPr>
                <w:rFonts w:ascii="Arial" w:cs="Arial" w:eastAsia="Arial" w:hAnsi="Arial"/>
                <w:sz w:val="14"/>
                <w:szCs w:val="14"/>
                <w:color w:val="auto"/>
              </w:rPr>
              <w:t>307,835(8)</w:t>
            </w:r>
          </w:p>
        </w:tc>
        <w:tc>
          <w:tcPr>
            <w:tcW w:w="600" w:type="dxa"/>
            <w:vAlign w:val="bottom"/>
            <w:shd w:val="clear" w:color="auto" w:fill="F4F3F3"/>
          </w:tcPr>
          <w:p>
            <w:pPr>
              <w:spacing w:after="0"/>
              <w:rPr>
                <w:sz w:val="14"/>
                <w:szCs w:val="14"/>
                <w:color w:val="auto"/>
              </w:rPr>
            </w:pPr>
          </w:p>
        </w:tc>
        <w:tc>
          <w:tcPr>
            <w:tcW w:w="6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r>
      <w:tr>
        <w:trPr>
          <w:trHeight w:val="187"/>
        </w:trPr>
        <w:tc>
          <w:tcPr>
            <w:tcW w:w="7460" w:type="dxa"/>
            <w:vAlign w:val="bottom"/>
            <w:shd w:val="clear" w:color="auto" w:fill="F4F3F3"/>
          </w:tcPr>
          <w:p>
            <w:pPr>
              <w:ind w:left="160"/>
              <w:spacing w:after="0"/>
              <w:rPr>
                <w:sz w:val="20"/>
                <w:szCs w:val="20"/>
                <w:color w:val="auto"/>
              </w:rPr>
            </w:pPr>
            <w:r>
              <w:rPr>
                <w:rFonts w:ascii="Arial" w:cs="Arial" w:eastAsia="Arial" w:hAnsi="Arial"/>
                <w:sz w:val="14"/>
                <w:szCs w:val="14"/>
                <w:color w:val="auto"/>
              </w:rPr>
              <w:t>Kathleen K. Oberg</w:t>
            </w:r>
          </w:p>
        </w:tc>
        <w:tc>
          <w:tcPr>
            <w:tcW w:w="580" w:type="dxa"/>
            <w:vAlign w:val="bottom"/>
            <w:shd w:val="clear" w:color="auto" w:fill="F4F3F3"/>
          </w:tcPr>
          <w:p>
            <w:pPr>
              <w:spacing w:after="0"/>
              <w:rPr>
                <w:sz w:val="16"/>
                <w:szCs w:val="16"/>
                <w:color w:val="auto"/>
              </w:rPr>
            </w:pPr>
          </w:p>
        </w:tc>
        <w:tc>
          <w:tcPr>
            <w:tcW w:w="1460" w:type="dxa"/>
            <w:vAlign w:val="bottom"/>
          </w:tcPr>
          <w:p>
            <w:pPr>
              <w:jc w:val="right"/>
              <w:ind w:right="488"/>
              <w:spacing w:after="0"/>
              <w:rPr>
                <w:sz w:val="20"/>
                <w:szCs w:val="20"/>
                <w:color w:val="auto"/>
              </w:rPr>
            </w:pPr>
            <w:r>
              <w:rPr>
                <w:rFonts w:ascii="Arial" w:cs="Arial" w:eastAsia="Arial" w:hAnsi="Arial"/>
                <w:sz w:val="14"/>
                <w:szCs w:val="14"/>
                <w:color w:val="auto"/>
              </w:rPr>
              <w:t>36,560(8)</w:t>
            </w:r>
          </w:p>
        </w:tc>
        <w:tc>
          <w:tcPr>
            <w:tcW w:w="600" w:type="dxa"/>
            <w:vAlign w:val="bottom"/>
            <w:shd w:val="clear" w:color="auto" w:fill="F4F3F3"/>
          </w:tcPr>
          <w:p>
            <w:pPr>
              <w:spacing w:after="0"/>
              <w:rPr>
                <w:sz w:val="16"/>
                <w:szCs w:val="16"/>
                <w:color w:val="auto"/>
              </w:rPr>
            </w:pPr>
          </w:p>
        </w:tc>
        <w:tc>
          <w:tcPr>
            <w:tcW w:w="6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r>
      <w:tr>
        <w:trPr>
          <w:trHeight w:val="164"/>
        </w:trPr>
        <w:tc>
          <w:tcPr>
            <w:tcW w:w="7460" w:type="dxa"/>
            <w:vAlign w:val="bottom"/>
            <w:shd w:val="clear" w:color="auto" w:fill="F4F3F3"/>
          </w:tcPr>
          <w:p>
            <w:pPr>
              <w:ind w:left="140"/>
              <w:spacing w:after="0"/>
              <w:rPr>
                <w:sz w:val="20"/>
                <w:szCs w:val="20"/>
                <w:color w:val="auto"/>
              </w:rPr>
            </w:pPr>
            <w:r>
              <w:rPr>
                <w:rFonts w:ascii="Arial" w:cs="Arial" w:eastAsia="Arial" w:hAnsi="Arial"/>
                <w:sz w:val="14"/>
                <w:szCs w:val="14"/>
                <w:b w:val="1"/>
                <w:bCs w:val="1"/>
                <w:color w:val="998C87"/>
              </w:rPr>
              <w:t>All Directors and Executive Officers as a Group:</w:t>
            </w:r>
          </w:p>
        </w:tc>
        <w:tc>
          <w:tcPr>
            <w:tcW w:w="580" w:type="dxa"/>
            <w:vAlign w:val="bottom"/>
            <w:shd w:val="clear" w:color="auto" w:fill="F4F3F3"/>
          </w:tcPr>
          <w:p>
            <w:pPr>
              <w:spacing w:after="0"/>
              <w:rPr>
                <w:sz w:val="14"/>
                <w:szCs w:val="14"/>
                <w:color w:val="auto"/>
              </w:rPr>
            </w:pPr>
          </w:p>
        </w:tc>
        <w:tc>
          <w:tcPr>
            <w:tcW w:w="1460" w:type="dxa"/>
            <w:vAlign w:val="bottom"/>
          </w:tcPr>
          <w:p>
            <w:pPr>
              <w:spacing w:after="0"/>
              <w:rPr>
                <w:sz w:val="14"/>
                <w:szCs w:val="14"/>
                <w:color w:val="auto"/>
              </w:rPr>
            </w:pPr>
          </w:p>
        </w:tc>
        <w:tc>
          <w:tcPr>
            <w:tcW w:w="600" w:type="dxa"/>
            <w:vAlign w:val="bottom"/>
            <w:shd w:val="clear" w:color="auto" w:fill="F4F3F3"/>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200"/>
        </w:trPr>
        <w:tc>
          <w:tcPr>
            <w:tcW w:w="7460" w:type="dxa"/>
            <w:vAlign w:val="bottom"/>
            <w:shd w:val="clear" w:color="auto" w:fill="F4F3F3"/>
          </w:tcPr>
          <w:p>
            <w:pPr>
              <w:ind w:left="160"/>
              <w:spacing w:after="0"/>
              <w:rPr>
                <w:sz w:val="20"/>
                <w:szCs w:val="20"/>
                <w:color w:val="auto"/>
              </w:rPr>
            </w:pPr>
            <w:r>
              <w:rPr>
                <w:rFonts w:ascii="Arial" w:cs="Arial" w:eastAsia="Arial" w:hAnsi="Arial"/>
                <w:sz w:val="14"/>
                <w:szCs w:val="14"/>
                <w:color w:val="auto"/>
              </w:rPr>
              <w:t>(24 persons)</w:t>
            </w:r>
          </w:p>
        </w:tc>
        <w:tc>
          <w:tcPr>
            <w:tcW w:w="580" w:type="dxa"/>
            <w:vAlign w:val="bottom"/>
            <w:shd w:val="clear" w:color="auto" w:fill="F4F3F3"/>
          </w:tcPr>
          <w:p>
            <w:pPr>
              <w:spacing w:after="0"/>
              <w:rPr>
                <w:sz w:val="17"/>
                <w:szCs w:val="17"/>
                <w:color w:val="auto"/>
              </w:rPr>
            </w:pPr>
          </w:p>
        </w:tc>
        <w:tc>
          <w:tcPr>
            <w:tcW w:w="1460" w:type="dxa"/>
            <w:vAlign w:val="bottom"/>
          </w:tcPr>
          <w:p>
            <w:pPr>
              <w:jc w:val="right"/>
              <w:ind w:right="488"/>
              <w:spacing w:after="0"/>
              <w:rPr>
                <w:sz w:val="20"/>
                <w:szCs w:val="20"/>
                <w:color w:val="auto"/>
              </w:rPr>
            </w:pPr>
            <w:r>
              <w:rPr>
                <w:rFonts w:ascii="Arial" w:cs="Arial" w:eastAsia="Arial" w:hAnsi="Arial"/>
                <w:sz w:val="14"/>
                <w:szCs w:val="14"/>
                <w:color w:val="auto"/>
              </w:rPr>
              <w:t>43,618,848(9)</w:t>
            </w:r>
          </w:p>
        </w:tc>
        <w:tc>
          <w:tcPr>
            <w:tcW w:w="600" w:type="dxa"/>
            <w:vAlign w:val="bottom"/>
            <w:shd w:val="clear" w:color="auto" w:fill="F4F3F3"/>
          </w:tcPr>
          <w:p>
            <w:pPr>
              <w:spacing w:after="0"/>
              <w:rPr>
                <w:sz w:val="17"/>
                <w:szCs w:val="17"/>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w w:val="96"/>
              </w:rPr>
              <w:t>12.99%</w:t>
            </w:r>
          </w:p>
        </w:tc>
        <w:tc>
          <w:tcPr>
            <w:tcW w:w="300" w:type="dxa"/>
            <w:vAlign w:val="bottom"/>
          </w:tcPr>
          <w:p>
            <w:pPr>
              <w:spacing w:after="0"/>
              <w:rPr>
                <w:sz w:val="17"/>
                <w:szCs w:val="17"/>
                <w:color w:val="auto"/>
              </w:rPr>
            </w:pPr>
          </w:p>
        </w:tc>
      </w:tr>
      <w:tr>
        <w:trPr>
          <w:trHeight w:val="164"/>
        </w:trPr>
        <w:tc>
          <w:tcPr>
            <w:tcW w:w="7460" w:type="dxa"/>
            <w:vAlign w:val="bottom"/>
            <w:shd w:val="clear" w:color="auto" w:fill="F4F3F3"/>
          </w:tcPr>
          <w:p>
            <w:pPr>
              <w:ind w:left="140"/>
              <w:spacing w:after="0"/>
              <w:rPr>
                <w:sz w:val="20"/>
                <w:szCs w:val="20"/>
                <w:color w:val="auto"/>
              </w:rPr>
            </w:pPr>
            <w:r>
              <w:rPr>
                <w:rFonts w:ascii="Arial" w:cs="Arial" w:eastAsia="Arial" w:hAnsi="Arial"/>
                <w:sz w:val="14"/>
                <w:szCs w:val="14"/>
                <w:b w:val="1"/>
                <w:bCs w:val="1"/>
                <w:color w:val="998C87"/>
              </w:rPr>
              <w:t>Other 5% Beneficial Owners:</w:t>
            </w:r>
          </w:p>
        </w:tc>
        <w:tc>
          <w:tcPr>
            <w:tcW w:w="580" w:type="dxa"/>
            <w:vAlign w:val="bottom"/>
            <w:shd w:val="clear" w:color="auto" w:fill="F4F3F3"/>
          </w:tcPr>
          <w:p>
            <w:pPr>
              <w:spacing w:after="0"/>
              <w:rPr>
                <w:sz w:val="14"/>
                <w:szCs w:val="14"/>
                <w:color w:val="auto"/>
              </w:rPr>
            </w:pPr>
          </w:p>
        </w:tc>
        <w:tc>
          <w:tcPr>
            <w:tcW w:w="1460" w:type="dxa"/>
            <w:vAlign w:val="bottom"/>
          </w:tcPr>
          <w:p>
            <w:pPr>
              <w:spacing w:after="0"/>
              <w:rPr>
                <w:sz w:val="14"/>
                <w:szCs w:val="14"/>
                <w:color w:val="auto"/>
              </w:rPr>
            </w:pPr>
          </w:p>
        </w:tc>
        <w:tc>
          <w:tcPr>
            <w:tcW w:w="600" w:type="dxa"/>
            <w:vAlign w:val="bottom"/>
            <w:shd w:val="clear" w:color="auto" w:fill="F4F3F3"/>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2"/>
        </w:trPr>
        <w:tc>
          <w:tcPr>
            <w:tcW w:w="7460" w:type="dxa"/>
            <w:vAlign w:val="bottom"/>
            <w:shd w:val="clear" w:color="auto" w:fill="F4F3F3"/>
          </w:tcPr>
          <w:p>
            <w:pPr>
              <w:ind w:left="160"/>
              <w:spacing w:after="0"/>
              <w:rPr>
                <w:sz w:val="20"/>
                <w:szCs w:val="20"/>
                <w:color w:val="auto"/>
              </w:rPr>
            </w:pPr>
            <w:r>
              <w:rPr>
                <w:rFonts w:ascii="Arial" w:cs="Arial" w:eastAsia="Arial" w:hAnsi="Arial"/>
                <w:sz w:val="14"/>
                <w:szCs w:val="14"/>
                <w:color w:val="auto"/>
              </w:rPr>
              <w:t>Richard E. Marriott</w:t>
            </w:r>
          </w:p>
        </w:tc>
        <w:tc>
          <w:tcPr>
            <w:tcW w:w="580" w:type="dxa"/>
            <w:vAlign w:val="bottom"/>
            <w:shd w:val="clear" w:color="auto" w:fill="F4F3F3"/>
          </w:tcPr>
          <w:p>
            <w:pPr>
              <w:spacing w:after="0"/>
              <w:rPr>
                <w:sz w:val="14"/>
                <w:szCs w:val="14"/>
                <w:color w:val="auto"/>
              </w:rPr>
            </w:pPr>
          </w:p>
        </w:tc>
        <w:tc>
          <w:tcPr>
            <w:tcW w:w="1460" w:type="dxa"/>
            <w:vAlign w:val="bottom"/>
          </w:tcPr>
          <w:p>
            <w:pPr>
              <w:ind w:left="20"/>
              <w:spacing w:after="0"/>
              <w:rPr>
                <w:sz w:val="20"/>
                <w:szCs w:val="20"/>
                <w:color w:val="auto"/>
              </w:rPr>
            </w:pPr>
            <w:r>
              <w:rPr>
                <w:rFonts w:ascii="Arial" w:cs="Arial" w:eastAsia="Arial" w:hAnsi="Arial"/>
                <w:sz w:val="14"/>
                <w:szCs w:val="14"/>
                <w:color w:val="auto"/>
              </w:rPr>
              <w:t>30,014,082(2)(11)</w:t>
            </w:r>
          </w:p>
        </w:tc>
        <w:tc>
          <w:tcPr>
            <w:tcW w:w="600" w:type="dxa"/>
            <w:vAlign w:val="bottom"/>
            <w:shd w:val="clear" w:color="auto" w:fill="F4F3F3"/>
          </w:tcPr>
          <w:p>
            <w:pPr>
              <w:spacing w:after="0"/>
              <w:rPr>
                <w:sz w:val="14"/>
                <w:szCs w:val="14"/>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8.37%</w:t>
            </w:r>
          </w:p>
        </w:tc>
        <w:tc>
          <w:tcPr>
            <w:tcW w:w="300" w:type="dxa"/>
            <w:vAlign w:val="bottom"/>
          </w:tcPr>
          <w:p>
            <w:pPr>
              <w:spacing w:after="0"/>
              <w:rPr>
                <w:sz w:val="14"/>
                <w:szCs w:val="14"/>
                <w:color w:val="auto"/>
              </w:rPr>
            </w:pPr>
          </w:p>
        </w:tc>
      </w:tr>
      <w:tr>
        <w:trPr>
          <w:trHeight w:val="162"/>
        </w:trPr>
        <w:tc>
          <w:tcPr>
            <w:tcW w:w="7460" w:type="dxa"/>
            <w:vAlign w:val="bottom"/>
            <w:shd w:val="clear" w:color="auto" w:fill="F4F3F3"/>
          </w:tcPr>
          <w:p>
            <w:pPr>
              <w:ind w:left="160"/>
              <w:spacing w:after="0"/>
              <w:rPr>
                <w:sz w:val="20"/>
                <w:szCs w:val="20"/>
                <w:color w:val="auto"/>
              </w:rPr>
            </w:pPr>
            <w:r>
              <w:rPr>
                <w:rFonts w:ascii="Arial" w:cs="Arial" w:eastAsia="Arial" w:hAnsi="Arial"/>
                <w:sz w:val="14"/>
                <w:szCs w:val="14"/>
                <w:color w:val="auto"/>
              </w:rPr>
              <w:t>John W. Marriott III</w:t>
            </w:r>
          </w:p>
        </w:tc>
        <w:tc>
          <w:tcPr>
            <w:tcW w:w="580" w:type="dxa"/>
            <w:vAlign w:val="bottom"/>
            <w:shd w:val="clear" w:color="auto" w:fill="F4F3F3"/>
          </w:tcPr>
          <w:p>
            <w:pPr>
              <w:spacing w:after="0"/>
              <w:rPr>
                <w:sz w:val="14"/>
                <w:szCs w:val="14"/>
                <w:color w:val="auto"/>
              </w:rPr>
            </w:pPr>
          </w:p>
        </w:tc>
        <w:tc>
          <w:tcPr>
            <w:tcW w:w="1460" w:type="dxa"/>
            <w:vAlign w:val="bottom"/>
          </w:tcPr>
          <w:p>
            <w:pPr>
              <w:ind w:left="20"/>
              <w:spacing w:after="0"/>
              <w:rPr>
                <w:sz w:val="20"/>
                <w:szCs w:val="20"/>
                <w:color w:val="auto"/>
              </w:rPr>
            </w:pPr>
            <w:r>
              <w:rPr>
                <w:rFonts w:ascii="Arial" w:cs="Arial" w:eastAsia="Arial" w:hAnsi="Arial"/>
                <w:sz w:val="14"/>
                <w:szCs w:val="14"/>
                <w:color w:val="auto"/>
              </w:rPr>
              <w:t>25,385,794(4)(10)</w:t>
            </w:r>
          </w:p>
        </w:tc>
        <w:tc>
          <w:tcPr>
            <w:tcW w:w="600" w:type="dxa"/>
            <w:vAlign w:val="bottom"/>
            <w:shd w:val="clear" w:color="auto" w:fill="F4F3F3"/>
          </w:tcPr>
          <w:p>
            <w:pPr>
              <w:spacing w:after="0"/>
              <w:rPr>
                <w:sz w:val="14"/>
                <w:szCs w:val="14"/>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7.08%</w:t>
            </w:r>
          </w:p>
        </w:tc>
        <w:tc>
          <w:tcPr>
            <w:tcW w:w="300" w:type="dxa"/>
            <w:vAlign w:val="bottom"/>
          </w:tcPr>
          <w:p>
            <w:pPr>
              <w:spacing w:after="0"/>
              <w:rPr>
                <w:sz w:val="14"/>
                <w:szCs w:val="14"/>
                <w:color w:val="auto"/>
              </w:rPr>
            </w:pPr>
          </w:p>
        </w:tc>
      </w:tr>
      <w:tr>
        <w:trPr>
          <w:trHeight w:val="162"/>
        </w:trPr>
        <w:tc>
          <w:tcPr>
            <w:tcW w:w="7460" w:type="dxa"/>
            <w:vAlign w:val="bottom"/>
            <w:shd w:val="clear" w:color="auto" w:fill="F4F3F3"/>
          </w:tcPr>
          <w:p>
            <w:pPr>
              <w:ind w:left="160"/>
              <w:spacing w:after="0"/>
              <w:rPr>
                <w:sz w:val="20"/>
                <w:szCs w:val="20"/>
                <w:color w:val="auto"/>
              </w:rPr>
            </w:pPr>
            <w:r>
              <w:rPr>
                <w:rFonts w:ascii="Arial" w:cs="Arial" w:eastAsia="Arial" w:hAnsi="Arial"/>
                <w:sz w:val="14"/>
                <w:szCs w:val="14"/>
                <w:color w:val="auto"/>
              </w:rPr>
              <w:t>Juliana B. Marriott</w:t>
            </w:r>
          </w:p>
        </w:tc>
        <w:tc>
          <w:tcPr>
            <w:tcW w:w="580" w:type="dxa"/>
            <w:vAlign w:val="bottom"/>
            <w:shd w:val="clear" w:color="auto" w:fill="F4F3F3"/>
          </w:tcPr>
          <w:p>
            <w:pPr>
              <w:spacing w:after="0"/>
              <w:rPr>
                <w:sz w:val="14"/>
                <w:szCs w:val="14"/>
                <w:color w:val="auto"/>
              </w:rPr>
            </w:pPr>
          </w:p>
        </w:tc>
        <w:tc>
          <w:tcPr>
            <w:tcW w:w="1460" w:type="dxa"/>
            <w:vAlign w:val="bottom"/>
          </w:tcPr>
          <w:p>
            <w:pPr>
              <w:ind w:left="20"/>
              <w:spacing w:after="0"/>
              <w:rPr>
                <w:sz w:val="20"/>
                <w:szCs w:val="20"/>
                <w:color w:val="auto"/>
              </w:rPr>
            </w:pPr>
            <w:r>
              <w:rPr>
                <w:rFonts w:ascii="Arial" w:cs="Arial" w:eastAsia="Arial" w:hAnsi="Arial"/>
                <w:sz w:val="14"/>
                <w:szCs w:val="14"/>
                <w:color w:val="auto"/>
              </w:rPr>
              <w:t>25,121,312(4)(12)</w:t>
            </w:r>
          </w:p>
        </w:tc>
        <w:tc>
          <w:tcPr>
            <w:tcW w:w="600" w:type="dxa"/>
            <w:vAlign w:val="bottom"/>
            <w:shd w:val="clear" w:color="auto" w:fill="F4F3F3"/>
          </w:tcPr>
          <w:p>
            <w:pPr>
              <w:spacing w:after="0"/>
              <w:rPr>
                <w:sz w:val="14"/>
                <w:szCs w:val="14"/>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7.00%</w:t>
            </w:r>
          </w:p>
        </w:tc>
        <w:tc>
          <w:tcPr>
            <w:tcW w:w="300" w:type="dxa"/>
            <w:vAlign w:val="bottom"/>
          </w:tcPr>
          <w:p>
            <w:pPr>
              <w:spacing w:after="0"/>
              <w:rPr>
                <w:sz w:val="14"/>
                <w:szCs w:val="14"/>
                <w:color w:val="auto"/>
              </w:rPr>
            </w:pPr>
          </w:p>
        </w:tc>
      </w:tr>
      <w:tr>
        <w:trPr>
          <w:trHeight w:val="162"/>
        </w:trPr>
        <w:tc>
          <w:tcPr>
            <w:tcW w:w="7460" w:type="dxa"/>
            <w:vAlign w:val="bottom"/>
            <w:shd w:val="clear" w:color="auto" w:fill="F4F3F3"/>
          </w:tcPr>
          <w:p>
            <w:pPr>
              <w:ind w:left="160"/>
              <w:spacing w:after="0"/>
              <w:rPr>
                <w:sz w:val="20"/>
                <w:szCs w:val="20"/>
                <w:color w:val="auto"/>
              </w:rPr>
            </w:pPr>
            <w:r>
              <w:rPr>
                <w:rFonts w:ascii="Arial" w:cs="Arial" w:eastAsia="Arial" w:hAnsi="Arial"/>
                <w:sz w:val="14"/>
                <w:szCs w:val="14"/>
                <w:color w:val="auto"/>
              </w:rPr>
              <w:t>Stephen Blake Marriott</w:t>
            </w:r>
          </w:p>
        </w:tc>
        <w:tc>
          <w:tcPr>
            <w:tcW w:w="580" w:type="dxa"/>
            <w:vAlign w:val="bottom"/>
            <w:shd w:val="clear" w:color="auto" w:fill="F4F3F3"/>
          </w:tcPr>
          <w:p>
            <w:pPr>
              <w:spacing w:after="0"/>
              <w:rPr>
                <w:sz w:val="14"/>
                <w:szCs w:val="14"/>
                <w:color w:val="auto"/>
              </w:rPr>
            </w:pPr>
          </w:p>
        </w:tc>
        <w:tc>
          <w:tcPr>
            <w:tcW w:w="1460" w:type="dxa"/>
            <w:vAlign w:val="bottom"/>
          </w:tcPr>
          <w:p>
            <w:pPr>
              <w:ind w:left="20"/>
              <w:spacing w:after="0"/>
              <w:rPr>
                <w:sz w:val="20"/>
                <w:szCs w:val="20"/>
                <w:color w:val="auto"/>
              </w:rPr>
            </w:pPr>
            <w:r>
              <w:rPr>
                <w:rFonts w:ascii="Arial" w:cs="Arial" w:eastAsia="Arial" w:hAnsi="Arial"/>
                <w:sz w:val="14"/>
                <w:szCs w:val="14"/>
                <w:color w:val="auto"/>
              </w:rPr>
              <w:t>24,372,309(4)(13)</w:t>
            </w:r>
          </w:p>
        </w:tc>
        <w:tc>
          <w:tcPr>
            <w:tcW w:w="600" w:type="dxa"/>
            <w:vAlign w:val="bottom"/>
            <w:shd w:val="clear" w:color="auto" w:fill="F4F3F3"/>
          </w:tcPr>
          <w:p>
            <w:pPr>
              <w:spacing w:after="0"/>
              <w:rPr>
                <w:sz w:val="14"/>
                <w:szCs w:val="14"/>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6.80%</w:t>
            </w:r>
          </w:p>
        </w:tc>
        <w:tc>
          <w:tcPr>
            <w:tcW w:w="300" w:type="dxa"/>
            <w:vAlign w:val="bottom"/>
          </w:tcPr>
          <w:p>
            <w:pPr>
              <w:spacing w:after="0"/>
              <w:rPr>
                <w:sz w:val="14"/>
                <w:szCs w:val="14"/>
                <w:color w:val="auto"/>
              </w:rPr>
            </w:pPr>
          </w:p>
        </w:tc>
      </w:tr>
      <w:tr>
        <w:trPr>
          <w:trHeight w:val="162"/>
        </w:trPr>
        <w:tc>
          <w:tcPr>
            <w:tcW w:w="7460" w:type="dxa"/>
            <w:vAlign w:val="bottom"/>
            <w:shd w:val="clear" w:color="auto" w:fill="F4F3F3"/>
          </w:tcPr>
          <w:p>
            <w:pPr>
              <w:ind w:left="160"/>
              <w:spacing w:after="0"/>
              <w:rPr>
                <w:sz w:val="20"/>
                <w:szCs w:val="20"/>
                <w:color w:val="auto"/>
              </w:rPr>
            </w:pPr>
            <w:r>
              <w:rPr>
                <w:rFonts w:ascii="Arial" w:cs="Arial" w:eastAsia="Arial" w:hAnsi="Arial"/>
                <w:sz w:val="14"/>
                <w:szCs w:val="14"/>
                <w:color w:val="auto"/>
              </w:rPr>
              <w:t>David S. Marriott</w:t>
            </w:r>
          </w:p>
        </w:tc>
        <w:tc>
          <w:tcPr>
            <w:tcW w:w="580" w:type="dxa"/>
            <w:vAlign w:val="bottom"/>
            <w:shd w:val="clear" w:color="auto" w:fill="F4F3F3"/>
          </w:tcPr>
          <w:p>
            <w:pPr>
              <w:spacing w:after="0"/>
              <w:rPr>
                <w:sz w:val="14"/>
                <w:szCs w:val="14"/>
                <w:color w:val="auto"/>
              </w:rPr>
            </w:pPr>
          </w:p>
        </w:tc>
        <w:tc>
          <w:tcPr>
            <w:tcW w:w="1460" w:type="dxa"/>
            <w:vAlign w:val="bottom"/>
          </w:tcPr>
          <w:p>
            <w:pPr>
              <w:ind w:left="20"/>
              <w:spacing w:after="0"/>
              <w:rPr>
                <w:sz w:val="20"/>
                <w:szCs w:val="20"/>
                <w:color w:val="auto"/>
              </w:rPr>
            </w:pPr>
            <w:r>
              <w:rPr>
                <w:rFonts w:ascii="Arial" w:cs="Arial" w:eastAsia="Arial" w:hAnsi="Arial"/>
                <w:sz w:val="14"/>
                <w:szCs w:val="14"/>
                <w:color w:val="auto"/>
              </w:rPr>
              <w:t>29,970,262(4)(14)</w:t>
            </w:r>
          </w:p>
        </w:tc>
        <w:tc>
          <w:tcPr>
            <w:tcW w:w="600" w:type="dxa"/>
            <w:vAlign w:val="bottom"/>
            <w:shd w:val="clear" w:color="auto" w:fill="F4F3F3"/>
          </w:tcPr>
          <w:p>
            <w:pPr>
              <w:spacing w:after="0"/>
              <w:rPr>
                <w:sz w:val="14"/>
                <w:szCs w:val="14"/>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8.36%</w:t>
            </w:r>
          </w:p>
        </w:tc>
        <w:tc>
          <w:tcPr>
            <w:tcW w:w="300" w:type="dxa"/>
            <w:vAlign w:val="bottom"/>
          </w:tcPr>
          <w:p>
            <w:pPr>
              <w:spacing w:after="0"/>
              <w:rPr>
                <w:sz w:val="14"/>
                <w:szCs w:val="14"/>
                <w:color w:val="auto"/>
              </w:rPr>
            </w:pPr>
          </w:p>
        </w:tc>
      </w:tr>
      <w:tr>
        <w:trPr>
          <w:trHeight w:val="162"/>
        </w:trPr>
        <w:tc>
          <w:tcPr>
            <w:tcW w:w="7460" w:type="dxa"/>
            <w:vAlign w:val="bottom"/>
            <w:shd w:val="clear" w:color="auto" w:fill="F4F3F3"/>
          </w:tcPr>
          <w:p>
            <w:pPr>
              <w:ind w:left="160"/>
              <w:spacing w:after="0"/>
              <w:rPr>
                <w:sz w:val="20"/>
                <w:szCs w:val="20"/>
                <w:color w:val="auto"/>
              </w:rPr>
            </w:pPr>
            <w:r>
              <w:rPr>
                <w:rFonts w:ascii="Arial" w:cs="Arial" w:eastAsia="Arial" w:hAnsi="Arial"/>
                <w:sz w:val="14"/>
                <w:szCs w:val="14"/>
                <w:color w:val="auto"/>
              </w:rPr>
              <w:t>Nicole M. Avery</w:t>
            </w:r>
          </w:p>
        </w:tc>
        <w:tc>
          <w:tcPr>
            <w:tcW w:w="580" w:type="dxa"/>
            <w:vAlign w:val="bottom"/>
            <w:shd w:val="clear" w:color="auto" w:fill="F4F3F3"/>
          </w:tcPr>
          <w:p>
            <w:pPr>
              <w:spacing w:after="0"/>
              <w:rPr>
                <w:sz w:val="14"/>
                <w:szCs w:val="14"/>
                <w:color w:val="auto"/>
              </w:rPr>
            </w:pPr>
          </w:p>
        </w:tc>
        <w:tc>
          <w:tcPr>
            <w:tcW w:w="1460" w:type="dxa"/>
            <w:vAlign w:val="bottom"/>
          </w:tcPr>
          <w:p>
            <w:pPr>
              <w:ind w:left="20"/>
              <w:spacing w:after="0"/>
              <w:rPr>
                <w:sz w:val="20"/>
                <w:szCs w:val="20"/>
                <w:color w:val="auto"/>
              </w:rPr>
            </w:pPr>
            <w:r>
              <w:rPr>
                <w:rFonts w:ascii="Arial" w:cs="Arial" w:eastAsia="Arial" w:hAnsi="Arial"/>
                <w:sz w:val="14"/>
                <w:szCs w:val="14"/>
                <w:color w:val="auto"/>
              </w:rPr>
              <w:t>24,247,517(4)(15)</w:t>
            </w:r>
          </w:p>
        </w:tc>
        <w:tc>
          <w:tcPr>
            <w:tcW w:w="600" w:type="dxa"/>
            <w:vAlign w:val="bottom"/>
            <w:shd w:val="clear" w:color="auto" w:fill="F4F3F3"/>
          </w:tcPr>
          <w:p>
            <w:pPr>
              <w:spacing w:after="0"/>
              <w:rPr>
                <w:sz w:val="14"/>
                <w:szCs w:val="14"/>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6.76%</w:t>
            </w:r>
          </w:p>
        </w:tc>
        <w:tc>
          <w:tcPr>
            <w:tcW w:w="300" w:type="dxa"/>
            <w:vAlign w:val="bottom"/>
          </w:tcPr>
          <w:p>
            <w:pPr>
              <w:spacing w:after="0"/>
              <w:rPr>
                <w:sz w:val="14"/>
                <w:szCs w:val="14"/>
                <w:color w:val="auto"/>
              </w:rPr>
            </w:pPr>
          </w:p>
        </w:tc>
      </w:tr>
      <w:tr>
        <w:trPr>
          <w:trHeight w:val="162"/>
        </w:trPr>
        <w:tc>
          <w:tcPr>
            <w:tcW w:w="7460" w:type="dxa"/>
            <w:vAlign w:val="bottom"/>
            <w:shd w:val="clear" w:color="auto" w:fill="F4F3F3"/>
          </w:tcPr>
          <w:p>
            <w:pPr>
              <w:ind w:left="160"/>
              <w:spacing w:after="0"/>
              <w:rPr>
                <w:sz w:val="20"/>
                <w:szCs w:val="20"/>
                <w:color w:val="auto"/>
              </w:rPr>
            </w:pPr>
            <w:r>
              <w:rPr>
                <w:rFonts w:ascii="Arial" w:cs="Arial" w:eastAsia="Arial" w:hAnsi="Arial"/>
                <w:sz w:val="14"/>
                <w:szCs w:val="14"/>
                <w:color w:val="auto"/>
              </w:rPr>
              <w:t>JWM Family Enterprises, Inc.</w:t>
            </w:r>
          </w:p>
        </w:tc>
        <w:tc>
          <w:tcPr>
            <w:tcW w:w="580" w:type="dxa"/>
            <w:vAlign w:val="bottom"/>
            <w:shd w:val="clear" w:color="auto" w:fill="F4F3F3"/>
          </w:tcPr>
          <w:p>
            <w:pPr>
              <w:spacing w:after="0"/>
              <w:rPr>
                <w:sz w:val="14"/>
                <w:szCs w:val="14"/>
                <w:color w:val="auto"/>
              </w:rPr>
            </w:pPr>
          </w:p>
        </w:tc>
        <w:tc>
          <w:tcPr>
            <w:tcW w:w="1460" w:type="dxa"/>
            <w:vAlign w:val="bottom"/>
          </w:tcPr>
          <w:p>
            <w:pPr>
              <w:jc w:val="right"/>
              <w:ind w:right="488"/>
              <w:spacing w:after="0"/>
              <w:rPr>
                <w:sz w:val="20"/>
                <w:szCs w:val="20"/>
                <w:color w:val="auto"/>
              </w:rPr>
            </w:pPr>
            <w:r>
              <w:rPr>
                <w:rFonts w:ascii="Arial" w:cs="Arial" w:eastAsia="Arial" w:hAnsi="Arial"/>
                <w:sz w:val="14"/>
                <w:szCs w:val="14"/>
                <w:color w:val="auto"/>
              </w:rPr>
              <w:t>24,227,118(4)</w:t>
            </w:r>
          </w:p>
        </w:tc>
        <w:tc>
          <w:tcPr>
            <w:tcW w:w="600" w:type="dxa"/>
            <w:vAlign w:val="bottom"/>
            <w:shd w:val="clear" w:color="auto" w:fill="F4F3F3"/>
          </w:tcPr>
          <w:p>
            <w:pPr>
              <w:spacing w:after="0"/>
              <w:rPr>
                <w:sz w:val="14"/>
                <w:szCs w:val="14"/>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6.76%</w:t>
            </w:r>
          </w:p>
        </w:tc>
        <w:tc>
          <w:tcPr>
            <w:tcW w:w="300" w:type="dxa"/>
            <w:vAlign w:val="bottom"/>
          </w:tcPr>
          <w:p>
            <w:pPr>
              <w:spacing w:after="0"/>
              <w:rPr>
                <w:sz w:val="14"/>
                <w:szCs w:val="14"/>
                <w:color w:val="auto"/>
              </w:rPr>
            </w:pPr>
          </w:p>
        </w:tc>
      </w:tr>
      <w:tr>
        <w:trPr>
          <w:trHeight w:val="175"/>
        </w:trPr>
        <w:tc>
          <w:tcPr>
            <w:tcW w:w="7460" w:type="dxa"/>
            <w:vAlign w:val="bottom"/>
            <w:shd w:val="clear" w:color="auto" w:fill="F4F3F3"/>
          </w:tcPr>
          <w:p>
            <w:pPr>
              <w:ind w:left="160"/>
              <w:spacing w:after="0"/>
              <w:rPr>
                <w:sz w:val="20"/>
                <w:szCs w:val="20"/>
                <w:color w:val="auto"/>
              </w:rPr>
            </w:pPr>
            <w:r>
              <w:rPr>
                <w:rFonts w:ascii="Arial" w:cs="Arial" w:eastAsia="Arial" w:hAnsi="Arial"/>
                <w:sz w:val="14"/>
                <w:szCs w:val="14"/>
                <w:color w:val="auto"/>
              </w:rPr>
              <w:t>JWM Family Enterprises, L.P.</w:t>
            </w:r>
          </w:p>
        </w:tc>
        <w:tc>
          <w:tcPr>
            <w:tcW w:w="580" w:type="dxa"/>
            <w:vAlign w:val="bottom"/>
            <w:shd w:val="clear" w:color="auto" w:fill="F4F3F3"/>
          </w:tcPr>
          <w:p>
            <w:pPr>
              <w:spacing w:after="0"/>
              <w:rPr>
                <w:sz w:val="15"/>
                <w:szCs w:val="15"/>
                <w:color w:val="auto"/>
              </w:rPr>
            </w:pPr>
          </w:p>
        </w:tc>
        <w:tc>
          <w:tcPr>
            <w:tcW w:w="1460" w:type="dxa"/>
            <w:vAlign w:val="bottom"/>
          </w:tcPr>
          <w:p>
            <w:pPr>
              <w:jc w:val="right"/>
              <w:ind w:right="488"/>
              <w:spacing w:after="0"/>
              <w:rPr>
                <w:sz w:val="20"/>
                <w:szCs w:val="20"/>
                <w:color w:val="auto"/>
              </w:rPr>
            </w:pPr>
            <w:r>
              <w:rPr>
                <w:rFonts w:ascii="Arial" w:cs="Arial" w:eastAsia="Arial" w:hAnsi="Arial"/>
                <w:sz w:val="14"/>
                <w:szCs w:val="14"/>
                <w:color w:val="auto"/>
              </w:rPr>
              <w:t>24,227,118(4)</w:t>
            </w:r>
          </w:p>
        </w:tc>
        <w:tc>
          <w:tcPr>
            <w:tcW w:w="600" w:type="dxa"/>
            <w:vAlign w:val="bottom"/>
            <w:shd w:val="clear" w:color="auto" w:fill="F4F3F3"/>
          </w:tcPr>
          <w:p>
            <w:pPr>
              <w:spacing w:after="0"/>
              <w:rPr>
                <w:sz w:val="15"/>
                <w:szCs w:val="15"/>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6.76%</w:t>
            </w:r>
          </w:p>
        </w:tc>
        <w:tc>
          <w:tcPr>
            <w:tcW w:w="300" w:type="dxa"/>
            <w:vAlign w:val="bottom"/>
          </w:tcPr>
          <w:p>
            <w:pPr>
              <w:spacing w:after="0"/>
              <w:rPr>
                <w:sz w:val="15"/>
                <w:szCs w:val="15"/>
                <w:color w:val="auto"/>
              </w:rPr>
            </w:pPr>
          </w:p>
        </w:tc>
      </w:tr>
      <w:tr>
        <w:trPr>
          <w:trHeight w:val="270"/>
        </w:trPr>
        <w:tc>
          <w:tcPr>
            <w:tcW w:w="7460" w:type="dxa"/>
            <w:vAlign w:val="bottom"/>
            <w:shd w:val="clear" w:color="auto" w:fill="F4F3F3"/>
          </w:tcPr>
          <w:p>
            <w:pPr>
              <w:ind w:left="140"/>
              <w:spacing w:after="0"/>
              <w:rPr>
                <w:sz w:val="20"/>
                <w:szCs w:val="20"/>
                <w:color w:val="auto"/>
              </w:rPr>
            </w:pPr>
            <w:r>
              <w:rPr>
                <w:rFonts w:ascii="Arial" w:cs="Arial" w:eastAsia="Arial" w:hAnsi="Arial"/>
                <w:sz w:val="14"/>
                <w:szCs w:val="14"/>
                <w:color w:val="auto"/>
              </w:rPr>
              <w:t>The Vanguard Group</w:t>
            </w:r>
          </w:p>
        </w:tc>
        <w:tc>
          <w:tcPr>
            <w:tcW w:w="2040" w:type="dxa"/>
            <w:vAlign w:val="bottom"/>
            <w:gridSpan w:val="2"/>
            <w:shd w:val="clear" w:color="auto" w:fill="F4F3F3"/>
          </w:tcPr>
          <w:p>
            <w:pPr>
              <w:jc w:val="right"/>
              <w:ind w:right="408"/>
              <w:spacing w:after="0"/>
              <w:rPr>
                <w:sz w:val="20"/>
                <w:szCs w:val="20"/>
                <w:color w:val="auto"/>
              </w:rPr>
            </w:pPr>
            <w:r>
              <w:rPr>
                <w:rFonts w:ascii="Arial" w:cs="Arial" w:eastAsia="Arial" w:hAnsi="Arial"/>
                <w:sz w:val="14"/>
                <w:szCs w:val="14"/>
                <w:color w:val="auto"/>
              </w:rPr>
              <w:t>20,154,908(17)</w:t>
            </w:r>
          </w:p>
        </w:tc>
        <w:tc>
          <w:tcPr>
            <w:tcW w:w="1200" w:type="dxa"/>
            <w:vAlign w:val="bottom"/>
            <w:gridSpan w:val="2"/>
            <w:shd w:val="clear" w:color="auto" w:fill="F4F3F3"/>
          </w:tcPr>
          <w:p>
            <w:pPr>
              <w:jc w:val="right"/>
              <w:ind w:right="48"/>
              <w:spacing w:after="0"/>
              <w:rPr>
                <w:sz w:val="20"/>
                <w:szCs w:val="20"/>
                <w:color w:val="auto"/>
              </w:rPr>
            </w:pPr>
            <w:r>
              <w:rPr>
                <w:rFonts w:ascii="Arial" w:cs="Arial" w:eastAsia="Arial" w:hAnsi="Arial"/>
                <w:sz w:val="14"/>
                <w:szCs w:val="14"/>
                <w:color w:val="auto"/>
              </w:rPr>
              <w:t>5.52%</w:t>
            </w:r>
          </w:p>
        </w:tc>
        <w:tc>
          <w:tcPr>
            <w:tcW w:w="300" w:type="dxa"/>
            <w:vAlign w:val="bottom"/>
            <w:shd w:val="clear" w:color="auto" w:fill="F4F3F3"/>
          </w:tcPr>
          <w:p>
            <w:pPr>
              <w:spacing w:after="0"/>
              <w:rPr>
                <w:sz w:val="23"/>
                <w:szCs w:val="23"/>
                <w:color w:val="auto"/>
              </w:rPr>
            </w:pPr>
          </w:p>
        </w:tc>
      </w:tr>
      <w:tr>
        <w:trPr>
          <w:trHeight w:val="149"/>
        </w:trPr>
        <w:tc>
          <w:tcPr>
            <w:tcW w:w="7460" w:type="dxa"/>
            <w:vAlign w:val="bottom"/>
            <w:shd w:val="clear" w:color="auto" w:fill="F4F3F3"/>
          </w:tcPr>
          <w:p>
            <w:pPr>
              <w:ind w:left="300"/>
              <w:spacing w:after="0" w:line="149" w:lineRule="exact"/>
              <w:rPr>
                <w:sz w:val="20"/>
                <w:szCs w:val="20"/>
                <w:color w:val="auto"/>
              </w:rPr>
            </w:pPr>
            <w:r>
              <w:rPr>
                <w:rFonts w:ascii="Arial" w:cs="Arial" w:eastAsia="Arial" w:hAnsi="Arial"/>
                <w:sz w:val="14"/>
                <w:szCs w:val="14"/>
                <w:color w:val="auto"/>
              </w:rPr>
              <w:t>100 Vanguard Blvd.</w:t>
            </w:r>
          </w:p>
        </w:tc>
        <w:tc>
          <w:tcPr>
            <w:tcW w:w="580" w:type="dxa"/>
            <w:vAlign w:val="bottom"/>
            <w:shd w:val="clear" w:color="auto" w:fill="F4F3F3"/>
          </w:tcPr>
          <w:p>
            <w:pPr>
              <w:spacing w:after="0"/>
              <w:rPr>
                <w:sz w:val="12"/>
                <w:szCs w:val="12"/>
                <w:color w:val="auto"/>
              </w:rPr>
            </w:pPr>
          </w:p>
        </w:tc>
        <w:tc>
          <w:tcPr>
            <w:tcW w:w="1460" w:type="dxa"/>
            <w:vAlign w:val="bottom"/>
            <w:shd w:val="clear" w:color="auto" w:fill="F4F3F3"/>
          </w:tcPr>
          <w:p>
            <w:pPr>
              <w:spacing w:after="0"/>
              <w:rPr>
                <w:sz w:val="12"/>
                <w:szCs w:val="12"/>
                <w:color w:val="auto"/>
              </w:rPr>
            </w:pPr>
          </w:p>
        </w:tc>
        <w:tc>
          <w:tcPr>
            <w:tcW w:w="600" w:type="dxa"/>
            <w:vAlign w:val="bottom"/>
            <w:shd w:val="clear" w:color="auto" w:fill="F4F3F3"/>
          </w:tcPr>
          <w:p>
            <w:pPr>
              <w:spacing w:after="0"/>
              <w:rPr>
                <w:sz w:val="12"/>
                <w:szCs w:val="12"/>
                <w:color w:val="auto"/>
              </w:rPr>
            </w:pPr>
          </w:p>
        </w:tc>
        <w:tc>
          <w:tcPr>
            <w:tcW w:w="600" w:type="dxa"/>
            <w:vAlign w:val="bottom"/>
            <w:shd w:val="clear" w:color="auto" w:fill="F4F3F3"/>
          </w:tcPr>
          <w:p>
            <w:pPr>
              <w:spacing w:after="0"/>
              <w:rPr>
                <w:sz w:val="12"/>
                <w:szCs w:val="12"/>
                <w:color w:val="auto"/>
              </w:rPr>
            </w:pPr>
          </w:p>
        </w:tc>
        <w:tc>
          <w:tcPr>
            <w:tcW w:w="300" w:type="dxa"/>
            <w:vAlign w:val="bottom"/>
            <w:shd w:val="clear" w:color="auto" w:fill="F4F3F3"/>
          </w:tcPr>
          <w:p>
            <w:pPr>
              <w:spacing w:after="0"/>
              <w:rPr>
                <w:sz w:val="12"/>
                <w:szCs w:val="12"/>
                <w:color w:val="auto"/>
              </w:rPr>
            </w:pPr>
          </w:p>
        </w:tc>
      </w:tr>
      <w:tr>
        <w:trPr>
          <w:trHeight w:val="202"/>
        </w:trPr>
        <w:tc>
          <w:tcPr>
            <w:tcW w:w="7460" w:type="dxa"/>
            <w:vAlign w:val="bottom"/>
            <w:shd w:val="clear" w:color="auto" w:fill="F4F3F3"/>
          </w:tcPr>
          <w:p>
            <w:pPr>
              <w:ind w:left="300"/>
              <w:spacing w:after="0"/>
              <w:rPr>
                <w:sz w:val="20"/>
                <w:szCs w:val="20"/>
                <w:color w:val="auto"/>
              </w:rPr>
            </w:pPr>
            <w:r>
              <w:rPr>
                <w:rFonts w:ascii="Arial" w:cs="Arial" w:eastAsia="Arial" w:hAnsi="Arial"/>
                <w:sz w:val="14"/>
                <w:szCs w:val="14"/>
                <w:color w:val="auto"/>
              </w:rPr>
              <w:t>Malvern, PA 19355</w:t>
            </w:r>
          </w:p>
        </w:tc>
        <w:tc>
          <w:tcPr>
            <w:tcW w:w="580" w:type="dxa"/>
            <w:vAlign w:val="bottom"/>
            <w:shd w:val="clear" w:color="auto" w:fill="F4F3F3"/>
          </w:tcPr>
          <w:p>
            <w:pPr>
              <w:spacing w:after="0"/>
              <w:rPr>
                <w:sz w:val="17"/>
                <w:szCs w:val="17"/>
                <w:color w:val="auto"/>
              </w:rPr>
            </w:pPr>
          </w:p>
        </w:tc>
        <w:tc>
          <w:tcPr>
            <w:tcW w:w="1460" w:type="dxa"/>
            <w:vAlign w:val="bottom"/>
            <w:shd w:val="clear" w:color="auto" w:fill="F4F3F3"/>
          </w:tcPr>
          <w:p>
            <w:pPr>
              <w:spacing w:after="0"/>
              <w:rPr>
                <w:sz w:val="17"/>
                <w:szCs w:val="17"/>
                <w:color w:val="auto"/>
              </w:rPr>
            </w:pPr>
          </w:p>
        </w:tc>
        <w:tc>
          <w:tcPr>
            <w:tcW w:w="600" w:type="dxa"/>
            <w:vAlign w:val="bottom"/>
            <w:shd w:val="clear" w:color="auto" w:fill="F4F3F3"/>
          </w:tcPr>
          <w:p>
            <w:pPr>
              <w:spacing w:after="0"/>
              <w:rPr>
                <w:sz w:val="17"/>
                <w:szCs w:val="17"/>
                <w:color w:val="auto"/>
              </w:rPr>
            </w:pPr>
          </w:p>
        </w:tc>
        <w:tc>
          <w:tcPr>
            <w:tcW w:w="600" w:type="dxa"/>
            <w:vAlign w:val="bottom"/>
            <w:shd w:val="clear" w:color="auto" w:fill="F4F3F3"/>
          </w:tcPr>
          <w:p>
            <w:pPr>
              <w:spacing w:after="0"/>
              <w:rPr>
                <w:sz w:val="17"/>
                <w:szCs w:val="17"/>
                <w:color w:val="auto"/>
              </w:rPr>
            </w:pPr>
          </w:p>
        </w:tc>
        <w:tc>
          <w:tcPr>
            <w:tcW w:w="300" w:type="dxa"/>
            <w:vAlign w:val="bottom"/>
            <w:shd w:val="clear" w:color="auto" w:fill="F4F3F3"/>
          </w:tcPr>
          <w:p>
            <w:pPr>
              <w:spacing w:after="0"/>
              <w:rPr>
                <w:sz w:val="17"/>
                <w:szCs w:val="17"/>
                <w:color w:val="auto"/>
              </w:rPr>
            </w:pPr>
          </w:p>
        </w:tc>
      </w:tr>
      <w:tr>
        <w:trPr>
          <w:trHeight w:val="353"/>
        </w:trPr>
        <w:tc>
          <w:tcPr>
            <w:tcW w:w="7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60" w:type="dxa"/>
            <w:vAlign w:val="bottom"/>
            <w:gridSpan w:val="3"/>
          </w:tcPr>
          <w:p>
            <w:pPr>
              <w:jc w:val="right"/>
              <w:ind w:right="148"/>
              <w:spacing w:after="0"/>
              <w:rPr>
                <w:sz w:val="20"/>
                <w:szCs w:val="20"/>
                <w:color w:val="auto"/>
              </w:rPr>
            </w:pPr>
            <w:r>
              <w:rPr>
                <w:rFonts w:ascii="Arial" w:cs="Arial" w:eastAsia="Arial" w:hAnsi="Arial"/>
                <w:sz w:val="15"/>
                <w:szCs w:val="15"/>
                <w:color w:val="998C87"/>
              </w:rPr>
              <w:t>2018 Proxy Statement</w:t>
            </w:r>
          </w:p>
        </w:tc>
        <w:tc>
          <w:tcPr>
            <w:tcW w:w="300" w:type="dxa"/>
            <w:vAlign w:val="bottom"/>
          </w:tcPr>
          <w:p>
            <w:pPr>
              <w:jc w:val="right"/>
              <w:spacing w:after="0"/>
              <w:rPr>
                <w:sz w:val="20"/>
                <w:szCs w:val="20"/>
                <w:color w:val="auto"/>
              </w:rPr>
            </w:pPr>
            <w:r>
              <w:rPr>
                <w:rFonts w:ascii="Arial" w:cs="Arial" w:eastAsia="Arial" w:hAnsi="Arial"/>
                <w:sz w:val="15"/>
                <w:szCs w:val="15"/>
                <w:b w:val="1"/>
                <w:bCs w:val="1"/>
                <w:color w:val="7F7F7F"/>
              </w:rPr>
              <w:t>61</w:t>
            </w:r>
          </w:p>
        </w:tc>
      </w:tr>
    </w:tbl>
    <w:p>
      <w:pPr>
        <w:sectPr>
          <w:pgSz w:w="11900" w:h="16838" w:orient="portrait"/>
          <w:cols w:equalWidth="0" w:num="1">
            <w:col w:w="11220"/>
          </w:cols>
          <w:pgMar w:left="240" w:top="455" w:right="4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Stock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36" w:lineRule="exact"/>
        <w:rPr>
          <w:sz w:val="20"/>
          <w:szCs w:val="20"/>
          <w:color w:val="auto"/>
        </w:rPr>
      </w:pPr>
    </w:p>
    <w:p>
      <w:pPr>
        <w:ind w:left="540" w:hanging="330"/>
        <w:spacing w:after="0"/>
        <w:tabs>
          <w:tab w:leader="none" w:pos="540" w:val="left"/>
        </w:tabs>
        <w:numPr>
          <w:ilvl w:val="0"/>
          <w:numId w:val="128"/>
        </w:numPr>
        <w:rPr>
          <w:rFonts w:ascii="Arial" w:cs="Arial" w:eastAsia="Arial" w:hAnsi="Arial"/>
          <w:sz w:val="14"/>
          <w:szCs w:val="14"/>
          <w:color w:val="333333"/>
        </w:rPr>
      </w:pPr>
      <w:r>
        <w:rPr>
          <w:rFonts w:ascii="Arial" w:cs="Arial" w:eastAsia="Arial" w:hAnsi="Arial"/>
          <w:sz w:val="14"/>
          <w:szCs w:val="14"/>
          <w:color w:val="333333"/>
        </w:rPr>
        <w:t>Less than 1 percent.</w:t>
      </w:r>
    </w:p>
    <w:p>
      <w:pPr>
        <w:spacing w:after="0" w:line="11" w:lineRule="exact"/>
        <w:rPr>
          <w:sz w:val="20"/>
          <w:szCs w:val="20"/>
          <w:color w:val="auto"/>
        </w:rPr>
      </w:pPr>
    </w:p>
    <w:p>
      <w:pPr>
        <w:ind w:left="540" w:right="340" w:hanging="330"/>
        <w:spacing w:after="0" w:line="181" w:lineRule="auto"/>
        <w:tabs>
          <w:tab w:leader="none" w:pos="540" w:val="left"/>
        </w:tabs>
        <w:numPr>
          <w:ilvl w:val="0"/>
          <w:numId w:val="129"/>
        </w:numPr>
        <w:rPr>
          <w:rFonts w:ascii="Arial" w:cs="Arial" w:eastAsia="Arial" w:hAnsi="Arial"/>
          <w:sz w:val="24"/>
          <w:szCs w:val="24"/>
          <w:color w:val="333333"/>
          <w:vertAlign w:val="superscript"/>
        </w:rPr>
      </w:pPr>
      <w:r>
        <w:rPr>
          <w:rFonts w:ascii="Arial" w:cs="Arial" w:eastAsia="Arial" w:hAnsi="Arial"/>
          <w:sz w:val="14"/>
          <w:szCs w:val="14"/>
          <w:color w:val="333333"/>
        </w:rPr>
        <w:t>Based on the number of shares outstanding (358,376,231) on January 31, 2018, plus the number of shares acquirable by the specified person(s) within 60 days of January 31, 2018 as described below.</w:t>
      </w:r>
    </w:p>
    <w:p>
      <w:pPr>
        <w:spacing w:after="0" w:line="1" w:lineRule="exact"/>
        <w:rPr>
          <w:rFonts w:ascii="Arial" w:cs="Arial" w:eastAsia="Arial" w:hAnsi="Arial"/>
          <w:sz w:val="24"/>
          <w:szCs w:val="24"/>
          <w:color w:val="333333"/>
          <w:vertAlign w:val="superscript"/>
        </w:rPr>
      </w:pPr>
    </w:p>
    <w:p>
      <w:pPr>
        <w:ind w:left="540" w:right="20" w:hanging="330"/>
        <w:spacing w:after="0" w:line="204" w:lineRule="auto"/>
        <w:tabs>
          <w:tab w:leader="none" w:pos="540" w:val="left"/>
        </w:tabs>
        <w:numPr>
          <w:ilvl w:val="0"/>
          <w:numId w:val="129"/>
        </w:numPr>
        <w:rPr>
          <w:rFonts w:ascii="Arial" w:cs="Arial" w:eastAsia="Arial" w:hAnsi="Arial"/>
          <w:sz w:val="24"/>
          <w:szCs w:val="24"/>
          <w:color w:val="333333"/>
          <w:vertAlign w:val="superscript"/>
        </w:rPr>
      </w:pPr>
      <w:r>
        <w:rPr>
          <w:rFonts w:ascii="Arial" w:cs="Arial" w:eastAsia="Arial" w:hAnsi="Arial"/>
          <w:sz w:val="14"/>
          <w:szCs w:val="14"/>
          <w:color w:val="333333"/>
        </w:rPr>
        <w:t>Includes the following 12,088,288 shares that both J.W. Marriott, Jr. and his brother Richard E. Marriott report as beneficially owned: (a) 3,718,441 shares held by trusts for the benefit of their children and grandchildren, for which J.W. Marriott, Jr. and Richard E. Marriott serve as co-trustees; (b) 3,523,737 shares owned by The J. Willard &amp; Alice S. Marriott Foundation, a charitable foundation, for which J.W. Marriott, Jr., Richard E. Marriott, David S. Marriott, and Deborah M. Harrison serve as co-trustees; and (c) 4,846,110 shares held by a limited liability company for which J.W. Marriott, Jr. and Richard E. Marriott serve as co-managers.</w:t>
      </w:r>
    </w:p>
    <w:p>
      <w:pPr>
        <w:spacing w:after="0" w:line="2" w:lineRule="exact"/>
        <w:rPr>
          <w:rFonts w:ascii="Arial" w:cs="Arial" w:eastAsia="Arial" w:hAnsi="Arial"/>
          <w:sz w:val="24"/>
          <w:szCs w:val="24"/>
          <w:color w:val="333333"/>
          <w:vertAlign w:val="superscript"/>
        </w:rPr>
      </w:pPr>
    </w:p>
    <w:p>
      <w:pPr>
        <w:ind w:left="540" w:right="180" w:hanging="330"/>
        <w:spacing w:after="0" w:line="182" w:lineRule="auto"/>
        <w:tabs>
          <w:tab w:leader="none" w:pos="540" w:val="left"/>
        </w:tabs>
        <w:numPr>
          <w:ilvl w:val="0"/>
          <w:numId w:val="129"/>
        </w:numPr>
        <w:rPr>
          <w:rFonts w:ascii="Arial" w:cs="Arial" w:eastAsia="Arial" w:hAnsi="Arial"/>
          <w:sz w:val="23"/>
          <w:szCs w:val="23"/>
          <w:color w:val="333333"/>
          <w:vertAlign w:val="superscript"/>
        </w:rPr>
      </w:pPr>
      <w:r>
        <w:rPr>
          <w:rFonts w:ascii="Arial" w:cs="Arial" w:eastAsia="Arial" w:hAnsi="Arial"/>
          <w:sz w:val="14"/>
          <w:szCs w:val="14"/>
          <w:color w:val="333333"/>
        </w:rPr>
        <w:t>Includes 240,000 shares owned by six trusts for the benefit of the grandchildren and great-grandchildren of J.W. Marriott, Jr., for which J.W. Marriott, Jr.’s spouse and each of his children serve as co-trustees that both J.W. Marriott, Jr. and his daughter Deborah M. Harrison report as beneficially owned.</w:t>
      </w:r>
    </w:p>
    <w:p>
      <w:pPr>
        <w:spacing w:after="0" w:line="1" w:lineRule="exact"/>
        <w:rPr>
          <w:rFonts w:ascii="Arial" w:cs="Arial" w:eastAsia="Arial" w:hAnsi="Arial"/>
          <w:sz w:val="23"/>
          <w:szCs w:val="23"/>
          <w:color w:val="333333"/>
          <w:vertAlign w:val="superscript"/>
        </w:rPr>
      </w:pPr>
    </w:p>
    <w:p>
      <w:pPr>
        <w:ind w:left="540" w:right="40" w:hanging="330"/>
        <w:spacing w:after="0"/>
        <w:tabs>
          <w:tab w:leader="none" w:pos="540" w:val="left"/>
        </w:tabs>
        <w:numPr>
          <w:ilvl w:val="0"/>
          <w:numId w:val="129"/>
        </w:numPr>
        <w:rPr>
          <w:rFonts w:ascii="Arial" w:cs="Arial" w:eastAsia="Arial" w:hAnsi="Arial"/>
          <w:sz w:val="24"/>
          <w:szCs w:val="24"/>
          <w:color w:val="333333"/>
          <w:vertAlign w:val="superscript"/>
        </w:rPr>
      </w:pPr>
      <w:r>
        <w:rPr>
          <w:rFonts w:ascii="Arial" w:cs="Arial" w:eastAsia="Arial" w:hAnsi="Arial"/>
          <w:sz w:val="14"/>
          <w:szCs w:val="14"/>
          <w:color w:val="333333"/>
        </w:rPr>
        <w:t>Includes the following 24,227,118 shares that J.W. Marriott, Jr., his children John W. Marriott III, Deborah M. Harrison, and David S. Marriott, his grandson Stephen Blake Marriott, his daughter-in-law Juliana B. Marriott, his granddaughter Nicole L. Avery, JWM Family Enterprises, Inc., and JWM Family Enterprises, L.P. each report as beneficially owned: (a) 9,199,999 shares owned by Thomas Point Ventures, L.P.; (b) 3,940,000 shares owned by Anchorage Partners, L.P.; (c) 260,000 shares owned by Dauntless Limited Holdings, LLC; (d) 2,504,028 shares owned by Terrapin Limited Holdings, LLC; (e) 320,000 shares owned by Short North Limited Holdings LLC; and (f) 8,003,091 shares owned by JWM Family Enterprises, L.P. JWM Family Enterprises, Inc., a corporation in which J.W. Marriott, Jr., each of his children, his granddaughter, Nicole M. Avery and his grandson, Stephen Blake Marriott, is a director, is the sole general partner of JWM Family Enterprises, L.P., a limited partnership, which in turn is the sole general partner of Thomas Point Ventures, L.P. and Anchorage Partners, L.P., which also are limited partnerships, and the sole member of Terrapin Limited Holdings, LLC and Short North Limited Holdings LLC. Anchorage Partners, L.P., is the sole member of Dauntless Limited Holdings, LLC. The address for the corporation, the three limited partnerships and the three limited liability companies is 9737 Washington Boulevard, Suite 404, Gaithersburg, Maryland 20878.</w:t>
      </w:r>
    </w:p>
    <w:p>
      <w:pPr>
        <w:spacing w:after="0" w:line="54" w:lineRule="exact"/>
        <w:rPr>
          <w:rFonts w:ascii="Arial" w:cs="Arial" w:eastAsia="Arial" w:hAnsi="Arial"/>
          <w:sz w:val="24"/>
          <w:szCs w:val="24"/>
          <w:color w:val="333333"/>
          <w:vertAlign w:val="superscript"/>
        </w:rPr>
      </w:pPr>
    </w:p>
    <w:p>
      <w:pPr>
        <w:ind w:left="540" w:hanging="330"/>
        <w:spacing w:after="0" w:line="215" w:lineRule="auto"/>
        <w:tabs>
          <w:tab w:leader="none" w:pos="540" w:val="left"/>
        </w:tabs>
        <w:numPr>
          <w:ilvl w:val="0"/>
          <w:numId w:val="129"/>
        </w:numPr>
        <w:rPr>
          <w:rFonts w:ascii="Arial" w:cs="Arial" w:eastAsia="Arial" w:hAnsi="Arial"/>
          <w:sz w:val="24"/>
          <w:szCs w:val="24"/>
          <w:color w:val="333333"/>
          <w:vertAlign w:val="superscript"/>
        </w:rPr>
      </w:pPr>
      <w:r>
        <w:rPr>
          <w:rFonts w:ascii="Arial" w:cs="Arial" w:eastAsia="Arial" w:hAnsi="Arial"/>
          <w:sz w:val="14"/>
          <w:szCs w:val="14"/>
          <w:color w:val="333333"/>
        </w:rPr>
        <w:t>Includes the following 2,922,020 shares that J.W. Marriott, Jr. reports as beneficially owned, in addition to the shares referred to in footnotes (2), (3) and (4): (a) 239,239 shares held in a 401(k) account for the benefit of J.W. Marriott, Jr.; (b) 240,024 shares held in a revocable trust for the benefit of J.W. Marriott, Jr., for which he is the sole trustee; (c) 371,021 shares subject to SARs currently exercisable or exercisable within 60 days after January 31, 2018; (d) 285,758 shares held in a revocable trust for the benefit of J.W. Marriott, Jr.’s spouse, for which his spouse is the sole trustee (Mr. Marriott disclaims beneficial ownership of such shares); (e) 1,738,938 shares owned by separate trusts for the benefit of J.W. Marriott, Jr.’s children and grandchildren, for which his spouse serves as a co-trustee; and (f) 47,000 shares owned by the J. Willard Marriott, Jr. Foundation, for which J.W. Marriott, Jr. and his spouse serve as trustees.</w:t>
      </w:r>
    </w:p>
    <w:p>
      <w:pPr>
        <w:spacing w:after="0" w:line="2" w:lineRule="exact"/>
        <w:rPr>
          <w:rFonts w:ascii="Arial" w:cs="Arial" w:eastAsia="Arial" w:hAnsi="Arial"/>
          <w:sz w:val="24"/>
          <w:szCs w:val="24"/>
          <w:color w:val="333333"/>
          <w:vertAlign w:val="superscript"/>
        </w:rPr>
      </w:pPr>
    </w:p>
    <w:p>
      <w:pPr>
        <w:ind w:left="540" w:right="20" w:hanging="330"/>
        <w:spacing w:after="0" w:line="227" w:lineRule="auto"/>
        <w:tabs>
          <w:tab w:leader="none" w:pos="540" w:val="left"/>
        </w:tabs>
        <w:numPr>
          <w:ilvl w:val="0"/>
          <w:numId w:val="129"/>
        </w:numPr>
        <w:rPr>
          <w:rFonts w:ascii="Arial" w:cs="Arial" w:eastAsia="Arial" w:hAnsi="Arial"/>
          <w:sz w:val="24"/>
          <w:szCs w:val="24"/>
          <w:color w:val="333333"/>
          <w:vertAlign w:val="superscript"/>
        </w:rPr>
      </w:pPr>
      <w:r>
        <w:rPr>
          <w:rFonts w:ascii="Arial" w:cs="Arial" w:eastAsia="Arial" w:hAnsi="Arial"/>
          <w:sz w:val="14"/>
          <w:szCs w:val="14"/>
          <w:color w:val="333333"/>
        </w:rPr>
        <w:t>Includes the following 4,722,817 shares that Deborah M. Harrison reports as beneficially owned in addition to the shares referred to in footnotes (3) and (4): (a) 145,647 shares directly held; (b) 18,862 shares owned by Deborah M. Harrison’s spouse (Mrs. Harrison disclaims beneficial ownership of such shares) (c) 6,420 shares held in two trusts for the benefit of Deborah M. Harrison’s grandchildren, for which Deborah M. Harrison’s spouse serves as trustee; (d) 208,023 shares held in three trusts for the benefit of Deborah M. Harrison’s children, for which Deborah M. Harrison serves as trustee; (e) 209,210 shares held in a trust for the benefit of Deborah M. Harrison’s descendants, for which Deborah M. Harrison serves as trustee; (f) 179,166 shares held by three trusts for the benefit of John W. Marriott III’s children, for which John W. Marriott III and Deborah M. Harrison serve as co-trustees; (g) 251,000 shares held by a life insurance trust for the benefit of J.W. Marriott, Jr., for which each of his children serve as trustees; (h) 54,920 shares held in a limited liability company of which Deborah M. Harrison is a manager; (i) 110,561 shares held in a limited liability company of which Deborah M. Harrison’s spouse is a manager; (j) 4,987 shares subject to SARs and RSUs held by Deborah M. Harrison currently exercisable or exercisable within 60 days after January 31, 2018; (k) 10,284 shares subject to SARs and RSUs held by Deborah M. Harrison’s spouse currently exercisable or exercisable within 60 days after January 31, 2018 (Mrs. Harrison disclaims beneficial ownership of such shares) and (l) 3,523,737 shares owned by The J. Willard &amp; Alice S. Marriott Foundation, a charitable foundation, for which J.W. Marriott, Jr., Richard E. Marriott, David S. Marriott, and Deborah M. Harrison serve as co-trustees (referenced in footnote (2)(b) above).</w:t>
      </w:r>
    </w:p>
    <w:p>
      <w:pPr>
        <w:spacing w:after="0" w:line="6" w:lineRule="exact"/>
        <w:rPr>
          <w:rFonts w:ascii="Arial" w:cs="Arial" w:eastAsia="Arial" w:hAnsi="Arial"/>
          <w:sz w:val="24"/>
          <w:szCs w:val="24"/>
          <w:color w:val="333333"/>
          <w:vertAlign w:val="superscript"/>
        </w:rPr>
      </w:pPr>
    </w:p>
    <w:p>
      <w:pPr>
        <w:ind w:left="540" w:right="100" w:hanging="330"/>
        <w:spacing w:after="0" w:line="194" w:lineRule="auto"/>
        <w:tabs>
          <w:tab w:leader="none" w:pos="540" w:val="left"/>
        </w:tabs>
        <w:numPr>
          <w:ilvl w:val="0"/>
          <w:numId w:val="129"/>
        </w:numPr>
        <w:rPr>
          <w:rFonts w:ascii="Arial" w:cs="Arial" w:eastAsia="Arial" w:hAnsi="Arial"/>
          <w:sz w:val="24"/>
          <w:szCs w:val="24"/>
          <w:color w:val="333333"/>
          <w:vertAlign w:val="superscript"/>
        </w:rPr>
      </w:pPr>
      <w:r>
        <w:rPr>
          <w:rFonts w:ascii="Arial" w:cs="Arial" w:eastAsia="Arial" w:hAnsi="Arial"/>
          <w:sz w:val="14"/>
          <w:szCs w:val="14"/>
          <w:color w:val="333333"/>
        </w:rPr>
        <w:t>Includes the combined numbers of shares (a) subject to non-employee director deferred share awards, and (b) in stock unit accounts of non-employee directors, and that were beneficially owned as of January 31, 2018, as follows: Ms. Bush: 20,886 shares; Mr. Henderson: 10,108 shares; Mr. Kellner: 20,320 shares; Ms. Lee: 29,956 shares; Mr. Muñoz: 43,027 shares; Mr. Reinemund: 3,088 shares; Mr. Romney: 10,108 shares; and Ms. Schwab: 3,108 shares.</w:t>
      </w:r>
    </w:p>
    <w:p>
      <w:pPr>
        <w:spacing w:after="0" w:line="2" w:lineRule="exact"/>
        <w:rPr>
          <w:rFonts w:ascii="Arial" w:cs="Arial" w:eastAsia="Arial" w:hAnsi="Arial"/>
          <w:sz w:val="24"/>
          <w:szCs w:val="24"/>
          <w:color w:val="333333"/>
          <w:vertAlign w:val="superscript"/>
        </w:rPr>
      </w:pPr>
    </w:p>
    <w:p>
      <w:pPr>
        <w:ind w:left="540" w:hanging="330"/>
        <w:spacing w:after="0" w:line="187" w:lineRule="auto"/>
        <w:tabs>
          <w:tab w:leader="none" w:pos="540" w:val="left"/>
        </w:tabs>
        <w:numPr>
          <w:ilvl w:val="0"/>
          <w:numId w:val="129"/>
        </w:numPr>
        <w:rPr>
          <w:rFonts w:ascii="Arial" w:cs="Arial" w:eastAsia="Arial" w:hAnsi="Arial"/>
          <w:sz w:val="18"/>
          <w:szCs w:val="18"/>
          <w:color w:val="333333"/>
          <w:vertAlign w:val="superscript"/>
        </w:rPr>
      </w:pPr>
      <w:r>
        <w:rPr>
          <w:rFonts w:ascii="Arial" w:cs="Arial" w:eastAsia="Arial" w:hAnsi="Arial"/>
          <w:sz w:val="11"/>
          <w:szCs w:val="11"/>
          <w:color w:val="333333"/>
        </w:rPr>
        <w:t>Includes shares subject to Options, PSUs, SARs and RSUs currently exercisable or exercisable within 60 days after January 31, 2018, as follows: Mr. Capuano:</w:t>
      </w:r>
    </w:p>
    <w:p>
      <w:pPr>
        <w:ind w:left="540"/>
        <w:spacing w:after="0"/>
        <w:rPr>
          <w:rFonts w:ascii="Arial" w:cs="Arial" w:eastAsia="Arial" w:hAnsi="Arial"/>
          <w:sz w:val="18"/>
          <w:szCs w:val="18"/>
          <w:color w:val="333333"/>
          <w:vertAlign w:val="superscript"/>
        </w:rPr>
      </w:pPr>
      <w:r>
        <w:rPr>
          <w:rFonts w:ascii="Arial" w:cs="Arial" w:eastAsia="Arial" w:hAnsi="Arial"/>
          <w:sz w:val="14"/>
          <w:szCs w:val="14"/>
          <w:color w:val="333333"/>
        </w:rPr>
        <w:t>130,556 shares; Mr. Duncan: 3,926 shares; Mr. Grissen: 260,791 shares; Mr. Hippeau: 6,410 shares; Ms. Linnartz: 35,216 shares; Mr. Muñoz: 13,583 shares;</w:t>
      </w:r>
    </w:p>
    <w:p>
      <w:pPr>
        <w:ind w:left="540"/>
        <w:spacing w:after="0"/>
        <w:rPr>
          <w:rFonts w:ascii="Arial" w:cs="Arial" w:eastAsia="Arial" w:hAnsi="Arial"/>
          <w:sz w:val="18"/>
          <w:szCs w:val="18"/>
          <w:color w:val="333333"/>
          <w:vertAlign w:val="superscript"/>
        </w:rPr>
      </w:pPr>
      <w:r>
        <w:rPr>
          <w:rFonts w:ascii="Arial" w:cs="Arial" w:eastAsia="Arial" w:hAnsi="Arial"/>
          <w:sz w:val="14"/>
          <w:szCs w:val="14"/>
          <w:color w:val="333333"/>
        </w:rPr>
        <w:t>Ms. Oberg: 21,085 shares; and Mr. Sorenson: 997,504 shares.</w:t>
      </w:r>
    </w:p>
    <w:p>
      <w:pPr>
        <w:ind w:left="540" w:hanging="330"/>
        <w:spacing w:after="0" w:line="218" w:lineRule="auto"/>
        <w:tabs>
          <w:tab w:leader="none" w:pos="540" w:val="left"/>
        </w:tabs>
        <w:numPr>
          <w:ilvl w:val="0"/>
          <w:numId w:val="129"/>
        </w:numPr>
        <w:rPr>
          <w:rFonts w:ascii="Arial" w:cs="Arial" w:eastAsia="Arial" w:hAnsi="Arial"/>
          <w:sz w:val="24"/>
          <w:szCs w:val="24"/>
          <w:color w:val="333333"/>
          <w:vertAlign w:val="superscript"/>
        </w:rPr>
      </w:pPr>
      <w:r>
        <w:rPr>
          <w:rFonts w:ascii="Arial" w:cs="Arial" w:eastAsia="Arial" w:hAnsi="Arial"/>
          <w:sz w:val="14"/>
          <w:szCs w:val="14"/>
          <w:color w:val="333333"/>
        </w:rPr>
        <w:t>The 3,523,737 shares described in footnote (2)(b), the 240,000 shares described in footnote (3) and the 24,227,118 shares described in footnote (4) are reported as beneficially owned by each of J.W. Marriott, Jr. and Deborah M. Harrison, but are included only once in reporting the number of shares owned by all directors, nominees and executive officers as a group. All directors and executive officers as a group held 2,311,956 Options, PSUs, SARs, RSUs and non-employee director deferred share awards and deferred stock units currently exercisable or exercisable within 60 days after January 31, 2018. All directors and executive officers as a group, other than J.W. Marriott, Jr. and Deborah M. Harrison, beneficially owned an aggregate of 2,942,382 shares (including 1,925,664 Options, PSUs, SARs, RSUs and non-employee director deferred share awards and deferred stock units currently exercisable or exercisable within 60 days after January 31, 2018), or 0.81 percent of our Class A common stock outstanding as of January 31, 2018.</w:t>
      </w:r>
    </w:p>
    <w:p>
      <w:pPr>
        <w:spacing w:after="0" w:line="5" w:lineRule="exact"/>
        <w:rPr>
          <w:rFonts w:ascii="Arial" w:cs="Arial" w:eastAsia="Arial" w:hAnsi="Arial"/>
          <w:sz w:val="24"/>
          <w:szCs w:val="24"/>
          <w:color w:val="333333"/>
          <w:vertAlign w:val="superscript"/>
        </w:rPr>
      </w:pPr>
    </w:p>
    <w:p>
      <w:pPr>
        <w:ind w:left="540" w:right="160" w:hanging="330"/>
        <w:spacing w:after="0" w:line="221" w:lineRule="auto"/>
        <w:tabs>
          <w:tab w:leader="none" w:pos="540" w:val="left"/>
        </w:tabs>
        <w:numPr>
          <w:ilvl w:val="0"/>
          <w:numId w:val="129"/>
        </w:numPr>
        <w:rPr>
          <w:rFonts w:ascii="Arial" w:cs="Arial" w:eastAsia="Arial" w:hAnsi="Arial"/>
          <w:sz w:val="24"/>
          <w:szCs w:val="24"/>
          <w:color w:val="333333"/>
          <w:vertAlign w:val="superscript"/>
        </w:rPr>
      </w:pPr>
      <w:r>
        <w:rPr>
          <w:rFonts w:ascii="Arial" w:cs="Arial" w:eastAsia="Arial" w:hAnsi="Arial"/>
          <w:sz w:val="14"/>
          <w:szCs w:val="14"/>
          <w:color w:val="333333"/>
        </w:rPr>
        <w:t>Includes the following 1,158,675 shares that John W. Marriott III reports as beneficially owned, in addition to the shares referred to in footnote (4): (a) 407,481 shares directly held; (b) 179,166 shares held by three trusts for the benefit of John W. Marriott III’s children, for which John W. Marriott III and Deborah M. Harrison serve as co-trustees (referenced in footnote (6)(f) above); (c) 75,000 shares owned by a trust for the benefit of John W. Marriott III’s descendants, for which John W. Marriott III and David S. Marriott serve as co-trustees; (d) 251,000 shares held by a life insurance trust for the benefit of J.W. Marriott, Jr., for which each of his children serve as co-trustees (referenced in footnote (6)(g) above); (e) 240,000 shares owned by six trusts for the benefit of the grandchildren and great-grandchildren of J.W. Marriott, Jr., for which J.W. Marriott, Jr.’s spouse and each of his children serve as co-trustees (referenced in footnote (3) above); and (f) 6,029 shares held in a 401(k) account for the benefit of John W. Marriott III.</w:t>
      </w:r>
    </w:p>
    <w:p>
      <w:pPr>
        <w:spacing w:after="0" w:line="110" w:lineRule="exact"/>
        <w:rPr>
          <w:sz w:val="20"/>
          <w:szCs w:val="20"/>
          <w:color w:val="auto"/>
        </w:rPr>
      </w:pPr>
    </w:p>
    <w:p>
      <w:pPr>
        <w:ind w:left="540" w:hanging="330"/>
        <w:spacing w:after="0"/>
        <w:tabs>
          <w:tab w:leader="none" w:pos="540" w:val="left"/>
        </w:tabs>
        <w:numPr>
          <w:ilvl w:val="0"/>
          <w:numId w:val="130"/>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00"/>
          </w:cols>
          <w:pgMar w:left="240" w:top="455" w:right="45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Stock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36" w:lineRule="exact"/>
        <w:rPr>
          <w:sz w:val="20"/>
          <w:szCs w:val="20"/>
          <w:color w:val="auto"/>
        </w:rPr>
      </w:pPr>
    </w:p>
    <w:p>
      <w:pPr>
        <w:ind w:left="540" w:right="20" w:hanging="330"/>
        <w:spacing w:after="0" w:line="224" w:lineRule="auto"/>
        <w:tabs>
          <w:tab w:leader="none" w:pos="540" w:val="left"/>
        </w:tabs>
        <w:numPr>
          <w:ilvl w:val="0"/>
          <w:numId w:val="131"/>
        </w:numPr>
        <w:rPr>
          <w:rFonts w:ascii="Arial" w:cs="Arial" w:eastAsia="Arial" w:hAnsi="Arial"/>
          <w:sz w:val="24"/>
          <w:szCs w:val="24"/>
          <w:color w:val="333333"/>
          <w:vertAlign w:val="superscript"/>
        </w:rPr>
      </w:pPr>
      <w:r>
        <w:rPr>
          <w:rFonts w:ascii="Arial" w:cs="Arial" w:eastAsia="Arial" w:hAnsi="Arial"/>
          <w:sz w:val="14"/>
          <w:szCs w:val="14"/>
          <w:color w:val="333333"/>
        </w:rPr>
        <w:t>Includes the following 17,925,794 shares that Richard E. Marriott reports as beneficially owned, in addition to the 12,088,288 shares referred to in footnote (2): (a) 12,914,353 shares directly held; (b) 286,749 shares owned by Richard E. Marriott’s spouse (Mr. Marriott disclaims beneficial ownership of these shares); (c) 1,076,467 shares owned by three trusts for the benefit of Richard E. Marriott’s children, for which his spouse serves as a co-trustee; (d) 2,390,521 shares owned by First Media, L.P., a limited partnership whose general partner is a corporation in which Richard E. Marriott is the controlling voting stockholder; (e) 1,215,704 shares held in a charitable annuity trust created by Richard E. Marriott, for which he serves as co-trustee; (f) 17,000 shares held by a trust established for the benefit of J.W. Marriott, Jr., for which Richard E. Marriott serves as trustee; and (g) 25,000 shares owned by the Richard E and Nancy P. Marriott Foundation, for which Richard E. Marriott and his spouse serve as directors and officers. Richard E. Marriott is the brother of J.W. Marriott, Jr. and is a former director and officer of the Company. His address is Host Hotels &amp; Resorts, Inc., 10400 Fernwood Road, Bethesda, Maryland 20817.</w:t>
      </w:r>
    </w:p>
    <w:p>
      <w:pPr>
        <w:spacing w:after="0" w:line="3" w:lineRule="exact"/>
        <w:rPr>
          <w:rFonts w:ascii="Arial" w:cs="Arial" w:eastAsia="Arial" w:hAnsi="Arial"/>
          <w:sz w:val="24"/>
          <w:szCs w:val="24"/>
          <w:color w:val="333333"/>
          <w:vertAlign w:val="superscript"/>
        </w:rPr>
      </w:pPr>
    </w:p>
    <w:p>
      <w:pPr>
        <w:ind w:left="540" w:right="20" w:hanging="330"/>
        <w:spacing w:after="0" w:line="215" w:lineRule="auto"/>
        <w:tabs>
          <w:tab w:leader="none" w:pos="540" w:val="left"/>
        </w:tabs>
        <w:numPr>
          <w:ilvl w:val="0"/>
          <w:numId w:val="131"/>
        </w:numPr>
        <w:rPr>
          <w:rFonts w:ascii="Arial" w:cs="Arial" w:eastAsia="Arial" w:hAnsi="Arial"/>
          <w:sz w:val="24"/>
          <w:szCs w:val="24"/>
          <w:color w:val="333333"/>
          <w:vertAlign w:val="superscript"/>
        </w:rPr>
      </w:pPr>
      <w:r>
        <w:rPr>
          <w:rFonts w:ascii="Arial" w:cs="Arial" w:eastAsia="Arial" w:hAnsi="Arial"/>
          <w:sz w:val="14"/>
          <w:szCs w:val="14"/>
          <w:color w:val="333333"/>
        </w:rPr>
        <w:t>Includes the following 894,194 shares that Juliana B. Marriott reports as beneficially owned in addition to the shares referred to in footnote (4): (a) 18,000 shares directly held; (b) 41,634 shares owned by three trusts for the benefit of J.W. Marriott, Jr.’s grandchildren, for which Juliana B. Marriott serves as trustee (along with David S. Marriott as co-trustee for one such trust); (c) 147,387 shares owned by three trusts for the benefit of Stephen G. Marriott’s children, for which Juliana B. Marriott serves as trustee (along with David S. Marriott as co-trustee for one such trust); (d) 221,678 shares owned by three trusts for the benefit of Stephen G. Marriott’s descendants, for which David S. Marriott and Juliana B. Marriott serve as co-trustees; and (e) 465,495 shares owned by a trust for the benefit of Juliana B. Marriott, for which David S. Marriott and Juliana B. Marriott are co-trustees.</w:t>
      </w:r>
    </w:p>
    <w:p>
      <w:pPr>
        <w:spacing w:after="0" w:line="2" w:lineRule="exact"/>
        <w:rPr>
          <w:rFonts w:ascii="Arial" w:cs="Arial" w:eastAsia="Arial" w:hAnsi="Arial"/>
          <w:sz w:val="24"/>
          <w:szCs w:val="24"/>
          <w:color w:val="333333"/>
          <w:vertAlign w:val="superscript"/>
        </w:rPr>
      </w:pPr>
    </w:p>
    <w:p>
      <w:pPr>
        <w:ind w:left="540" w:hanging="330"/>
        <w:spacing w:after="0" w:line="187" w:lineRule="auto"/>
        <w:tabs>
          <w:tab w:leader="none" w:pos="540" w:val="left"/>
        </w:tabs>
        <w:numPr>
          <w:ilvl w:val="0"/>
          <w:numId w:val="131"/>
        </w:numPr>
        <w:rPr>
          <w:rFonts w:ascii="Arial" w:cs="Arial" w:eastAsia="Arial" w:hAnsi="Arial"/>
          <w:sz w:val="18"/>
          <w:szCs w:val="18"/>
          <w:color w:val="333333"/>
          <w:vertAlign w:val="superscript"/>
        </w:rPr>
      </w:pPr>
      <w:r>
        <w:rPr>
          <w:rFonts w:ascii="Arial" w:cs="Arial" w:eastAsia="Arial" w:hAnsi="Arial"/>
          <w:sz w:val="11"/>
          <w:szCs w:val="11"/>
          <w:color w:val="333333"/>
        </w:rPr>
        <w:t>Includes 145,191 shares that Stephen Blake Marriott reports as beneficially owned in addition to the shares referred to in footnote (4).</w:t>
      </w:r>
    </w:p>
    <w:p>
      <w:pPr>
        <w:ind w:left="540" w:right="20" w:hanging="330"/>
        <w:spacing w:after="0" w:line="215" w:lineRule="auto"/>
        <w:tabs>
          <w:tab w:leader="none" w:pos="540" w:val="left"/>
        </w:tabs>
        <w:numPr>
          <w:ilvl w:val="0"/>
          <w:numId w:val="131"/>
        </w:numPr>
        <w:rPr>
          <w:rFonts w:ascii="Arial" w:cs="Arial" w:eastAsia="Arial" w:hAnsi="Arial"/>
          <w:sz w:val="24"/>
          <w:szCs w:val="24"/>
          <w:color w:val="333333"/>
          <w:vertAlign w:val="superscript"/>
        </w:rPr>
      </w:pPr>
      <w:r>
        <w:rPr>
          <w:rFonts w:ascii="Arial" w:cs="Arial" w:eastAsia="Arial" w:hAnsi="Arial"/>
          <w:sz w:val="14"/>
          <w:szCs w:val="14"/>
          <w:color w:val="333333"/>
        </w:rPr>
        <w:t>Includes the following 5,743,144 shares that David S. Marriott reports as beneficially owned in addition to the shares referred to in footnote (4): (a) 628,516 shares directly held; (b) 15,418 shares held by David S. Marriott’s spouse (Mr. Marriott disclaims beneficial ownership of such shares); (c) 76,092 shares held by four trusts for the benefit of David S. Marriott’s children, for which David S. Marriott and another individual serve as trustees; (d) 142,565 shares owned by a trust for the benefit of David S. Marriott’s descendants, for which David S. Marriott and another individual serve as trustees; (e) 75,000 shares owned by a trust for the benefit of John W. Marriott III’s descendants, for which John W. Marriott III and David S. Marriott serve as co-trustees; (referenced in footnote 10(c) above); (f) 221,678 shares owned by a trust for the benefit of Stephen G. Marriott’s descendants, for which David S. Marriott and Juliana B. Marriott serve as co-trustees (referenced in footnote (12)(d) above);</w:t>
      </w:r>
    </w:p>
    <w:p>
      <w:pPr>
        <w:spacing w:after="0" w:line="2" w:lineRule="exact"/>
        <w:rPr>
          <w:rFonts w:ascii="Arial" w:cs="Arial" w:eastAsia="Arial" w:hAnsi="Arial"/>
          <w:sz w:val="24"/>
          <w:szCs w:val="24"/>
          <w:color w:val="333333"/>
          <w:vertAlign w:val="superscript"/>
        </w:rPr>
      </w:pPr>
    </w:p>
    <w:p>
      <w:pPr>
        <w:ind w:left="540" w:right="60"/>
        <w:spacing w:after="0" w:line="241" w:lineRule="auto"/>
        <w:rPr>
          <w:rFonts w:ascii="Arial" w:cs="Arial" w:eastAsia="Arial" w:hAnsi="Arial"/>
          <w:sz w:val="24"/>
          <w:szCs w:val="24"/>
          <w:color w:val="333333"/>
          <w:vertAlign w:val="superscript"/>
        </w:rPr>
      </w:pPr>
      <w:r>
        <w:rPr>
          <w:rFonts w:ascii="Arial" w:cs="Arial" w:eastAsia="Arial" w:hAnsi="Arial"/>
          <w:sz w:val="14"/>
          <w:szCs w:val="14"/>
          <w:color w:val="333333"/>
        </w:rPr>
        <w:t>(g) 65,354 shares owned by two trusts for the benefit of Stephen Blake Marriott, for which Juliana B. Marriott and David S. Marriott as co-trustee (referenced in footnotes (12)(b) and (c) above); (h) 465,495 shares owned by a trust for the benefit of Juliana B. Marriott, for which David S. Marriott and Juliana B. Marriott are co-trustees (referenced in footnote (12)(e) above); (i) 240,000 shares owned by six trusts for the benefit of the grandchildren and great-grandchildren of J.W. Marriott, Jr., for which J.W. Marriott, Jr.’s spouse and each of his children serve as co-trustees (referenced in footnote (3) above); (j) 251,000 shares held by a life insurance trust for the benefit of J.W. Marriott, Jr., for which each of his children serve as co-trustees (referenced in footnote (6)(g) above); (k) 3,523,737 shares owned by The J. Willard &amp; Alice S. Marriott Foundation, a charitable foundation, for which David S. Marriott serves as co-trustee with J.W. Marriott, Jr., Richard E. Marriott and Deborah M. Harrison (referenced in footnote (2)(b) above) and (l) 38,289 shares subject to Options and RSUs currently exercisable or exercisable within 60 days after January 31, 2018.</w:t>
      </w:r>
    </w:p>
    <w:p>
      <w:pPr>
        <w:spacing w:after="0" w:line="163" w:lineRule="exact"/>
        <w:rPr>
          <w:rFonts w:ascii="Arial" w:cs="Arial" w:eastAsia="Arial" w:hAnsi="Arial"/>
          <w:sz w:val="24"/>
          <w:szCs w:val="24"/>
          <w:color w:val="333333"/>
          <w:vertAlign w:val="superscript"/>
        </w:rPr>
      </w:pPr>
    </w:p>
    <w:p>
      <w:pPr>
        <w:ind w:left="540" w:hanging="330"/>
        <w:spacing w:after="0" w:line="187" w:lineRule="auto"/>
        <w:tabs>
          <w:tab w:leader="none" w:pos="540" w:val="left"/>
        </w:tabs>
        <w:numPr>
          <w:ilvl w:val="0"/>
          <w:numId w:val="131"/>
        </w:numPr>
        <w:rPr>
          <w:rFonts w:ascii="Arial" w:cs="Arial" w:eastAsia="Arial" w:hAnsi="Arial"/>
          <w:sz w:val="18"/>
          <w:szCs w:val="18"/>
          <w:color w:val="333333"/>
          <w:vertAlign w:val="superscript"/>
        </w:rPr>
      </w:pPr>
      <w:r>
        <w:rPr>
          <w:rFonts w:ascii="Arial" w:cs="Arial" w:eastAsia="Arial" w:hAnsi="Arial"/>
          <w:sz w:val="11"/>
          <w:szCs w:val="11"/>
          <w:color w:val="333333"/>
        </w:rPr>
        <w:t>Includes 20,399 shares that Nicole M. Avery reports as beneficially owned in addition to the shares referred to in footnote (4).</w:t>
      </w:r>
    </w:p>
    <w:p>
      <w:pPr>
        <w:ind w:left="540" w:hanging="330"/>
        <w:spacing w:after="0" w:line="187" w:lineRule="auto"/>
        <w:tabs>
          <w:tab w:leader="none" w:pos="540" w:val="left"/>
        </w:tabs>
        <w:numPr>
          <w:ilvl w:val="0"/>
          <w:numId w:val="131"/>
        </w:numPr>
        <w:rPr>
          <w:rFonts w:ascii="Arial" w:cs="Arial" w:eastAsia="Arial" w:hAnsi="Arial"/>
          <w:sz w:val="18"/>
          <w:szCs w:val="18"/>
          <w:color w:val="333333"/>
          <w:vertAlign w:val="superscript"/>
        </w:rPr>
      </w:pPr>
      <w:r>
        <w:rPr>
          <w:rFonts w:ascii="Arial" w:cs="Arial" w:eastAsia="Arial" w:hAnsi="Arial"/>
          <w:sz w:val="11"/>
          <w:szCs w:val="11"/>
          <w:color w:val="333333"/>
        </w:rPr>
        <w:t>Includes 57,092 shares held by The Bruce Duncan Revocable Trust of which Mr. Duncan is sole trustee and beneficiary.</w:t>
      </w:r>
    </w:p>
    <w:p>
      <w:pPr>
        <w:jc w:val="both"/>
        <w:ind w:left="540" w:right="180" w:hanging="330"/>
        <w:spacing w:after="0" w:line="200" w:lineRule="auto"/>
        <w:tabs>
          <w:tab w:leader="none" w:pos="540" w:val="left"/>
        </w:tabs>
        <w:numPr>
          <w:ilvl w:val="0"/>
          <w:numId w:val="131"/>
        </w:numPr>
        <w:rPr>
          <w:rFonts w:ascii="Arial" w:cs="Arial" w:eastAsia="Arial" w:hAnsi="Arial"/>
          <w:sz w:val="24"/>
          <w:szCs w:val="24"/>
          <w:color w:val="333333"/>
          <w:vertAlign w:val="superscript"/>
        </w:rPr>
      </w:pPr>
      <w:r>
        <w:rPr>
          <w:rFonts w:ascii="Arial" w:cs="Arial" w:eastAsia="Arial" w:hAnsi="Arial"/>
          <w:sz w:val="14"/>
          <w:szCs w:val="14"/>
          <w:color w:val="333333"/>
        </w:rPr>
        <w:t>Based on a review of a Schedule 13G report filed with the SEC on February 9, 2018, The Vanguard Group beneficially owned 20,154,908 shares as of December 31, 2017, with sole voting power as to 442,359 shares, shared voting power as to 70,586 shares, sole dispositive power as to 19,653,793 shares, and shared dispositive power as to 501,115 shares.</w:t>
      </w:r>
    </w:p>
    <w:p>
      <w:pPr>
        <w:spacing w:after="0" w:line="272"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Section 16(a) Beneficial Ownership Reporting Compliance</w:t>
      </w:r>
    </w:p>
    <w:p>
      <w:pPr>
        <w:spacing w:after="0" w:line="104" w:lineRule="exact"/>
        <w:rPr>
          <w:sz w:val="20"/>
          <w:szCs w:val="20"/>
          <w:color w:val="auto"/>
        </w:rPr>
      </w:pPr>
    </w:p>
    <w:p>
      <w:pPr>
        <w:ind w:left="220" w:right="80"/>
        <w:spacing w:after="0" w:line="242" w:lineRule="auto"/>
        <w:rPr>
          <w:sz w:val="20"/>
          <w:szCs w:val="20"/>
          <w:color w:val="auto"/>
        </w:rPr>
      </w:pPr>
      <w:r>
        <w:rPr>
          <w:rFonts w:ascii="Arial" w:cs="Arial" w:eastAsia="Arial" w:hAnsi="Arial"/>
          <w:sz w:val="17"/>
          <w:szCs w:val="17"/>
          <w:color w:val="auto"/>
        </w:rPr>
        <w:t>Section 16(a) of the Exchange Act requires the Company’s directors and executive officers and persons who own more than 10% of a registered class of the Company’s equity securities (the “</w:t>
      </w:r>
      <w:r>
        <w:rPr>
          <w:rFonts w:ascii="Arial" w:cs="Arial" w:eastAsia="Arial" w:hAnsi="Arial"/>
          <w:sz w:val="17"/>
          <w:szCs w:val="17"/>
          <w:i w:val="1"/>
          <w:iCs w:val="1"/>
          <w:color w:val="auto"/>
        </w:rPr>
        <w:t>Reporting Persons</w:t>
      </w:r>
      <w:r>
        <w:rPr>
          <w:rFonts w:ascii="Arial" w:cs="Arial" w:eastAsia="Arial" w:hAnsi="Arial"/>
          <w:sz w:val="17"/>
          <w:szCs w:val="17"/>
          <w:color w:val="auto"/>
        </w:rPr>
        <w:t>”) to file with the SEC reports on Forms 3, 4 and 5 concerning their ownership of and transactions in the common stock and other equity securities of the Company, generally within two business days of a reportable transaction. As a practical matter, the Company seeks to assist its directors and executives by monitoring transactions and completing and filing reports on their behalf.</w:t>
      </w:r>
    </w:p>
    <w:p>
      <w:pPr>
        <w:spacing w:after="0" w:line="175" w:lineRule="exact"/>
        <w:rPr>
          <w:sz w:val="20"/>
          <w:szCs w:val="20"/>
          <w:color w:val="auto"/>
        </w:rPr>
      </w:pPr>
    </w:p>
    <w:p>
      <w:pPr>
        <w:ind w:left="220" w:right="180"/>
        <w:spacing w:after="0" w:line="253" w:lineRule="auto"/>
        <w:rPr>
          <w:sz w:val="20"/>
          <w:szCs w:val="20"/>
          <w:color w:val="auto"/>
        </w:rPr>
      </w:pPr>
      <w:r>
        <w:rPr>
          <w:rFonts w:ascii="Arial" w:cs="Arial" w:eastAsia="Arial" w:hAnsi="Arial"/>
          <w:sz w:val="17"/>
          <w:szCs w:val="17"/>
          <w:color w:val="auto"/>
        </w:rPr>
        <w:t>Based solely upon a review of SEC filings furnished to the Company and written representations that no other reports were required, we believe that all Reporting Persons complied with these reporting requirements for fiscal year 2017 except for a late filing on Form 4 by Mr. Hippeau to report the distribution of 1,322 shares deferred under the Starwood LTIP, which was due to an administrative error.</w:t>
      </w:r>
    </w:p>
    <w:p>
      <w:pPr>
        <w:spacing w:after="0" w:line="102" w:lineRule="exact"/>
        <w:rPr>
          <w:sz w:val="20"/>
          <w:szCs w:val="20"/>
          <w:color w:val="auto"/>
        </w:rPr>
      </w:pPr>
    </w:p>
    <w:tbl>
      <w:tblPr>
        <w:tblLayout w:type="fixed"/>
        <w:tblInd w:w="9180" w:type="dxa"/>
        <w:tblCellMar>
          <w:top w:w="0" w:type="dxa"/>
          <w:left w:w="0" w:type="dxa"/>
          <w:bottom w:w="0" w:type="dxa"/>
          <w:right w:w="0" w:type="dxa"/>
        </w:tblCellMar>
      </w:tblPr>
      <w:tr>
        <w:trPr>
          <w:trHeight w:val="214"/>
        </w:trPr>
        <w:tc>
          <w:tcPr>
            <w:tcW w:w="1660" w:type="dxa"/>
            <w:vAlign w:val="bottom"/>
          </w:tcPr>
          <w:p>
            <w:pPr>
              <w:spacing w:after="0"/>
              <w:rPr>
                <w:sz w:val="20"/>
                <w:szCs w:val="20"/>
                <w:color w:val="auto"/>
              </w:rPr>
            </w:pPr>
            <w:r>
              <w:rPr>
                <w:rFonts w:ascii="Arial" w:cs="Arial" w:eastAsia="Arial" w:hAnsi="Arial"/>
                <w:sz w:val="15"/>
                <w:szCs w:val="15"/>
                <w:color w:val="998C87"/>
              </w:rPr>
              <w:t>2018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63</w:t>
            </w:r>
          </w:p>
        </w:tc>
      </w:tr>
    </w:tbl>
    <w:p>
      <w:pPr>
        <w:sectPr>
          <w:pgSz w:w="11900" w:h="16838" w:orient="portrait"/>
          <w:cols w:equalWidth="0" w:num="1">
            <w:col w:w="11220"/>
          </w:cols>
          <w:pgMar w:left="240" w:top="455" w:right="4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Transactions with Related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25"/>
          <w:szCs w:val="25"/>
          <w:color w:val="998C87"/>
        </w:rPr>
        <w:t>TRANSACTIONS WITH RELATED PERSONS</w:t>
      </w:r>
    </w:p>
    <w:p>
      <w:pPr>
        <w:spacing w:after="0" w:line="120" w:lineRule="exact"/>
        <w:rPr>
          <w:sz w:val="20"/>
          <w:szCs w:val="20"/>
          <w:color w:val="auto"/>
        </w:rPr>
      </w:pPr>
    </w:p>
    <w:p>
      <w:pPr>
        <w:ind w:left="220" w:right="160"/>
        <w:spacing w:after="0" w:line="246" w:lineRule="auto"/>
        <w:rPr>
          <w:sz w:val="20"/>
          <w:szCs w:val="20"/>
          <w:color w:val="auto"/>
        </w:rPr>
      </w:pPr>
      <w:r>
        <w:rPr>
          <w:rFonts w:ascii="Arial" w:cs="Arial" w:eastAsia="Arial" w:hAnsi="Arial"/>
          <w:sz w:val="17"/>
          <w:szCs w:val="17"/>
          <w:color w:val="auto"/>
        </w:rPr>
        <w:t>JWM Family Enterprises, L.P. (“</w:t>
      </w:r>
      <w:r>
        <w:rPr>
          <w:rFonts w:ascii="Arial" w:cs="Arial" w:eastAsia="Arial" w:hAnsi="Arial"/>
          <w:sz w:val="17"/>
          <w:szCs w:val="17"/>
          <w:i w:val="1"/>
          <w:iCs w:val="1"/>
          <w:color w:val="auto"/>
        </w:rPr>
        <w:t>Family Enterprises</w:t>
      </w:r>
      <w:r>
        <w:rPr>
          <w:rFonts w:ascii="Arial" w:cs="Arial" w:eastAsia="Arial" w:hAnsi="Arial"/>
          <w:sz w:val="17"/>
          <w:szCs w:val="17"/>
          <w:color w:val="auto"/>
        </w:rPr>
        <w:t>”) is a Delaware limited partnership which is beneficially owned and controlled by members of the family of J.W. Marriott, Jr., the Company’s Executive Chairman and Chairman of the Board, including Deborah M. Harrison (daughter of J.W. Marriott, Jr.), a member of the Company’s Board of Directors and an officer of the Company, and J.W. Marriott, Jr. himself. Family Enterprises indirectly holds varying percentages of ownership in the following 17 hotels: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142875</wp:posOffset>
            </wp:positionV>
            <wp:extent cx="6989445" cy="31267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89445" cy="3126740"/>
                    </a:xfrm>
                    <a:prstGeom prst="rect">
                      <a:avLst/>
                    </a:prstGeom>
                    <a:noFill/>
                  </pic:spPr>
                </pic:pic>
              </a:graphicData>
            </a:graphic>
          </wp:anchor>
        </w:drawing>
      </w:r>
    </w:p>
    <w:p>
      <w:pPr>
        <w:spacing w:after="0" w:line="190"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7440" w:type="dxa"/>
            <w:vAlign w:val="bottom"/>
            <w:shd w:val="clear" w:color="auto" w:fill="998C87"/>
          </w:tcPr>
          <w:p>
            <w:pPr>
              <w:spacing w:after="0"/>
              <w:rPr>
                <w:sz w:val="16"/>
                <w:szCs w:val="16"/>
                <w:color w:val="auto"/>
              </w:rPr>
            </w:pPr>
          </w:p>
        </w:tc>
        <w:tc>
          <w:tcPr>
            <w:tcW w:w="1920" w:type="dxa"/>
            <w:vAlign w:val="bottom"/>
            <w:shd w:val="clear" w:color="auto" w:fill="998C87"/>
          </w:tcPr>
          <w:p>
            <w:pPr>
              <w:spacing w:after="0"/>
              <w:rPr>
                <w:sz w:val="16"/>
                <w:szCs w:val="16"/>
                <w:color w:val="auto"/>
              </w:rPr>
            </w:pPr>
          </w:p>
        </w:tc>
        <w:tc>
          <w:tcPr>
            <w:tcW w:w="16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w w:val="98"/>
              </w:rPr>
              <w:t>Initial Year</w:t>
            </w:r>
          </w:p>
        </w:tc>
      </w:tr>
      <w:tr>
        <w:trPr>
          <w:trHeight w:val="189"/>
        </w:trPr>
        <w:tc>
          <w:tcPr>
            <w:tcW w:w="7440" w:type="dxa"/>
            <w:vAlign w:val="bottom"/>
            <w:shd w:val="clear" w:color="auto" w:fill="998C87"/>
          </w:tcPr>
          <w:p>
            <w:pPr>
              <w:spacing w:after="0"/>
              <w:rPr>
                <w:sz w:val="16"/>
                <w:szCs w:val="16"/>
                <w:color w:val="auto"/>
              </w:rPr>
            </w:pPr>
          </w:p>
        </w:tc>
        <w:tc>
          <w:tcPr>
            <w:tcW w:w="1920" w:type="dxa"/>
            <w:vAlign w:val="bottom"/>
            <w:shd w:val="clear" w:color="auto" w:fill="998C87"/>
          </w:tcPr>
          <w:p>
            <w:pPr>
              <w:spacing w:after="0"/>
              <w:rPr>
                <w:sz w:val="16"/>
                <w:szCs w:val="16"/>
                <w:color w:val="auto"/>
              </w:rPr>
            </w:pPr>
          </w:p>
        </w:tc>
        <w:tc>
          <w:tcPr>
            <w:tcW w:w="16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of</w:t>
            </w:r>
          </w:p>
        </w:tc>
      </w:tr>
      <w:tr>
        <w:trPr>
          <w:trHeight w:val="189"/>
        </w:trPr>
        <w:tc>
          <w:tcPr>
            <w:tcW w:w="7440" w:type="dxa"/>
            <w:vAlign w:val="bottom"/>
            <w:shd w:val="clear" w:color="auto" w:fill="998C87"/>
          </w:tcPr>
          <w:p>
            <w:pPr>
              <w:spacing w:after="0"/>
              <w:rPr>
                <w:sz w:val="16"/>
                <w:szCs w:val="16"/>
                <w:color w:val="auto"/>
              </w:rPr>
            </w:pPr>
          </w:p>
        </w:tc>
        <w:tc>
          <w:tcPr>
            <w:tcW w:w="1920" w:type="dxa"/>
            <w:vAlign w:val="bottom"/>
            <w:shd w:val="clear" w:color="auto" w:fill="998C87"/>
          </w:tcPr>
          <w:p>
            <w:pPr>
              <w:spacing w:after="0"/>
              <w:rPr>
                <w:sz w:val="16"/>
                <w:szCs w:val="16"/>
                <w:color w:val="auto"/>
              </w:rPr>
            </w:pPr>
          </w:p>
        </w:tc>
        <w:tc>
          <w:tcPr>
            <w:tcW w:w="16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Company</w:t>
            </w:r>
          </w:p>
        </w:tc>
      </w:tr>
      <w:tr>
        <w:trPr>
          <w:trHeight w:val="236"/>
        </w:trPr>
        <w:tc>
          <w:tcPr>
            <w:tcW w:w="7440" w:type="dxa"/>
            <w:vAlign w:val="bottom"/>
            <w:shd w:val="clear" w:color="auto" w:fill="998C87"/>
          </w:tcPr>
          <w:p>
            <w:pPr>
              <w:ind w:left="180"/>
              <w:spacing w:after="0"/>
              <w:rPr>
                <w:sz w:val="20"/>
                <w:szCs w:val="20"/>
                <w:color w:val="auto"/>
              </w:rPr>
            </w:pPr>
            <w:r>
              <w:rPr>
                <w:rFonts w:ascii="Arial" w:cs="Arial" w:eastAsia="Arial" w:hAnsi="Arial"/>
                <w:sz w:val="16"/>
                <w:szCs w:val="16"/>
                <w:b w:val="1"/>
                <w:bCs w:val="1"/>
                <w:color w:val="FFFFFF"/>
              </w:rPr>
              <w:t>Location</w:t>
            </w:r>
          </w:p>
        </w:tc>
        <w:tc>
          <w:tcPr>
            <w:tcW w:w="1920" w:type="dxa"/>
            <w:vAlign w:val="bottom"/>
            <w:shd w:val="clear" w:color="auto" w:fill="998C87"/>
          </w:tcPr>
          <w:p>
            <w:pPr>
              <w:ind w:left="800"/>
              <w:spacing w:after="0"/>
              <w:rPr>
                <w:sz w:val="20"/>
                <w:szCs w:val="20"/>
                <w:color w:val="auto"/>
              </w:rPr>
            </w:pPr>
            <w:r>
              <w:rPr>
                <w:rFonts w:ascii="Arial" w:cs="Arial" w:eastAsia="Arial" w:hAnsi="Arial"/>
                <w:sz w:val="16"/>
                <w:szCs w:val="16"/>
                <w:b w:val="1"/>
                <w:bCs w:val="1"/>
                <w:color w:val="FFFFFF"/>
              </w:rPr>
              <w:t>Brand</w:t>
            </w:r>
          </w:p>
        </w:tc>
        <w:tc>
          <w:tcPr>
            <w:tcW w:w="1640" w:type="dxa"/>
            <w:vAlign w:val="bottom"/>
            <w:shd w:val="clear" w:color="auto" w:fill="998C87"/>
          </w:tcPr>
          <w:p>
            <w:pPr>
              <w:jc w:val="center"/>
              <w:spacing w:after="0"/>
              <w:rPr>
                <w:sz w:val="20"/>
                <w:szCs w:val="20"/>
                <w:color w:val="auto"/>
              </w:rPr>
            </w:pPr>
            <w:r>
              <w:rPr>
                <w:rFonts w:ascii="Arial" w:cs="Arial" w:eastAsia="Arial" w:hAnsi="Arial"/>
                <w:sz w:val="16"/>
                <w:szCs w:val="16"/>
                <w:b w:val="1"/>
                <w:bCs w:val="1"/>
                <w:color w:val="FFFFFF"/>
              </w:rPr>
              <w:t>Management</w:t>
            </w:r>
          </w:p>
        </w:tc>
      </w:tr>
      <w:tr>
        <w:trPr>
          <w:trHeight w:val="231"/>
        </w:trPr>
        <w:tc>
          <w:tcPr>
            <w:tcW w:w="7440" w:type="dxa"/>
            <w:vAlign w:val="bottom"/>
            <w:shd w:val="clear" w:color="auto" w:fill="F4F3F3"/>
          </w:tcPr>
          <w:p>
            <w:pPr>
              <w:ind w:left="180"/>
              <w:spacing w:after="0"/>
              <w:rPr>
                <w:sz w:val="20"/>
                <w:szCs w:val="20"/>
                <w:color w:val="auto"/>
              </w:rPr>
            </w:pPr>
            <w:r>
              <w:rPr>
                <w:rFonts w:ascii="Arial" w:cs="Arial" w:eastAsia="Arial" w:hAnsi="Arial"/>
                <w:sz w:val="17"/>
                <w:szCs w:val="17"/>
                <w:color w:val="auto"/>
              </w:rPr>
              <w:t>Long Beach, California</w:t>
            </w:r>
          </w:p>
        </w:tc>
        <w:tc>
          <w:tcPr>
            <w:tcW w:w="1920" w:type="dxa"/>
            <w:vAlign w:val="bottom"/>
            <w:shd w:val="clear" w:color="auto" w:fill="F4F3F3"/>
          </w:tcPr>
          <w:p>
            <w:pPr>
              <w:ind w:left="260"/>
              <w:spacing w:after="0"/>
              <w:rPr>
                <w:sz w:val="20"/>
                <w:szCs w:val="20"/>
                <w:color w:val="auto"/>
              </w:rPr>
            </w:pPr>
            <w:r>
              <w:rPr>
                <w:rFonts w:ascii="Arial" w:cs="Arial" w:eastAsia="Arial" w:hAnsi="Arial"/>
                <w:sz w:val="17"/>
                <w:szCs w:val="17"/>
                <w:color w:val="auto"/>
              </w:rPr>
              <w:t>Courtyard</w:t>
            </w:r>
          </w:p>
        </w:tc>
        <w:tc>
          <w:tcPr>
            <w:tcW w:w="1640" w:type="dxa"/>
            <w:vAlign w:val="bottom"/>
            <w:shd w:val="clear" w:color="auto" w:fill="F4F3F3"/>
          </w:tcPr>
          <w:p>
            <w:pPr>
              <w:jc w:val="right"/>
              <w:ind w:right="535"/>
              <w:spacing w:after="0"/>
              <w:rPr>
                <w:sz w:val="20"/>
                <w:szCs w:val="20"/>
                <w:color w:val="auto"/>
              </w:rPr>
            </w:pPr>
            <w:r>
              <w:rPr>
                <w:rFonts w:ascii="Arial" w:cs="Arial" w:eastAsia="Arial" w:hAnsi="Arial"/>
                <w:sz w:val="17"/>
                <w:szCs w:val="17"/>
                <w:color w:val="auto"/>
              </w:rPr>
              <w:t>1994</w:t>
            </w:r>
          </w:p>
        </w:tc>
      </w:tr>
      <w:tr>
        <w:trPr>
          <w:trHeight w:val="231"/>
        </w:trPr>
        <w:tc>
          <w:tcPr>
            <w:tcW w:w="7440" w:type="dxa"/>
            <w:vAlign w:val="bottom"/>
            <w:shd w:val="clear" w:color="auto" w:fill="F4F3F3"/>
          </w:tcPr>
          <w:p>
            <w:pPr>
              <w:ind w:left="180"/>
              <w:spacing w:after="0"/>
              <w:rPr>
                <w:sz w:val="20"/>
                <w:szCs w:val="20"/>
                <w:color w:val="auto"/>
              </w:rPr>
            </w:pPr>
            <w:r>
              <w:rPr>
                <w:rFonts w:ascii="Arial" w:cs="Arial" w:eastAsia="Arial" w:hAnsi="Arial"/>
                <w:sz w:val="17"/>
                <w:szCs w:val="17"/>
                <w:color w:val="auto"/>
              </w:rPr>
              <w:t>San Antonio, Texas</w:t>
            </w:r>
          </w:p>
        </w:tc>
        <w:tc>
          <w:tcPr>
            <w:tcW w:w="1920" w:type="dxa"/>
            <w:vAlign w:val="bottom"/>
            <w:shd w:val="clear" w:color="auto" w:fill="F4F3F3"/>
          </w:tcPr>
          <w:p>
            <w:pPr>
              <w:ind w:left="260"/>
              <w:spacing w:after="0"/>
              <w:rPr>
                <w:sz w:val="20"/>
                <w:szCs w:val="20"/>
                <w:color w:val="auto"/>
              </w:rPr>
            </w:pPr>
            <w:r>
              <w:rPr>
                <w:rFonts w:ascii="Arial" w:cs="Arial" w:eastAsia="Arial" w:hAnsi="Arial"/>
                <w:sz w:val="17"/>
                <w:szCs w:val="17"/>
                <w:color w:val="auto"/>
              </w:rPr>
              <w:t>Residence Inn</w:t>
            </w:r>
          </w:p>
        </w:tc>
        <w:tc>
          <w:tcPr>
            <w:tcW w:w="1640" w:type="dxa"/>
            <w:vAlign w:val="bottom"/>
            <w:shd w:val="clear" w:color="auto" w:fill="F4F3F3"/>
          </w:tcPr>
          <w:p>
            <w:pPr>
              <w:jc w:val="right"/>
              <w:ind w:right="535"/>
              <w:spacing w:after="0"/>
              <w:rPr>
                <w:sz w:val="20"/>
                <w:szCs w:val="20"/>
                <w:color w:val="auto"/>
              </w:rPr>
            </w:pPr>
            <w:r>
              <w:rPr>
                <w:rFonts w:ascii="Arial" w:cs="Arial" w:eastAsia="Arial" w:hAnsi="Arial"/>
                <w:sz w:val="17"/>
                <w:szCs w:val="17"/>
                <w:color w:val="auto"/>
              </w:rPr>
              <w:t>1994</w:t>
            </w:r>
          </w:p>
        </w:tc>
      </w:tr>
      <w:tr>
        <w:trPr>
          <w:trHeight w:val="240"/>
        </w:trPr>
        <w:tc>
          <w:tcPr>
            <w:tcW w:w="7440" w:type="dxa"/>
            <w:vAlign w:val="bottom"/>
            <w:shd w:val="clear" w:color="auto" w:fill="F4F3F3"/>
          </w:tcPr>
          <w:p>
            <w:pPr>
              <w:ind w:left="180"/>
              <w:spacing w:after="0"/>
              <w:rPr>
                <w:sz w:val="20"/>
                <w:szCs w:val="20"/>
                <w:color w:val="auto"/>
              </w:rPr>
            </w:pPr>
            <w:r>
              <w:rPr>
                <w:rFonts w:ascii="Arial" w:cs="Arial" w:eastAsia="Arial" w:hAnsi="Arial"/>
                <w:sz w:val="17"/>
                <w:szCs w:val="17"/>
                <w:color w:val="auto"/>
              </w:rPr>
              <w:t>Anaheim, California</w:t>
            </w:r>
          </w:p>
        </w:tc>
        <w:tc>
          <w:tcPr>
            <w:tcW w:w="1920" w:type="dxa"/>
            <w:vAlign w:val="bottom"/>
            <w:shd w:val="clear" w:color="auto" w:fill="F4F3F3"/>
          </w:tcPr>
          <w:p>
            <w:pPr>
              <w:ind w:left="260"/>
              <w:spacing w:after="0"/>
              <w:rPr>
                <w:sz w:val="20"/>
                <w:szCs w:val="20"/>
                <w:color w:val="auto"/>
              </w:rPr>
            </w:pPr>
            <w:r>
              <w:rPr>
                <w:rFonts w:ascii="Arial" w:cs="Arial" w:eastAsia="Arial" w:hAnsi="Arial"/>
                <w:sz w:val="17"/>
                <w:szCs w:val="17"/>
                <w:color w:val="auto"/>
              </w:rPr>
              <w:t>Fairfield Inn</w:t>
            </w:r>
          </w:p>
        </w:tc>
        <w:tc>
          <w:tcPr>
            <w:tcW w:w="1640" w:type="dxa"/>
            <w:vAlign w:val="bottom"/>
            <w:shd w:val="clear" w:color="auto" w:fill="F4F3F3"/>
          </w:tcPr>
          <w:p>
            <w:pPr>
              <w:jc w:val="right"/>
              <w:ind w:right="535"/>
              <w:spacing w:after="0"/>
              <w:rPr>
                <w:sz w:val="20"/>
                <w:szCs w:val="20"/>
                <w:color w:val="auto"/>
              </w:rPr>
            </w:pPr>
            <w:r>
              <w:rPr>
                <w:rFonts w:ascii="Arial" w:cs="Arial" w:eastAsia="Arial" w:hAnsi="Arial"/>
                <w:sz w:val="17"/>
                <w:szCs w:val="17"/>
                <w:color w:val="auto"/>
              </w:rPr>
              <w:t>1996</w:t>
            </w:r>
          </w:p>
        </w:tc>
      </w:tr>
      <w:tr>
        <w:trPr>
          <w:trHeight w:val="243"/>
        </w:trPr>
        <w:tc>
          <w:tcPr>
            <w:tcW w:w="7440" w:type="dxa"/>
            <w:vAlign w:val="bottom"/>
            <w:shd w:val="clear" w:color="auto" w:fill="F4F3F3"/>
          </w:tcPr>
          <w:p>
            <w:pPr>
              <w:ind w:left="180"/>
              <w:spacing w:after="0"/>
              <w:rPr>
                <w:sz w:val="20"/>
                <w:szCs w:val="20"/>
                <w:color w:val="auto"/>
              </w:rPr>
            </w:pPr>
            <w:r>
              <w:rPr>
                <w:rFonts w:ascii="Arial" w:cs="Arial" w:eastAsia="Arial" w:hAnsi="Arial"/>
                <w:sz w:val="17"/>
                <w:szCs w:val="17"/>
                <w:color w:val="auto"/>
              </w:rPr>
              <w:t>Herndon, Virginia</w:t>
            </w:r>
          </w:p>
        </w:tc>
        <w:tc>
          <w:tcPr>
            <w:tcW w:w="1920" w:type="dxa"/>
            <w:vAlign w:val="bottom"/>
            <w:shd w:val="clear" w:color="auto" w:fill="F4F3F3"/>
          </w:tcPr>
          <w:p>
            <w:pPr>
              <w:ind w:left="260"/>
              <w:spacing w:after="0"/>
              <w:rPr>
                <w:sz w:val="20"/>
                <w:szCs w:val="20"/>
                <w:color w:val="auto"/>
              </w:rPr>
            </w:pPr>
            <w:r>
              <w:rPr>
                <w:rFonts w:ascii="Arial" w:cs="Arial" w:eastAsia="Arial" w:hAnsi="Arial"/>
                <w:sz w:val="17"/>
                <w:szCs w:val="17"/>
                <w:color w:val="auto"/>
              </w:rPr>
              <w:t>SpringHill Suites</w:t>
            </w:r>
          </w:p>
        </w:tc>
        <w:tc>
          <w:tcPr>
            <w:tcW w:w="1640" w:type="dxa"/>
            <w:vAlign w:val="bottom"/>
            <w:shd w:val="clear" w:color="auto" w:fill="F4F3F3"/>
          </w:tcPr>
          <w:p>
            <w:pPr>
              <w:jc w:val="right"/>
              <w:ind w:right="535"/>
              <w:spacing w:after="0"/>
              <w:rPr>
                <w:sz w:val="20"/>
                <w:szCs w:val="20"/>
                <w:color w:val="auto"/>
              </w:rPr>
            </w:pPr>
            <w:r>
              <w:rPr>
                <w:rFonts w:ascii="Arial" w:cs="Arial" w:eastAsia="Arial" w:hAnsi="Arial"/>
                <w:sz w:val="17"/>
                <w:szCs w:val="17"/>
                <w:color w:val="auto"/>
              </w:rPr>
              <w:t>1999</w:t>
            </w:r>
          </w:p>
        </w:tc>
      </w:tr>
      <w:tr>
        <w:trPr>
          <w:trHeight w:val="243"/>
        </w:trPr>
        <w:tc>
          <w:tcPr>
            <w:tcW w:w="7440" w:type="dxa"/>
            <w:vAlign w:val="bottom"/>
            <w:shd w:val="clear" w:color="auto" w:fill="F4F3F3"/>
          </w:tcPr>
          <w:p>
            <w:pPr>
              <w:ind w:left="180"/>
              <w:spacing w:after="0"/>
              <w:rPr>
                <w:sz w:val="20"/>
                <w:szCs w:val="20"/>
                <w:color w:val="auto"/>
              </w:rPr>
            </w:pPr>
            <w:r>
              <w:rPr>
                <w:rFonts w:ascii="Arial" w:cs="Arial" w:eastAsia="Arial" w:hAnsi="Arial"/>
                <w:sz w:val="17"/>
                <w:szCs w:val="17"/>
                <w:color w:val="auto"/>
              </w:rPr>
              <w:t>Milpitas, California</w:t>
            </w:r>
          </w:p>
        </w:tc>
        <w:tc>
          <w:tcPr>
            <w:tcW w:w="1920" w:type="dxa"/>
            <w:vAlign w:val="bottom"/>
            <w:shd w:val="clear" w:color="auto" w:fill="F4F3F3"/>
          </w:tcPr>
          <w:p>
            <w:pPr>
              <w:ind w:left="260"/>
              <w:spacing w:after="0"/>
              <w:rPr>
                <w:sz w:val="20"/>
                <w:szCs w:val="20"/>
                <w:color w:val="auto"/>
              </w:rPr>
            </w:pPr>
            <w:r>
              <w:rPr>
                <w:rFonts w:ascii="Arial" w:cs="Arial" w:eastAsia="Arial" w:hAnsi="Arial"/>
                <w:sz w:val="17"/>
                <w:szCs w:val="17"/>
                <w:color w:val="auto"/>
              </w:rPr>
              <w:t>Courtyard</w:t>
            </w:r>
          </w:p>
        </w:tc>
        <w:tc>
          <w:tcPr>
            <w:tcW w:w="1640" w:type="dxa"/>
            <w:vAlign w:val="bottom"/>
            <w:shd w:val="clear" w:color="auto" w:fill="F4F3F3"/>
          </w:tcPr>
          <w:p>
            <w:pPr>
              <w:jc w:val="right"/>
              <w:ind w:right="535"/>
              <w:spacing w:after="0"/>
              <w:rPr>
                <w:sz w:val="20"/>
                <w:szCs w:val="20"/>
                <w:color w:val="auto"/>
              </w:rPr>
            </w:pPr>
            <w:r>
              <w:rPr>
                <w:rFonts w:ascii="Arial" w:cs="Arial" w:eastAsia="Arial" w:hAnsi="Arial"/>
                <w:sz w:val="17"/>
                <w:szCs w:val="17"/>
                <w:color w:val="auto"/>
              </w:rPr>
              <w:t>1999</w:t>
            </w:r>
          </w:p>
        </w:tc>
      </w:tr>
      <w:tr>
        <w:trPr>
          <w:trHeight w:val="243"/>
        </w:trPr>
        <w:tc>
          <w:tcPr>
            <w:tcW w:w="7440" w:type="dxa"/>
            <w:vAlign w:val="bottom"/>
            <w:shd w:val="clear" w:color="auto" w:fill="F4F3F3"/>
          </w:tcPr>
          <w:p>
            <w:pPr>
              <w:ind w:left="180"/>
              <w:spacing w:after="0"/>
              <w:rPr>
                <w:sz w:val="20"/>
                <w:szCs w:val="20"/>
                <w:color w:val="auto"/>
              </w:rPr>
            </w:pPr>
            <w:r>
              <w:rPr>
                <w:rFonts w:ascii="Arial" w:cs="Arial" w:eastAsia="Arial" w:hAnsi="Arial"/>
                <w:sz w:val="17"/>
                <w:szCs w:val="17"/>
                <w:color w:val="auto"/>
              </w:rPr>
              <w:t>Milpitas, California</w:t>
            </w:r>
          </w:p>
        </w:tc>
        <w:tc>
          <w:tcPr>
            <w:tcW w:w="1920" w:type="dxa"/>
            <w:vAlign w:val="bottom"/>
            <w:shd w:val="clear" w:color="auto" w:fill="F4F3F3"/>
          </w:tcPr>
          <w:p>
            <w:pPr>
              <w:ind w:left="260"/>
              <w:spacing w:after="0"/>
              <w:rPr>
                <w:sz w:val="20"/>
                <w:szCs w:val="20"/>
                <w:color w:val="auto"/>
              </w:rPr>
            </w:pPr>
            <w:r>
              <w:rPr>
                <w:rFonts w:ascii="Arial" w:cs="Arial" w:eastAsia="Arial" w:hAnsi="Arial"/>
                <w:sz w:val="17"/>
                <w:szCs w:val="17"/>
                <w:color w:val="auto"/>
              </w:rPr>
              <w:t>TownePlace Suites</w:t>
            </w:r>
          </w:p>
        </w:tc>
        <w:tc>
          <w:tcPr>
            <w:tcW w:w="1640" w:type="dxa"/>
            <w:vAlign w:val="bottom"/>
            <w:shd w:val="clear" w:color="auto" w:fill="F4F3F3"/>
          </w:tcPr>
          <w:p>
            <w:pPr>
              <w:jc w:val="right"/>
              <w:ind w:right="535"/>
              <w:spacing w:after="0"/>
              <w:rPr>
                <w:sz w:val="20"/>
                <w:szCs w:val="20"/>
                <w:color w:val="auto"/>
              </w:rPr>
            </w:pPr>
            <w:r>
              <w:rPr>
                <w:rFonts w:ascii="Arial" w:cs="Arial" w:eastAsia="Arial" w:hAnsi="Arial"/>
                <w:sz w:val="17"/>
                <w:szCs w:val="17"/>
                <w:color w:val="auto"/>
              </w:rPr>
              <w:t>1999</w:t>
            </w:r>
          </w:p>
        </w:tc>
      </w:tr>
      <w:tr>
        <w:trPr>
          <w:trHeight w:val="243"/>
        </w:trPr>
        <w:tc>
          <w:tcPr>
            <w:tcW w:w="7440" w:type="dxa"/>
            <w:vAlign w:val="bottom"/>
            <w:shd w:val="clear" w:color="auto" w:fill="F4F3F3"/>
          </w:tcPr>
          <w:p>
            <w:pPr>
              <w:ind w:left="180"/>
              <w:spacing w:after="0"/>
              <w:rPr>
                <w:sz w:val="20"/>
                <w:szCs w:val="20"/>
                <w:color w:val="auto"/>
              </w:rPr>
            </w:pPr>
            <w:r>
              <w:rPr>
                <w:rFonts w:ascii="Arial" w:cs="Arial" w:eastAsia="Arial" w:hAnsi="Arial"/>
                <w:sz w:val="17"/>
                <w:szCs w:val="17"/>
                <w:color w:val="auto"/>
              </w:rPr>
              <w:t>Novato, California</w:t>
            </w:r>
          </w:p>
        </w:tc>
        <w:tc>
          <w:tcPr>
            <w:tcW w:w="1920" w:type="dxa"/>
            <w:vAlign w:val="bottom"/>
            <w:shd w:val="clear" w:color="auto" w:fill="F4F3F3"/>
          </w:tcPr>
          <w:p>
            <w:pPr>
              <w:ind w:left="260"/>
              <w:spacing w:after="0"/>
              <w:rPr>
                <w:sz w:val="20"/>
                <w:szCs w:val="20"/>
                <w:color w:val="auto"/>
              </w:rPr>
            </w:pPr>
            <w:r>
              <w:rPr>
                <w:rFonts w:ascii="Arial" w:cs="Arial" w:eastAsia="Arial" w:hAnsi="Arial"/>
                <w:sz w:val="17"/>
                <w:szCs w:val="17"/>
                <w:color w:val="auto"/>
              </w:rPr>
              <w:t>Courtyard</w:t>
            </w:r>
          </w:p>
        </w:tc>
        <w:tc>
          <w:tcPr>
            <w:tcW w:w="1640" w:type="dxa"/>
            <w:vAlign w:val="bottom"/>
            <w:shd w:val="clear" w:color="auto" w:fill="F4F3F3"/>
          </w:tcPr>
          <w:p>
            <w:pPr>
              <w:jc w:val="right"/>
              <w:ind w:right="535"/>
              <w:spacing w:after="0"/>
              <w:rPr>
                <w:sz w:val="20"/>
                <w:szCs w:val="20"/>
                <w:color w:val="auto"/>
              </w:rPr>
            </w:pPr>
            <w:r>
              <w:rPr>
                <w:rFonts w:ascii="Arial" w:cs="Arial" w:eastAsia="Arial" w:hAnsi="Arial"/>
                <w:sz w:val="17"/>
                <w:szCs w:val="17"/>
                <w:color w:val="auto"/>
              </w:rPr>
              <w:t>1999</w:t>
            </w:r>
          </w:p>
        </w:tc>
      </w:tr>
      <w:tr>
        <w:trPr>
          <w:trHeight w:val="243"/>
        </w:trPr>
        <w:tc>
          <w:tcPr>
            <w:tcW w:w="7440" w:type="dxa"/>
            <w:vAlign w:val="bottom"/>
            <w:shd w:val="clear" w:color="auto" w:fill="F4F3F3"/>
          </w:tcPr>
          <w:p>
            <w:pPr>
              <w:ind w:left="180"/>
              <w:spacing w:after="0"/>
              <w:rPr>
                <w:sz w:val="20"/>
                <w:szCs w:val="20"/>
                <w:color w:val="auto"/>
              </w:rPr>
            </w:pPr>
            <w:r>
              <w:rPr>
                <w:rFonts w:ascii="Arial" w:cs="Arial" w:eastAsia="Arial" w:hAnsi="Arial"/>
                <w:sz w:val="17"/>
                <w:szCs w:val="17"/>
                <w:color w:val="auto"/>
              </w:rPr>
              <w:t>Washington, D.C. (Thomas Circle)</w:t>
            </w:r>
          </w:p>
        </w:tc>
        <w:tc>
          <w:tcPr>
            <w:tcW w:w="1920" w:type="dxa"/>
            <w:vAlign w:val="bottom"/>
            <w:shd w:val="clear" w:color="auto" w:fill="F4F3F3"/>
          </w:tcPr>
          <w:p>
            <w:pPr>
              <w:ind w:left="260"/>
              <w:spacing w:after="0"/>
              <w:rPr>
                <w:sz w:val="20"/>
                <w:szCs w:val="20"/>
                <w:color w:val="auto"/>
              </w:rPr>
            </w:pPr>
            <w:r>
              <w:rPr>
                <w:rFonts w:ascii="Arial" w:cs="Arial" w:eastAsia="Arial" w:hAnsi="Arial"/>
                <w:sz w:val="17"/>
                <w:szCs w:val="17"/>
                <w:color w:val="auto"/>
              </w:rPr>
              <w:t>Residence Inn</w:t>
            </w:r>
          </w:p>
        </w:tc>
        <w:tc>
          <w:tcPr>
            <w:tcW w:w="1640" w:type="dxa"/>
            <w:vAlign w:val="bottom"/>
            <w:shd w:val="clear" w:color="auto" w:fill="F4F3F3"/>
          </w:tcPr>
          <w:p>
            <w:pPr>
              <w:jc w:val="right"/>
              <w:ind w:right="535"/>
              <w:spacing w:after="0"/>
              <w:rPr>
                <w:sz w:val="20"/>
                <w:szCs w:val="20"/>
                <w:color w:val="auto"/>
              </w:rPr>
            </w:pPr>
            <w:r>
              <w:rPr>
                <w:rFonts w:ascii="Arial" w:cs="Arial" w:eastAsia="Arial" w:hAnsi="Arial"/>
                <w:sz w:val="17"/>
                <w:szCs w:val="17"/>
                <w:color w:val="auto"/>
              </w:rPr>
              <w:t>2001</w:t>
            </w:r>
          </w:p>
        </w:tc>
      </w:tr>
      <w:tr>
        <w:trPr>
          <w:trHeight w:val="243"/>
        </w:trPr>
        <w:tc>
          <w:tcPr>
            <w:tcW w:w="7440" w:type="dxa"/>
            <w:vAlign w:val="bottom"/>
            <w:shd w:val="clear" w:color="auto" w:fill="F4F3F3"/>
          </w:tcPr>
          <w:p>
            <w:pPr>
              <w:ind w:left="180"/>
              <w:spacing w:after="0"/>
              <w:rPr>
                <w:sz w:val="20"/>
                <w:szCs w:val="20"/>
                <w:color w:val="auto"/>
              </w:rPr>
            </w:pPr>
            <w:r>
              <w:rPr>
                <w:rFonts w:ascii="Arial" w:cs="Arial" w:eastAsia="Arial" w:hAnsi="Arial"/>
                <w:sz w:val="17"/>
                <w:szCs w:val="17"/>
                <w:color w:val="auto"/>
              </w:rPr>
              <w:t>West Palm Beach, Florida</w:t>
            </w:r>
          </w:p>
        </w:tc>
        <w:tc>
          <w:tcPr>
            <w:tcW w:w="1920" w:type="dxa"/>
            <w:vAlign w:val="bottom"/>
            <w:shd w:val="clear" w:color="auto" w:fill="F4F3F3"/>
          </w:tcPr>
          <w:p>
            <w:pPr>
              <w:ind w:left="260"/>
              <w:spacing w:after="0"/>
              <w:rPr>
                <w:sz w:val="20"/>
                <w:szCs w:val="20"/>
                <w:color w:val="auto"/>
              </w:rPr>
            </w:pPr>
            <w:r>
              <w:rPr>
                <w:rFonts w:ascii="Arial" w:cs="Arial" w:eastAsia="Arial" w:hAnsi="Arial"/>
                <w:sz w:val="17"/>
                <w:szCs w:val="17"/>
                <w:color w:val="auto"/>
              </w:rPr>
              <w:t>Marriott</w:t>
            </w:r>
          </w:p>
        </w:tc>
        <w:tc>
          <w:tcPr>
            <w:tcW w:w="1640" w:type="dxa"/>
            <w:vAlign w:val="bottom"/>
            <w:shd w:val="clear" w:color="auto" w:fill="F4F3F3"/>
          </w:tcPr>
          <w:p>
            <w:pPr>
              <w:jc w:val="right"/>
              <w:ind w:right="535"/>
              <w:spacing w:after="0"/>
              <w:rPr>
                <w:sz w:val="20"/>
                <w:szCs w:val="20"/>
                <w:color w:val="auto"/>
              </w:rPr>
            </w:pPr>
            <w:r>
              <w:rPr>
                <w:rFonts w:ascii="Arial" w:cs="Arial" w:eastAsia="Arial" w:hAnsi="Arial"/>
                <w:sz w:val="17"/>
                <w:szCs w:val="17"/>
                <w:color w:val="auto"/>
              </w:rPr>
              <w:t>2003</w:t>
            </w:r>
          </w:p>
        </w:tc>
      </w:tr>
      <w:tr>
        <w:trPr>
          <w:trHeight w:val="243"/>
        </w:trPr>
        <w:tc>
          <w:tcPr>
            <w:tcW w:w="7440" w:type="dxa"/>
            <w:vAlign w:val="bottom"/>
            <w:shd w:val="clear" w:color="auto" w:fill="F4F3F3"/>
          </w:tcPr>
          <w:p>
            <w:pPr>
              <w:ind w:left="180"/>
              <w:spacing w:after="0"/>
              <w:rPr>
                <w:sz w:val="20"/>
                <w:szCs w:val="20"/>
                <w:color w:val="auto"/>
              </w:rPr>
            </w:pPr>
            <w:r>
              <w:rPr>
                <w:rFonts w:ascii="Arial" w:cs="Arial" w:eastAsia="Arial" w:hAnsi="Arial"/>
                <w:sz w:val="17"/>
                <w:szCs w:val="17"/>
                <w:color w:val="auto"/>
              </w:rPr>
              <w:t>Columbus, Ohio</w:t>
            </w:r>
          </w:p>
        </w:tc>
        <w:tc>
          <w:tcPr>
            <w:tcW w:w="1920" w:type="dxa"/>
            <w:vAlign w:val="bottom"/>
            <w:shd w:val="clear" w:color="auto" w:fill="F4F3F3"/>
          </w:tcPr>
          <w:p>
            <w:pPr>
              <w:ind w:left="260"/>
              <w:spacing w:after="0"/>
              <w:rPr>
                <w:sz w:val="20"/>
                <w:szCs w:val="20"/>
                <w:color w:val="auto"/>
              </w:rPr>
            </w:pPr>
            <w:r>
              <w:rPr>
                <w:rFonts w:ascii="Arial" w:cs="Arial" w:eastAsia="Arial" w:hAnsi="Arial"/>
                <w:sz w:val="17"/>
                <w:szCs w:val="17"/>
                <w:color w:val="auto"/>
              </w:rPr>
              <w:t>Renaissance</w:t>
            </w:r>
          </w:p>
        </w:tc>
        <w:tc>
          <w:tcPr>
            <w:tcW w:w="1640" w:type="dxa"/>
            <w:vAlign w:val="bottom"/>
            <w:shd w:val="clear" w:color="auto" w:fill="F4F3F3"/>
          </w:tcPr>
          <w:p>
            <w:pPr>
              <w:jc w:val="right"/>
              <w:ind w:right="535"/>
              <w:spacing w:after="0"/>
              <w:rPr>
                <w:sz w:val="20"/>
                <w:szCs w:val="20"/>
                <w:color w:val="auto"/>
              </w:rPr>
            </w:pPr>
            <w:r>
              <w:rPr>
                <w:rFonts w:ascii="Arial" w:cs="Arial" w:eastAsia="Arial" w:hAnsi="Arial"/>
                <w:sz w:val="17"/>
                <w:szCs w:val="17"/>
                <w:color w:val="auto"/>
              </w:rPr>
              <w:t>2004</w:t>
            </w:r>
          </w:p>
        </w:tc>
      </w:tr>
      <w:tr>
        <w:trPr>
          <w:trHeight w:val="243"/>
        </w:trPr>
        <w:tc>
          <w:tcPr>
            <w:tcW w:w="7440" w:type="dxa"/>
            <w:vAlign w:val="bottom"/>
            <w:shd w:val="clear" w:color="auto" w:fill="F4F3F3"/>
          </w:tcPr>
          <w:p>
            <w:pPr>
              <w:ind w:left="180"/>
              <w:spacing w:after="0"/>
              <w:rPr>
                <w:sz w:val="20"/>
                <w:szCs w:val="20"/>
                <w:color w:val="auto"/>
              </w:rPr>
            </w:pPr>
            <w:r>
              <w:rPr>
                <w:rFonts w:ascii="Arial" w:cs="Arial" w:eastAsia="Arial" w:hAnsi="Arial"/>
                <w:sz w:val="17"/>
                <w:szCs w:val="17"/>
                <w:color w:val="auto"/>
              </w:rPr>
              <w:t>Charlotte, North Carolina</w:t>
            </w:r>
          </w:p>
        </w:tc>
        <w:tc>
          <w:tcPr>
            <w:tcW w:w="1920" w:type="dxa"/>
            <w:vAlign w:val="bottom"/>
            <w:shd w:val="clear" w:color="auto" w:fill="F4F3F3"/>
          </w:tcPr>
          <w:p>
            <w:pPr>
              <w:ind w:left="260"/>
              <w:spacing w:after="0"/>
              <w:rPr>
                <w:sz w:val="20"/>
                <w:szCs w:val="20"/>
                <w:color w:val="auto"/>
              </w:rPr>
            </w:pPr>
            <w:r>
              <w:rPr>
                <w:rFonts w:ascii="Arial" w:cs="Arial" w:eastAsia="Arial" w:hAnsi="Arial"/>
                <w:sz w:val="17"/>
                <w:szCs w:val="17"/>
                <w:color w:val="auto"/>
              </w:rPr>
              <w:t>Marriott</w:t>
            </w:r>
          </w:p>
        </w:tc>
        <w:tc>
          <w:tcPr>
            <w:tcW w:w="1640" w:type="dxa"/>
            <w:vAlign w:val="bottom"/>
            <w:shd w:val="clear" w:color="auto" w:fill="F4F3F3"/>
          </w:tcPr>
          <w:p>
            <w:pPr>
              <w:jc w:val="right"/>
              <w:ind w:right="535"/>
              <w:spacing w:after="0"/>
              <w:rPr>
                <w:sz w:val="20"/>
                <w:szCs w:val="20"/>
                <w:color w:val="auto"/>
              </w:rPr>
            </w:pPr>
            <w:r>
              <w:rPr>
                <w:rFonts w:ascii="Arial" w:cs="Arial" w:eastAsia="Arial" w:hAnsi="Arial"/>
                <w:sz w:val="17"/>
                <w:szCs w:val="17"/>
                <w:color w:val="auto"/>
              </w:rPr>
              <w:t>2006</w:t>
            </w:r>
          </w:p>
        </w:tc>
      </w:tr>
      <w:tr>
        <w:trPr>
          <w:trHeight w:val="243"/>
        </w:trPr>
        <w:tc>
          <w:tcPr>
            <w:tcW w:w="7440" w:type="dxa"/>
            <w:vAlign w:val="bottom"/>
            <w:shd w:val="clear" w:color="auto" w:fill="F4F3F3"/>
          </w:tcPr>
          <w:p>
            <w:pPr>
              <w:ind w:left="180"/>
              <w:spacing w:after="0"/>
              <w:rPr>
                <w:sz w:val="20"/>
                <w:szCs w:val="20"/>
                <w:color w:val="auto"/>
              </w:rPr>
            </w:pPr>
            <w:r>
              <w:rPr>
                <w:rFonts w:ascii="Arial" w:cs="Arial" w:eastAsia="Arial" w:hAnsi="Arial"/>
                <w:sz w:val="17"/>
                <w:szCs w:val="17"/>
                <w:color w:val="auto"/>
              </w:rPr>
              <w:t>Dallas, Texas</w:t>
            </w:r>
          </w:p>
        </w:tc>
        <w:tc>
          <w:tcPr>
            <w:tcW w:w="1920" w:type="dxa"/>
            <w:vAlign w:val="bottom"/>
            <w:shd w:val="clear" w:color="auto" w:fill="F4F3F3"/>
          </w:tcPr>
          <w:p>
            <w:pPr>
              <w:ind w:left="260"/>
              <w:spacing w:after="0"/>
              <w:rPr>
                <w:sz w:val="20"/>
                <w:szCs w:val="20"/>
                <w:color w:val="auto"/>
              </w:rPr>
            </w:pPr>
            <w:r>
              <w:rPr>
                <w:rFonts w:ascii="Arial" w:cs="Arial" w:eastAsia="Arial" w:hAnsi="Arial"/>
                <w:sz w:val="17"/>
                <w:szCs w:val="17"/>
                <w:color w:val="auto"/>
              </w:rPr>
              <w:t>Renaissance</w:t>
            </w:r>
          </w:p>
        </w:tc>
        <w:tc>
          <w:tcPr>
            <w:tcW w:w="1640" w:type="dxa"/>
            <w:vAlign w:val="bottom"/>
            <w:shd w:val="clear" w:color="auto" w:fill="F4F3F3"/>
          </w:tcPr>
          <w:p>
            <w:pPr>
              <w:jc w:val="right"/>
              <w:ind w:right="535"/>
              <w:spacing w:after="0"/>
              <w:rPr>
                <w:sz w:val="20"/>
                <w:szCs w:val="20"/>
                <w:color w:val="auto"/>
              </w:rPr>
            </w:pPr>
            <w:r>
              <w:rPr>
                <w:rFonts w:ascii="Arial" w:cs="Arial" w:eastAsia="Arial" w:hAnsi="Arial"/>
                <w:sz w:val="17"/>
                <w:szCs w:val="17"/>
                <w:color w:val="auto"/>
              </w:rPr>
              <w:t>2006</w:t>
            </w:r>
          </w:p>
        </w:tc>
      </w:tr>
      <w:tr>
        <w:trPr>
          <w:trHeight w:val="243"/>
        </w:trPr>
        <w:tc>
          <w:tcPr>
            <w:tcW w:w="7440" w:type="dxa"/>
            <w:vAlign w:val="bottom"/>
            <w:shd w:val="clear" w:color="auto" w:fill="F4F3F3"/>
          </w:tcPr>
          <w:p>
            <w:pPr>
              <w:ind w:left="180"/>
              <w:spacing w:after="0"/>
              <w:rPr>
                <w:sz w:val="20"/>
                <w:szCs w:val="20"/>
                <w:color w:val="auto"/>
              </w:rPr>
            </w:pPr>
            <w:r>
              <w:rPr>
                <w:rFonts w:ascii="Arial" w:cs="Arial" w:eastAsia="Arial" w:hAnsi="Arial"/>
                <w:sz w:val="17"/>
                <w:szCs w:val="17"/>
                <w:color w:val="auto"/>
              </w:rPr>
              <w:t>Trumbull, Connecticut</w:t>
            </w:r>
          </w:p>
        </w:tc>
        <w:tc>
          <w:tcPr>
            <w:tcW w:w="1920" w:type="dxa"/>
            <w:vAlign w:val="bottom"/>
            <w:shd w:val="clear" w:color="auto" w:fill="F4F3F3"/>
          </w:tcPr>
          <w:p>
            <w:pPr>
              <w:ind w:left="260"/>
              <w:spacing w:after="0"/>
              <w:rPr>
                <w:sz w:val="20"/>
                <w:szCs w:val="20"/>
                <w:color w:val="auto"/>
              </w:rPr>
            </w:pPr>
            <w:r>
              <w:rPr>
                <w:rFonts w:ascii="Arial" w:cs="Arial" w:eastAsia="Arial" w:hAnsi="Arial"/>
                <w:sz w:val="17"/>
                <w:szCs w:val="17"/>
                <w:color w:val="auto"/>
              </w:rPr>
              <w:t>Marriott</w:t>
            </w:r>
          </w:p>
        </w:tc>
        <w:tc>
          <w:tcPr>
            <w:tcW w:w="1640" w:type="dxa"/>
            <w:vAlign w:val="bottom"/>
            <w:shd w:val="clear" w:color="auto" w:fill="F4F3F3"/>
          </w:tcPr>
          <w:p>
            <w:pPr>
              <w:jc w:val="right"/>
              <w:ind w:right="535"/>
              <w:spacing w:after="0"/>
              <w:rPr>
                <w:sz w:val="20"/>
                <w:szCs w:val="20"/>
                <w:color w:val="auto"/>
              </w:rPr>
            </w:pPr>
            <w:r>
              <w:rPr>
                <w:rFonts w:ascii="Arial" w:cs="Arial" w:eastAsia="Arial" w:hAnsi="Arial"/>
                <w:sz w:val="17"/>
                <w:szCs w:val="17"/>
                <w:color w:val="auto"/>
              </w:rPr>
              <w:t>2007</w:t>
            </w:r>
          </w:p>
        </w:tc>
      </w:tr>
      <w:tr>
        <w:trPr>
          <w:trHeight w:val="243"/>
        </w:trPr>
        <w:tc>
          <w:tcPr>
            <w:tcW w:w="7440" w:type="dxa"/>
            <w:vAlign w:val="bottom"/>
            <w:shd w:val="clear" w:color="auto" w:fill="F4F3F3"/>
          </w:tcPr>
          <w:p>
            <w:pPr>
              <w:ind w:left="180"/>
              <w:spacing w:after="0"/>
              <w:rPr>
                <w:sz w:val="20"/>
                <w:szCs w:val="20"/>
                <w:color w:val="auto"/>
              </w:rPr>
            </w:pPr>
            <w:r>
              <w:rPr>
                <w:rFonts w:ascii="Arial" w:cs="Arial" w:eastAsia="Arial" w:hAnsi="Arial"/>
                <w:sz w:val="17"/>
                <w:szCs w:val="17"/>
                <w:color w:val="auto"/>
              </w:rPr>
              <w:t>Charlotte, North Carolina</w:t>
            </w:r>
          </w:p>
        </w:tc>
        <w:tc>
          <w:tcPr>
            <w:tcW w:w="1920" w:type="dxa"/>
            <w:vAlign w:val="bottom"/>
            <w:shd w:val="clear" w:color="auto" w:fill="F4F3F3"/>
          </w:tcPr>
          <w:p>
            <w:pPr>
              <w:ind w:left="260"/>
              <w:spacing w:after="0"/>
              <w:rPr>
                <w:sz w:val="20"/>
                <w:szCs w:val="20"/>
                <w:color w:val="auto"/>
              </w:rPr>
            </w:pPr>
            <w:r>
              <w:rPr>
                <w:rFonts w:ascii="Arial" w:cs="Arial" w:eastAsia="Arial" w:hAnsi="Arial"/>
                <w:sz w:val="17"/>
                <w:szCs w:val="17"/>
                <w:color w:val="auto"/>
              </w:rPr>
              <w:t>Renaissance</w:t>
            </w:r>
          </w:p>
        </w:tc>
        <w:tc>
          <w:tcPr>
            <w:tcW w:w="1640" w:type="dxa"/>
            <w:vAlign w:val="bottom"/>
            <w:shd w:val="clear" w:color="auto" w:fill="F4F3F3"/>
          </w:tcPr>
          <w:p>
            <w:pPr>
              <w:jc w:val="right"/>
              <w:ind w:right="535"/>
              <w:spacing w:after="0"/>
              <w:rPr>
                <w:sz w:val="20"/>
                <w:szCs w:val="20"/>
                <w:color w:val="auto"/>
              </w:rPr>
            </w:pPr>
            <w:r>
              <w:rPr>
                <w:rFonts w:ascii="Arial" w:cs="Arial" w:eastAsia="Arial" w:hAnsi="Arial"/>
                <w:sz w:val="17"/>
                <w:szCs w:val="17"/>
                <w:color w:val="auto"/>
              </w:rPr>
              <w:t>2007</w:t>
            </w:r>
          </w:p>
        </w:tc>
      </w:tr>
      <w:tr>
        <w:trPr>
          <w:trHeight w:val="243"/>
        </w:trPr>
        <w:tc>
          <w:tcPr>
            <w:tcW w:w="7440" w:type="dxa"/>
            <w:vAlign w:val="bottom"/>
            <w:shd w:val="clear" w:color="auto" w:fill="F4F3F3"/>
          </w:tcPr>
          <w:p>
            <w:pPr>
              <w:ind w:left="180"/>
              <w:spacing w:after="0"/>
              <w:rPr>
                <w:sz w:val="20"/>
                <w:szCs w:val="20"/>
                <w:color w:val="auto"/>
              </w:rPr>
            </w:pPr>
            <w:r>
              <w:rPr>
                <w:rFonts w:ascii="Arial" w:cs="Arial" w:eastAsia="Arial" w:hAnsi="Arial"/>
                <w:sz w:val="17"/>
                <w:szCs w:val="17"/>
                <w:color w:val="auto"/>
              </w:rPr>
              <w:t>Cleveland, Ohio</w:t>
            </w:r>
          </w:p>
        </w:tc>
        <w:tc>
          <w:tcPr>
            <w:tcW w:w="1920" w:type="dxa"/>
            <w:vAlign w:val="bottom"/>
            <w:shd w:val="clear" w:color="auto" w:fill="F4F3F3"/>
          </w:tcPr>
          <w:p>
            <w:pPr>
              <w:ind w:left="260"/>
              <w:spacing w:after="0"/>
              <w:rPr>
                <w:sz w:val="20"/>
                <w:szCs w:val="20"/>
                <w:color w:val="auto"/>
              </w:rPr>
            </w:pPr>
            <w:r>
              <w:rPr>
                <w:rFonts w:ascii="Arial" w:cs="Arial" w:eastAsia="Arial" w:hAnsi="Arial"/>
                <w:sz w:val="17"/>
                <w:szCs w:val="17"/>
                <w:color w:val="auto"/>
              </w:rPr>
              <w:t>Marriott</w:t>
            </w:r>
          </w:p>
        </w:tc>
        <w:tc>
          <w:tcPr>
            <w:tcW w:w="1640" w:type="dxa"/>
            <w:vAlign w:val="bottom"/>
            <w:shd w:val="clear" w:color="auto" w:fill="F4F3F3"/>
          </w:tcPr>
          <w:p>
            <w:pPr>
              <w:jc w:val="right"/>
              <w:ind w:right="535"/>
              <w:spacing w:after="0"/>
              <w:rPr>
                <w:sz w:val="20"/>
                <w:szCs w:val="20"/>
                <w:color w:val="auto"/>
              </w:rPr>
            </w:pPr>
            <w:r>
              <w:rPr>
                <w:rFonts w:ascii="Arial" w:cs="Arial" w:eastAsia="Arial" w:hAnsi="Arial"/>
                <w:sz w:val="17"/>
                <w:szCs w:val="17"/>
                <w:color w:val="auto"/>
              </w:rPr>
              <w:t>2007</w:t>
            </w:r>
          </w:p>
        </w:tc>
      </w:tr>
      <w:tr>
        <w:trPr>
          <w:trHeight w:val="243"/>
        </w:trPr>
        <w:tc>
          <w:tcPr>
            <w:tcW w:w="7440" w:type="dxa"/>
            <w:vAlign w:val="bottom"/>
            <w:shd w:val="clear" w:color="auto" w:fill="F4F3F3"/>
          </w:tcPr>
          <w:p>
            <w:pPr>
              <w:ind w:left="180"/>
              <w:spacing w:after="0"/>
              <w:rPr>
                <w:sz w:val="20"/>
                <w:szCs w:val="20"/>
                <w:color w:val="auto"/>
              </w:rPr>
            </w:pPr>
            <w:r>
              <w:rPr>
                <w:rFonts w:ascii="Arial" w:cs="Arial" w:eastAsia="Arial" w:hAnsi="Arial"/>
                <w:sz w:val="17"/>
                <w:szCs w:val="17"/>
                <w:color w:val="auto"/>
              </w:rPr>
              <w:t>Newark, New Jersey</w:t>
            </w:r>
          </w:p>
        </w:tc>
        <w:tc>
          <w:tcPr>
            <w:tcW w:w="1920" w:type="dxa"/>
            <w:vAlign w:val="bottom"/>
            <w:shd w:val="clear" w:color="auto" w:fill="F4F3F3"/>
          </w:tcPr>
          <w:p>
            <w:pPr>
              <w:ind w:left="260"/>
              <w:spacing w:after="0"/>
              <w:rPr>
                <w:sz w:val="20"/>
                <w:szCs w:val="20"/>
                <w:color w:val="auto"/>
              </w:rPr>
            </w:pPr>
            <w:r>
              <w:rPr>
                <w:rFonts w:ascii="Arial" w:cs="Arial" w:eastAsia="Arial" w:hAnsi="Arial"/>
                <w:sz w:val="17"/>
                <w:szCs w:val="17"/>
                <w:color w:val="auto"/>
              </w:rPr>
              <w:t>Renaissance</w:t>
            </w:r>
          </w:p>
        </w:tc>
        <w:tc>
          <w:tcPr>
            <w:tcW w:w="1640" w:type="dxa"/>
            <w:vAlign w:val="bottom"/>
            <w:shd w:val="clear" w:color="auto" w:fill="F4F3F3"/>
          </w:tcPr>
          <w:p>
            <w:pPr>
              <w:jc w:val="right"/>
              <w:ind w:right="535"/>
              <w:spacing w:after="0"/>
              <w:rPr>
                <w:sz w:val="20"/>
                <w:szCs w:val="20"/>
                <w:color w:val="auto"/>
              </w:rPr>
            </w:pPr>
            <w:r>
              <w:rPr>
                <w:rFonts w:ascii="Arial" w:cs="Arial" w:eastAsia="Arial" w:hAnsi="Arial"/>
                <w:sz w:val="17"/>
                <w:szCs w:val="17"/>
                <w:color w:val="auto"/>
              </w:rPr>
              <w:t>2007</w:t>
            </w:r>
          </w:p>
        </w:tc>
      </w:tr>
      <w:tr>
        <w:trPr>
          <w:trHeight w:val="243"/>
        </w:trPr>
        <w:tc>
          <w:tcPr>
            <w:tcW w:w="7440" w:type="dxa"/>
            <w:vAlign w:val="bottom"/>
            <w:shd w:val="clear" w:color="auto" w:fill="F4F3F3"/>
          </w:tcPr>
          <w:p>
            <w:pPr>
              <w:ind w:left="180"/>
              <w:spacing w:after="0"/>
              <w:rPr>
                <w:sz w:val="20"/>
                <w:szCs w:val="20"/>
                <w:color w:val="auto"/>
              </w:rPr>
            </w:pPr>
            <w:r>
              <w:rPr>
                <w:rFonts w:ascii="Arial" w:cs="Arial" w:eastAsia="Arial" w:hAnsi="Arial"/>
                <w:sz w:val="17"/>
                <w:szCs w:val="17"/>
                <w:color w:val="auto"/>
              </w:rPr>
              <w:t>Fairfax City, Virginia</w:t>
            </w:r>
          </w:p>
        </w:tc>
        <w:tc>
          <w:tcPr>
            <w:tcW w:w="1920" w:type="dxa"/>
            <w:vAlign w:val="bottom"/>
            <w:shd w:val="clear" w:color="auto" w:fill="F4F3F3"/>
          </w:tcPr>
          <w:p>
            <w:pPr>
              <w:ind w:left="260"/>
              <w:spacing w:after="0"/>
              <w:rPr>
                <w:sz w:val="20"/>
                <w:szCs w:val="20"/>
                <w:color w:val="auto"/>
              </w:rPr>
            </w:pPr>
            <w:r>
              <w:rPr>
                <w:rFonts w:ascii="Arial" w:cs="Arial" w:eastAsia="Arial" w:hAnsi="Arial"/>
                <w:sz w:val="17"/>
                <w:szCs w:val="17"/>
                <w:color w:val="auto"/>
              </w:rPr>
              <w:t>Residence Inn</w:t>
            </w:r>
          </w:p>
        </w:tc>
        <w:tc>
          <w:tcPr>
            <w:tcW w:w="1640" w:type="dxa"/>
            <w:vAlign w:val="bottom"/>
            <w:shd w:val="clear" w:color="auto" w:fill="F4F3F3"/>
          </w:tcPr>
          <w:p>
            <w:pPr>
              <w:jc w:val="right"/>
              <w:ind w:right="535"/>
              <w:spacing w:after="0"/>
              <w:rPr>
                <w:sz w:val="20"/>
                <w:szCs w:val="20"/>
                <w:color w:val="auto"/>
              </w:rPr>
            </w:pPr>
            <w:r>
              <w:rPr>
                <w:rFonts w:ascii="Arial" w:cs="Arial" w:eastAsia="Arial" w:hAnsi="Arial"/>
                <w:sz w:val="17"/>
                <w:szCs w:val="17"/>
                <w:color w:val="auto"/>
              </w:rPr>
              <w:t>2017</w:t>
            </w:r>
          </w:p>
        </w:tc>
      </w:tr>
      <w:tr>
        <w:trPr>
          <w:trHeight w:val="27"/>
        </w:trPr>
        <w:tc>
          <w:tcPr>
            <w:tcW w:w="7440" w:type="dxa"/>
            <w:vAlign w:val="bottom"/>
            <w:shd w:val="clear" w:color="auto" w:fill="F4F3F3"/>
          </w:tcPr>
          <w:p>
            <w:pPr>
              <w:spacing w:after="0"/>
              <w:rPr>
                <w:sz w:val="2"/>
                <w:szCs w:val="2"/>
                <w:color w:val="auto"/>
              </w:rPr>
            </w:pPr>
          </w:p>
        </w:tc>
        <w:tc>
          <w:tcPr>
            <w:tcW w:w="1920" w:type="dxa"/>
            <w:vAlign w:val="bottom"/>
            <w:shd w:val="clear" w:color="auto" w:fill="F4F3F3"/>
          </w:tcPr>
          <w:p>
            <w:pPr>
              <w:spacing w:after="0"/>
              <w:rPr>
                <w:sz w:val="2"/>
                <w:szCs w:val="2"/>
                <w:color w:val="auto"/>
              </w:rPr>
            </w:pPr>
          </w:p>
        </w:tc>
        <w:tc>
          <w:tcPr>
            <w:tcW w:w="1640" w:type="dxa"/>
            <w:vAlign w:val="bottom"/>
            <w:shd w:val="clear" w:color="auto" w:fill="F4F3F3"/>
          </w:tcPr>
          <w:p>
            <w:pPr>
              <w:spacing w:after="0"/>
              <w:rPr>
                <w:sz w:val="2"/>
                <w:szCs w:val="2"/>
                <w:color w:val="auto"/>
              </w:rPr>
            </w:pPr>
          </w:p>
        </w:tc>
      </w:tr>
    </w:tbl>
    <w:p>
      <w:pPr>
        <w:spacing w:after="0" w:line="93" w:lineRule="exact"/>
        <w:rPr>
          <w:sz w:val="20"/>
          <w:szCs w:val="20"/>
          <w:color w:val="auto"/>
        </w:rPr>
      </w:pPr>
    </w:p>
    <w:p>
      <w:pPr>
        <w:ind w:left="220" w:right="80"/>
        <w:spacing w:after="0" w:line="242" w:lineRule="auto"/>
        <w:rPr>
          <w:sz w:val="20"/>
          <w:szCs w:val="20"/>
          <w:color w:val="auto"/>
        </w:rPr>
      </w:pPr>
      <w:r>
        <w:rPr>
          <w:rFonts w:ascii="Arial" w:cs="Arial" w:eastAsia="Arial" w:hAnsi="Arial"/>
          <w:sz w:val="17"/>
          <w:szCs w:val="17"/>
          <w:color w:val="auto"/>
        </w:rPr>
        <w:t>Our subsidiaries operate each of these properties pursuant to management agreements with entities controlled by Family Enterprises, and provide procurement and/or renovation services for some of these properties pursuant to contracts entered into with the ownership entities. We expect such arrangements to continue in 2018. In fiscal 2017, we received management fees of approximately $12.8 million plus reimbursement of certain expenses, and procurement and renovation services fees of approximately $117,752 from our operation of and provision of services for these hotels. The Company has no financial involvement in either the hotels listed above beyond the foregoing roles or in Family Enterprises.</w:t>
      </w:r>
    </w:p>
    <w:p>
      <w:pPr>
        <w:spacing w:after="0" w:line="67" w:lineRule="exact"/>
        <w:rPr>
          <w:sz w:val="20"/>
          <w:szCs w:val="20"/>
          <w:color w:val="auto"/>
        </w:rPr>
      </w:pPr>
    </w:p>
    <w:p>
      <w:pPr>
        <w:ind w:left="220" w:right="20"/>
        <w:spacing w:after="0" w:line="236" w:lineRule="auto"/>
        <w:rPr>
          <w:sz w:val="20"/>
          <w:szCs w:val="20"/>
          <w:color w:val="auto"/>
        </w:rPr>
      </w:pPr>
      <w:r>
        <w:rPr>
          <w:rFonts w:ascii="Arial" w:cs="Arial" w:eastAsia="Arial" w:hAnsi="Arial"/>
          <w:sz w:val="17"/>
          <w:szCs w:val="17"/>
          <w:color w:val="auto"/>
        </w:rPr>
        <w:t>Our Company was founded by J.W. Marriott, Jr.’s father, and the Board believes that the involvement of a number of Marriott family members in responsible positions of the Company makes a significant long-term contribution to the value of our corporate name and identity and to the maintenance of Marriott’s reputation for providing quality products and services. In addition to J.W. Marriott, Jr.’s service as Executive Chairman and Chairman of the Board and Deborah M. Harrison’s membership on the Board of Directors and position as Global Officer, Marriott Culture and Business Councils, the Company employs a number of members of the Marriott family in management positions, including J.W. Marriott, Jr.’s son, David S. Marriott, and his son-in-law (and Mrs. Harrison’s husband) Ronald T. Harrison, and his grandson (and Ms. Harrison’s son), Christopher Harrison. The Company also employs family members of other executive officers (under SEC rules, family members include children, stepchildren, parents, stepparents, spouses, siblings, mothers- and fathers-in-law, sons- and daughters-in-law, brothers- and sisters-in-law and other persons sharing the household with a director or executive officer, other than as a tenant or employee). The compensation levels of family members of our directors and executive officers are set based on reference to external market practice of similar positions and/or internal pay equity when compared to the compensation paid to non-family members in similar positions.</w:t>
      </w:r>
    </w:p>
    <w:p>
      <w:pPr>
        <w:spacing w:after="0" w:line="116" w:lineRule="exact"/>
        <w:rPr>
          <w:sz w:val="20"/>
          <w:szCs w:val="20"/>
          <w:color w:val="auto"/>
        </w:rPr>
      </w:pPr>
    </w:p>
    <w:p>
      <w:pPr>
        <w:ind w:left="540" w:hanging="330"/>
        <w:spacing w:after="0"/>
        <w:tabs>
          <w:tab w:leader="none" w:pos="540" w:val="left"/>
        </w:tabs>
        <w:numPr>
          <w:ilvl w:val="0"/>
          <w:numId w:val="132"/>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20"/>
          </w:cols>
          <w:pgMar w:left="240" w:top="455" w:right="4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Transactions with Related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1" w:lineRule="exact"/>
        <w:rPr>
          <w:sz w:val="20"/>
          <w:szCs w:val="20"/>
          <w:color w:val="auto"/>
        </w:rPr>
      </w:pPr>
    </w:p>
    <w:p>
      <w:pPr>
        <w:ind w:left="220" w:right="160"/>
        <w:spacing w:after="0" w:line="274" w:lineRule="auto"/>
        <w:rPr>
          <w:sz w:val="20"/>
          <w:szCs w:val="20"/>
          <w:color w:val="auto"/>
        </w:rPr>
      </w:pPr>
      <w:r>
        <w:rPr>
          <w:rFonts w:ascii="Arial" w:cs="Arial" w:eastAsia="Arial" w:hAnsi="Arial"/>
          <w:sz w:val="17"/>
          <w:szCs w:val="17"/>
          <w:color w:val="auto"/>
        </w:rPr>
        <w:t>Employed family members with total compensation for 2017 in excess of $120,000, which includes base salary, bonus, the value of stock-based awards, and other compensation, are shown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4733290</wp:posOffset>
            </wp:positionH>
            <wp:positionV relativeFrom="paragraph">
              <wp:posOffset>128270</wp:posOffset>
            </wp:positionV>
            <wp:extent cx="17145" cy="17132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7145" cy="1713230"/>
                    </a:xfrm>
                    <a:prstGeom prst="rect">
                      <a:avLst/>
                    </a:prstGeom>
                    <a:noFill/>
                  </pic:spPr>
                </pic:pic>
              </a:graphicData>
            </a:graphic>
          </wp:anchor>
        </w:drawing>
        <w:drawing>
          <wp:anchor simplePos="0" relativeHeight="251657728" behindDoc="1" locked="0" layoutInCell="0" allowOverlap="1">
            <wp:simplePos x="0" y="0"/>
            <wp:positionH relativeFrom="column">
              <wp:posOffset>3491230</wp:posOffset>
            </wp:positionH>
            <wp:positionV relativeFrom="paragraph">
              <wp:posOffset>128270</wp:posOffset>
            </wp:positionV>
            <wp:extent cx="17145" cy="17132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7145" cy="1713230"/>
                    </a:xfrm>
                    <a:prstGeom prst="rect">
                      <a:avLst/>
                    </a:prstGeom>
                    <a:noFill/>
                  </pic:spPr>
                </pic:pic>
              </a:graphicData>
            </a:graphic>
          </wp:anchor>
        </w:drawing>
        <w:drawing>
          <wp:anchor simplePos="0" relativeHeight="251657728" behindDoc="1" locked="0" layoutInCell="0" allowOverlap="1">
            <wp:simplePos x="0" y="0"/>
            <wp:positionH relativeFrom="column">
              <wp:posOffset>2428875</wp:posOffset>
            </wp:positionH>
            <wp:positionV relativeFrom="paragraph">
              <wp:posOffset>128270</wp:posOffset>
            </wp:positionV>
            <wp:extent cx="17145" cy="17132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7145" cy="1713230"/>
                    </a:xfrm>
                    <a:prstGeom prst="rect">
                      <a:avLst/>
                    </a:prstGeom>
                    <a:noFill/>
                  </pic:spPr>
                </pic:pic>
              </a:graphicData>
            </a:graphic>
          </wp:anchor>
        </w:drawing>
      </w:r>
    </w:p>
    <w:p>
      <w:pPr>
        <w:spacing w:after="0" w:line="167"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3630" w:type="dxa"/>
            <w:vAlign w:val="bottom"/>
            <w:shd w:val="clear" w:color="auto" w:fill="998C87"/>
          </w:tcPr>
          <w:p>
            <w:pPr>
              <w:spacing w:after="0"/>
              <w:rPr>
                <w:sz w:val="16"/>
                <w:szCs w:val="16"/>
                <w:color w:val="auto"/>
              </w:rPr>
            </w:pPr>
          </w:p>
        </w:tc>
        <w:tc>
          <w:tcPr>
            <w:tcW w:w="1670" w:type="dxa"/>
            <w:vAlign w:val="bottom"/>
            <w:shd w:val="clear" w:color="auto" w:fill="998C87"/>
          </w:tcPr>
          <w:p>
            <w:pPr>
              <w:spacing w:after="0"/>
              <w:rPr>
                <w:sz w:val="16"/>
                <w:szCs w:val="16"/>
                <w:color w:val="auto"/>
              </w:rPr>
            </w:pPr>
          </w:p>
        </w:tc>
        <w:tc>
          <w:tcPr>
            <w:tcW w:w="2600" w:type="dxa"/>
            <w:vAlign w:val="bottom"/>
            <w:shd w:val="clear" w:color="auto" w:fill="998C87"/>
          </w:tcPr>
          <w:p>
            <w:pPr>
              <w:spacing w:after="0"/>
              <w:rPr>
                <w:sz w:val="16"/>
                <w:szCs w:val="16"/>
                <w:color w:val="auto"/>
              </w:rPr>
            </w:pPr>
          </w:p>
        </w:tc>
        <w:tc>
          <w:tcPr>
            <w:tcW w:w="3100" w:type="dxa"/>
            <w:vAlign w:val="bottom"/>
            <w:shd w:val="clear" w:color="auto" w:fill="998C87"/>
          </w:tcPr>
          <w:p>
            <w:pPr>
              <w:jc w:val="center"/>
              <w:ind w:right="557"/>
              <w:spacing w:after="0"/>
              <w:rPr>
                <w:sz w:val="20"/>
                <w:szCs w:val="20"/>
                <w:color w:val="auto"/>
              </w:rPr>
            </w:pPr>
            <w:r>
              <w:rPr>
                <w:rFonts w:ascii="Arial" w:cs="Arial" w:eastAsia="Arial" w:hAnsi="Arial"/>
                <w:sz w:val="16"/>
                <w:szCs w:val="16"/>
                <w:b w:val="1"/>
                <w:bCs w:val="1"/>
                <w:color w:val="FFFFFF"/>
                <w:w w:val="99"/>
              </w:rPr>
              <w:t>Total</w:t>
            </w:r>
          </w:p>
        </w:tc>
      </w:tr>
      <w:tr>
        <w:trPr>
          <w:trHeight w:val="189"/>
        </w:trPr>
        <w:tc>
          <w:tcPr>
            <w:tcW w:w="3630" w:type="dxa"/>
            <w:vAlign w:val="bottom"/>
            <w:shd w:val="clear" w:color="auto" w:fill="998C87"/>
          </w:tcPr>
          <w:p>
            <w:pPr>
              <w:spacing w:after="0"/>
              <w:rPr>
                <w:sz w:val="16"/>
                <w:szCs w:val="16"/>
                <w:color w:val="auto"/>
              </w:rPr>
            </w:pPr>
          </w:p>
        </w:tc>
        <w:tc>
          <w:tcPr>
            <w:tcW w:w="1670" w:type="dxa"/>
            <w:vAlign w:val="bottom"/>
            <w:shd w:val="clear" w:color="auto" w:fill="998C87"/>
          </w:tcPr>
          <w:p>
            <w:pPr>
              <w:spacing w:after="0"/>
              <w:rPr>
                <w:sz w:val="16"/>
                <w:szCs w:val="16"/>
                <w:color w:val="auto"/>
              </w:rPr>
            </w:pPr>
          </w:p>
        </w:tc>
        <w:tc>
          <w:tcPr>
            <w:tcW w:w="2600" w:type="dxa"/>
            <w:vAlign w:val="bottom"/>
            <w:shd w:val="clear" w:color="auto" w:fill="998C87"/>
          </w:tcPr>
          <w:p>
            <w:pPr>
              <w:spacing w:after="0"/>
              <w:rPr>
                <w:sz w:val="16"/>
                <w:szCs w:val="16"/>
                <w:color w:val="auto"/>
              </w:rPr>
            </w:pPr>
          </w:p>
        </w:tc>
        <w:tc>
          <w:tcPr>
            <w:tcW w:w="3100" w:type="dxa"/>
            <w:vAlign w:val="bottom"/>
            <w:shd w:val="clear" w:color="auto" w:fill="998C87"/>
          </w:tcPr>
          <w:p>
            <w:pPr>
              <w:jc w:val="center"/>
              <w:ind w:right="537"/>
              <w:spacing w:after="0"/>
              <w:rPr>
                <w:sz w:val="20"/>
                <w:szCs w:val="20"/>
                <w:color w:val="auto"/>
              </w:rPr>
            </w:pPr>
            <w:r>
              <w:rPr>
                <w:rFonts w:ascii="Arial" w:cs="Arial" w:eastAsia="Arial" w:hAnsi="Arial"/>
                <w:sz w:val="16"/>
                <w:szCs w:val="16"/>
                <w:b w:val="1"/>
                <w:bCs w:val="1"/>
                <w:color w:val="FFFFFF"/>
              </w:rPr>
              <w:t>Compensation</w:t>
            </w:r>
          </w:p>
        </w:tc>
      </w:tr>
      <w:tr>
        <w:trPr>
          <w:trHeight w:val="236"/>
        </w:trPr>
        <w:tc>
          <w:tcPr>
            <w:tcW w:w="3630" w:type="dxa"/>
            <w:vAlign w:val="bottom"/>
            <w:shd w:val="clear" w:color="auto" w:fill="998C87"/>
          </w:tcPr>
          <w:p>
            <w:pPr>
              <w:ind w:left="180"/>
              <w:spacing w:after="0"/>
              <w:rPr>
                <w:sz w:val="20"/>
                <w:szCs w:val="20"/>
                <w:color w:val="auto"/>
              </w:rPr>
            </w:pPr>
            <w:r>
              <w:rPr>
                <w:rFonts w:ascii="Arial" w:cs="Arial" w:eastAsia="Arial" w:hAnsi="Arial"/>
                <w:sz w:val="16"/>
                <w:szCs w:val="16"/>
                <w:b w:val="1"/>
                <w:bCs w:val="1"/>
                <w:color w:val="FFFFFF"/>
              </w:rPr>
              <w:t>Director / Executive Officer</w:t>
            </w:r>
          </w:p>
        </w:tc>
        <w:tc>
          <w:tcPr>
            <w:tcW w:w="1670" w:type="dxa"/>
            <w:vAlign w:val="bottom"/>
            <w:shd w:val="clear" w:color="auto" w:fill="998C87"/>
          </w:tcPr>
          <w:p>
            <w:pPr>
              <w:ind w:left="250"/>
              <w:spacing w:after="0"/>
              <w:rPr>
                <w:sz w:val="20"/>
                <w:szCs w:val="20"/>
                <w:color w:val="auto"/>
              </w:rPr>
            </w:pPr>
            <w:r>
              <w:rPr>
                <w:rFonts w:ascii="Arial" w:cs="Arial" w:eastAsia="Arial" w:hAnsi="Arial"/>
                <w:sz w:val="16"/>
                <w:szCs w:val="16"/>
                <w:b w:val="1"/>
                <w:bCs w:val="1"/>
                <w:color w:val="FFFFFF"/>
              </w:rPr>
              <w:t>Family Member</w:t>
            </w:r>
          </w:p>
        </w:tc>
        <w:tc>
          <w:tcPr>
            <w:tcW w:w="2600" w:type="dxa"/>
            <w:vAlign w:val="bottom"/>
            <w:shd w:val="clear" w:color="auto" w:fill="998C87"/>
          </w:tcPr>
          <w:p>
            <w:pPr>
              <w:ind w:left="40"/>
              <w:spacing w:after="0"/>
              <w:rPr>
                <w:sz w:val="20"/>
                <w:szCs w:val="20"/>
                <w:color w:val="auto"/>
              </w:rPr>
            </w:pPr>
            <w:r>
              <w:rPr>
                <w:rFonts w:ascii="Arial" w:cs="Arial" w:eastAsia="Arial" w:hAnsi="Arial"/>
                <w:sz w:val="16"/>
                <w:szCs w:val="16"/>
                <w:b w:val="1"/>
                <w:bCs w:val="1"/>
                <w:color w:val="FFFFFF"/>
              </w:rPr>
              <w:t>Family Member Position</w:t>
            </w:r>
          </w:p>
        </w:tc>
        <w:tc>
          <w:tcPr>
            <w:tcW w:w="3100" w:type="dxa"/>
            <w:vAlign w:val="bottom"/>
            <w:shd w:val="clear" w:color="auto" w:fill="998C87"/>
          </w:tcPr>
          <w:p>
            <w:pPr>
              <w:jc w:val="center"/>
              <w:ind w:right="537"/>
              <w:spacing w:after="0"/>
              <w:rPr>
                <w:sz w:val="20"/>
                <w:szCs w:val="20"/>
                <w:color w:val="auto"/>
              </w:rPr>
            </w:pPr>
            <w:r>
              <w:rPr>
                <w:rFonts w:ascii="Arial" w:cs="Arial" w:eastAsia="Arial" w:hAnsi="Arial"/>
                <w:sz w:val="16"/>
                <w:szCs w:val="16"/>
                <w:b w:val="1"/>
                <w:bCs w:val="1"/>
                <w:color w:val="FFFFFF"/>
              </w:rPr>
              <w:t>($)</w:t>
            </w:r>
          </w:p>
        </w:tc>
      </w:tr>
      <w:tr>
        <w:trPr>
          <w:trHeight w:val="161"/>
        </w:trPr>
        <w:tc>
          <w:tcPr>
            <w:tcW w:w="3630" w:type="dxa"/>
            <w:vAlign w:val="bottom"/>
            <w:shd w:val="clear" w:color="auto" w:fill="F4F3F3"/>
          </w:tcPr>
          <w:p>
            <w:pPr>
              <w:ind w:left="180"/>
              <w:spacing w:after="0" w:line="161" w:lineRule="exact"/>
              <w:rPr>
                <w:sz w:val="20"/>
                <w:szCs w:val="20"/>
                <w:color w:val="auto"/>
              </w:rPr>
            </w:pPr>
            <w:r>
              <w:rPr>
                <w:rFonts w:ascii="Arial" w:cs="Arial" w:eastAsia="Arial" w:hAnsi="Arial"/>
                <w:sz w:val="17"/>
                <w:szCs w:val="17"/>
                <w:color w:val="998C87"/>
              </w:rPr>
              <w:t>J.W. Marriott, Jr. and</w:t>
            </w:r>
          </w:p>
        </w:tc>
        <w:tc>
          <w:tcPr>
            <w:tcW w:w="1670" w:type="dxa"/>
            <w:vAlign w:val="bottom"/>
            <w:shd w:val="clear" w:color="auto" w:fill="F4F3F3"/>
          </w:tcPr>
          <w:p>
            <w:pPr>
              <w:ind w:left="70"/>
              <w:spacing w:after="0" w:line="161" w:lineRule="exact"/>
              <w:rPr>
                <w:sz w:val="20"/>
                <w:szCs w:val="20"/>
                <w:color w:val="auto"/>
              </w:rPr>
            </w:pPr>
            <w:r>
              <w:rPr>
                <w:rFonts w:ascii="Arial" w:cs="Arial" w:eastAsia="Arial" w:hAnsi="Arial"/>
                <w:sz w:val="17"/>
                <w:szCs w:val="17"/>
                <w:color w:val="auto"/>
              </w:rPr>
              <w:t>David S. Marriott</w:t>
            </w:r>
          </w:p>
        </w:tc>
        <w:tc>
          <w:tcPr>
            <w:tcW w:w="2600" w:type="dxa"/>
            <w:vAlign w:val="bottom"/>
            <w:shd w:val="clear" w:color="auto" w:fill="F4F3F3"/>
          </w:tcPr>
          <w:p>
            <w:pPr>
              <w:ind w:left="60"/>
              <w:spacing w:after="0" w:line="161" w:lineRule="exact"/>
              <w:rPr>
                <w:sz w:val="20"/>
                <w:szCs w:val="20"/>
                <w:color w:val="auto"/>
              </w:rPr>
            </w:pPr>
            <w:r>
              <w:rPr>
                <w:rFonts w:ascii="Arial" w:cs="Arial" w:eastAsia="Arial" w:hAnsi="Arial"/>
                <w:sz w:val="17"/>
                <w:szCs w:val="17"/>
                <w:color w:val="auto"/>
              </w:rPr>
              <w:t>Chief Operations Officer,</w:t>
            </w:r>
          </w:p>
        </w:tc>
        <w:tc>
          <w:tcPr>
            <w:tcW w:w="3100" w:type="dxa"/>
            <w:vAlign w:val="bottom"/>
            <w:shd w:val="clear" w:color="auto" w:fill="F4F3F3"/>
          </w:tcPr>
          <w:p>
            <w:pPr>
              <w:jc w:val="right"/>
              <w:ind w:right="577"/>
              <w:spacing w:after="0" w:line="161" w:lineRule="exact"/>
              <w:rPr>
                <w:sz w:val="20"/>
                <w:szCs w:val="20"/>
                <w:color w:val="auto"/>
              </w:rPr>
            </w:pPr>
            <w:r>
              <w:rPr>
                <w:rFonts w:ascii="Arial" w:cs="Arial" w:eastAsia="Arial" w:hAnsi="Arial"/>
                <w:sz w:val="17"/>
                <w:szCs w:val="17"/>
                <w:color w:val="auto"/>
              </w:rPr>
              <w:t>1,350,437</w:t>
            </w:r>
          </w:p>
        </w:tc>
      </w:tr>
      <w:tr>
        <w:trPr>
          <w:trHeight w:val="231"/>
        </w:trPr>
        <w:tc>
          <w:tcPr>
            <w:tcW w:w="3630" w:type="dxa"/>
            <w:vAlign w:val="bottom"/>
            <w:shd w:val="clear" w:color="auto" w:fill="F4F3F3"/>
          </w:tcPr>
          <w:p>
            <w:pPr>
              <w:ind w:left="180"/>
              <w:spacing w:after="0"/>
              <w:rPr>
                <w:sz w:val="20"/>
                <w:szCs w:val="20"/>
                <w:color w:val="auto"/>
              </w:rPr>
            </w:pPr>
            <w:r>
              <w:rPr>
                <w:rFonts w:ascii="Arial" w:cs="Arial" w:eastAsia="Arial" w:hAnsi="Arial"/>
                <w:sz w:val="17"/>
                <w:szCs w:val="17"/>
                <w:color w:val="998C87"/>
              </w:rPr>
              <w:t>Deborah M. Harrison</w:t>
            </w:r>
          </w:p>
        </w:tc>
        <w:tc>
          <w:tcPr>
            <w:tcW w:w="1670" w:type="dxa"/>
            <w:vAlign w:val="bottom"/>
            <w:shd w:val="clear" w:color="auto" w:fill="F4F3F3"/>
          </w:tcPr>
          <w:p>
            <w:pPr>
              <w:spacing w:after="0"/>
              <w:rPr>
                <w:sz w:val="20"/>
                <w:szCs w:val="20"/>
                <w:color w:val="auto"/>
              </w:rPr>
            </w:pPr>
          </w:p>
        </w:tc>
        <w:tc>
          <w:tcPr>
            <w:tcW w:w="2600" w:type="dxa"/>
            <w:vAlign w:val="bottom"/>
            <w:shd w:val="clear" w:color="auto" w:fill="F4F3F3"/>
          </w:tcPr>
          <w:p>
            <w:pPr>
              <w:ind w:left="60"/>
              <w:spacing w:after="0"/>
              <w:rPr>
                <w:sz w:val="20"/>
                <w:szCs w:val="20"/>
                <w:color w:val="auto"/>
              </w:rPr>
            </w:pPr>
            <w:r>
              <w:rPr>
                <w:rFonts w:ascii="Arial" w:cs="Arial" w:eastAsia="Arial" w:hAnsi="Arial"/>
                <w:sz w:val="17"/>
                <w:szCs w:val="17"/>
                <w:color w:val="auto"/>
              </w:rPr>
              <w:t>Americas East</w:t>
            </w:r>
          </w:p>
        </w:tc>
        <w:tc>
          <w:tcPr>
            <w:tcW w:w="3100" w:type="dxa"/>
            <w:vAlign w:val="bottom"/>
            <w:shd w:val="clear" w:color="auto" w:fill="F4F3F3"/>
          </w:tcPr>
          <w:p>
            <w:pPr>
              <w:spacing w:after="0"/>
              <w:rPr>
                <w:sz w:val="20"/>
                <w:szCs w:val="20"/>
                <w:color w:val="auto"/>
              </w:rPr>
            </w:pPr>
          </w:p>
        </w:tc>
      </w:tr>
      <w:tr>
        <w:trPr>
          <w:trHeight w:val="201"/>
        </w:trPr>
        <w:tc>
          <w:tcPr>
            <w:tcW w:w="3630" w:type="dxa"/>
            <w:vAlign w:val="bottom"/>
            <w:shd w:val="clear" w:color="auto" w:fill="F4F3F3"/>
          </w:tcPr>
          <w:p>
            <w:pPr>
              <w:spacing w:after="0"/>
              <w:rPr>
                <w:sz w:val="17"/>
                <w:szCs w:val="17"/>
                <w:color w:val="auto"/>
              </w:rPr>
            </w:pPr>
          </w:p>
        </w:tc>
        <w:tc>
          <w:tcPr>
            <w:tcW w:w="1670" w:type="dxa"/>
            <w:vAlign w:val="bottom"/>
            <w:shd w:val="clear" w:color="auto" w:fill="F4F3F3"/>
          </w:tcPr>
          <w:p>
            <w:pPr>
              <w:ind w:left="70"/>
              <w:spacing w:after="0"/>
              <w:rPr>
                <w:sz w:val="20"/>
                <w:szCs w:val="20"/>
                <w:color w:val="auto"/>
              </w:rPr>
            </w:pPr>
            <w:r>
              <w:rPr>
                <w:rFonts w:ascii="Arial" w:cs="Arial" w:eastAsia="Arial" w:hAnsi="Arial"/>
                <w:sz w:val="17"/>
                <w:szCs w:val="17"/>
                <w:color w:val="auto"/>
              </w:rPr>
              <w:t>Ronald T. Harrison</w:t>
            </w:r>
          </w:p>
        </w:tc>
        <w:tc>
          <w:tcPr>
            <w:tcW w:w="2600" w:type="dxa"/>
            <w:vAlign w:val="bottom"/>
            <w:shd w:val="clear" w:color="auto" w:fill="F4F3F3"/>
          </w:tcPr>
          <w:p>
            <w:pPr>
              <w:ind w:left="60"/>
              <w:spacing w:after="0"/>
              <w:rPr>
                <w:sz w:val="20"/>
                <w:szCs w:val="20"/>
                <w:color w:val="auto"/>
              </w:rPr>
            </w:pPr>
            <w:r>
              <w:rPr>
                <w:rFonts w:ascii="Arial" w:cs="Arial" w:eastAsia="Arial" w:hAnsi="Arial"/>
                <w:sz w:val="17"/>
                <w:szCs w:val="17"/>
                <w:color w:val="auto"/>
              </w:rPr>
              <w:t>Global Officer,</w:t>
            </w:r>
          </w:p>
        </w:tc>
        <w:tc>
          <w:tcPr>
            <w:tcW w:w="3100" w:type="dxa"/>
            <w:vAlign w:val="bottom"/>
            <w:shd w:val="clear" w:color="auto" w:fill="F4F3F3"/>
          </w:tcPr>
          <w:p>
            <w:pPr>
              <w:jc w:val="right"/>
              <w:ind w:right="577"/>
              <w:spacing w:after="0"/>
              <w:rPr>
                <w:sz w:val="20"/>
                <w:szCs w:val="20"/>
                <w:color w:val="auto"/>
              </w:rPr>
            </w:pPr>
            <w:r>
              <w:rPr>
                <w:rFonts w:ascii="Arial" w:cs="Arial" w:eastAsia="Arial" w:hAnsi="Arial"/>
                <w:sz w:val="17"/>
                <w:szCs w:val="17"/>
                <w:color w:val="auto"/>
              </w:rPr>
              <w:t>1,123,816</w:t>
            </w:r>
          </w:p>
        </w:tc>
      </w:tr>
      <w:tr>
        <w:trPr>
          <w:trHeight w:val="189"/>
        </w:trPr>
        <w:tc>
          <w:tcPr>
            <w:tcW w:w="3630" w:type="dxa"/>
            <w:vAlign w:val="bottom"/>
            <w:shd w:val="clear" w:color="auto" w:fill="F4F3F3"/>
          </w:tcPr>
          <w:p>
            <w:pPr>
              <w:spacing w:after="0"/>
              <w:rPr>
                <w:sz w:val="16"/>
                <w:szCs w:val="16"/>
                <w:color w:val="auto"/>
              </w:rPr>
            </w:pPr>
          </w:p>
        </w:tc>
        <w:tc>
          <w:tcPr>
            <w:tcW w:w="1670" w:type="dxa"/>
            <w:vAlign w:val="bottom"/>
            <w:shd w:val="clear" w:color="auto" w:fill="F4F3F3"/>
          </w:tcPr>
          <w:p>
            <w:pPr>
              <w:spacing w:after="0"/>
              <w:rPr>
                <w:sz w:val="16"/>
                <w:szCs w:val="16"/>
                <w:color w:val="auto"/>
              </w:rPr>
            </w:pPr>
          </w:p>
        </w:tc>
        <w:tc>
          <w:tcPr>
            <w:tcW w:w="2600" w:type="dxa"/>
            <w:vAlign w:val="bottom"/>
            <w:shd w:val="clear" w:color="auto" w:fill="F4F3F3"/>
          </w:tcPr>
          <w:p>
            <w:pPr>
              <w:ind w:left="60"/>
              <w:spacing w:after="0" w:line="189" w:lineRule="exact"/>
              <w:rPr>
                <w:sz w:val="20"/>
                <w:szCs w:val="20"/>
                <w:color w:val="auto"/>
              </w:rPr>
            </w:pPr>
            <w:r>
              <w:rPr>
                <w:rFonts w:ascii="Arial" w:cs="Arial" w:eastAsia="Arial" w:hAnsi="Arial"/>
                <w:sz w:val="17"/>
                <w:szCs w:val="17"/>
                <w:color w:val="auto"/>
              </w:rPr>
              <w:t>Architecture and</w:t>
            </w:r>
          </w:p>
        </w:tc>
        <w:tc>
          <w:tcPr>
            <w:tcW w:w="3100" w:type="dxa"/>
            <w:vAlign w:val="bottom"/>
            <w:shd w:val="clear" w:color="auto" w:fill="F4F3F3"/>
          </w:tcPr>
          <w:p>
            <w:pPr>
              <w:spacing w:after="0"/>
              <w:rPr>
                <w:sz w:val="16"/>
                <w:szCs w:val="16"/>
                <w:color w:val="auto"/>
              </w:rPr>
            </w:pPr>
          </w:p>
        </w:tc>
      </w:tr>
      <w:tr>
        <w:trPr>
          <w:trHeight w:val="231"/>
        </w:trPr>
        <w:tc>
          <w:tcPr>
            <w:tcW w:w="3630" w:type="dxa"/>
            <w:vAlign w:val="bottom"/>
            <w:shd w:val="clear" w:color="auto" w:fill="F4F3F3"/>
          </w:tcPr>
          <w:p>
            <w:pPr>
              <w:spacing w:after="0"/>
              <w:rPr>
                <w:sz w:val="20"/>
                <w:szCs w:val="20"/>
                <w:color w:val="auto"/>
              </w:rPr>
            </w:pPr>
          </w:p>
        </w:tc>
        <w:tc>
          <w:tcPr>
            <w:tcW w:w="1670" w:type="dxa"/>
            <w:vAlign w:val="bottom"/>
            <w:shd w:val="clear" w:color="auto" w:fill="F4F3F3"/>
          </w:tcPr>
          <w:p>
            <w:pPr>
              <w:spacing w:after="0"/>
              <w:rPr>
                <w:sz w:val="20"/>
                <w:szCs w:val="20"/>
                <w:color w:val="auto"/>
              </w:rPr>
            </w:pPr>
          </w:p>
        </w:tc>
        <w:tc>
          <w:tcPr>
            <w:tcW w:w="2600" w:type="dxa"/>
            <w:vAlign w:val="bottom"/>
            <w:shd w:val="clear" w:color="auto" w:fill="F4F3F3"/>
          </w:tcPr>
          <w:p>
            <w:pPr>
              <w:ind w:left="60"/>
              <w:spacing w:after="0"/>
              <w:rPr>
                <w:sz w:val="20"/>
                <w:szCs w:val="20"/>
                <w:color w:val="auto"/>
              </w:rPr>
            </w:pPr>
            <w:r>
              <w:rPr>
                <w:rFonts w:ascii="Arial" w:cs="Arial" w:eastAsia="Arial" w:hAnsi="Arial"/>
                <w:sz w:val="17"/>
                <w:szCs w:val="17"/>
                <w:color w:val="auto"/>
              </w:rPr>
              <w:t>Construction</w:t>
            </w:r>
          </w:p>
        </w:tc>
        <w:tc>
          <w:tcPr>
            <w:tcW w:w="3100" w:type="dxa"/>
            <w:vAlign w:val="bottom"/>
            <w:shd w:val="clear" w:color="auto" w:fill="F4F3F3"/>
          </w:tcPr>
          <w:p>
            <w:pPr>
              <w:spacing w:after="0"/>
              <w:rPr>
                <w:sz w:val="20"/>
                <w:szCs w:val="20"/>
                <w:color w:val="auto"/>
              </w:rPr>
            </w:pPr>
          </w:p>
        </w:tc>
      </w:tr>
      <w:tr>
        <w:trPr>
          <w:trHeight w:val="201"/>
        </w:trPr>
        <w:tc>
          <w:tcPr>
            <w:tcW w:w="3630" w:type="dxa"/>
            <w:vAlign w:val="bottom"/>
            <w:shd w:val="clear" w:color="auto" w:fill="F4F3F3"/>
          </w:tcPr>
          <w:p>
            <w:pPr>
              <w:spacing w:after="0"/>
              <w:rPr>
                <w:sz w:val="17"/>
                <w:szCs w:val="17"/>
                <w:color w:val="auto"/>
              </w:rPr>
            </w:pPr>
          </w:p>
        </w:tc>
        <w:tc>
          <w:tcPr>
            <w:tcW w:w="1670" w:type="dxa"/>
            <w:vAlign w:val="bottom"/>
            <w:shd w:val="clear" w:color="auto" w:fill="F4F3F3"/>
          </w:tcPr>
          <w:p>
            <w:pPr>
              <w:ind w:left="70"/>
              <w:spacing w:after="0"/>
              <w:rPr>
                <w:sz w:val="20"/>
                <w:szCs w:val="20"/>
                <w:color w:val="auto"/>
              </w:rPr>
            </w:pPr>
            <w:r>
              <w:rPr>
                <w:rFonts w:ascii="Arial" w:cs="Arial" w:eastAsia="Arial" w:hAnsi="Arial"/>
                <w:sz w:val="17"/>
                <w:szCs w:val="17"/>
                <w:color w:val="auto"/>
              </w:rPr>
              <w:t>Deborah M. Harrison</w:t>
            </w:r>
          </w:p>
        </w:tc>
        <w:tc>
          <w:tcPr>
            <w:tcW w:w="2600" w:type="dxa"/>
            <w:vAlign w:val="bottom"/>
            <w:shd w:val="clear" w:color="auto" w:fill="F4F3F3"/>
          </w:tcPr>
          <w:p>
            <w:pPr>
              <w:ind w:left="60"/>
              <w:spacing w:after="0"/>
              <w:rPr>
                <w:sz w:val="20"/>
                <w:szCs w:val="20"/>
                <w:color w:val="auto"/>
              </w:rPr>
            </w:pPr>
            <w:r>
              <w:rPr>
                <w:rFonts w:ascii="Arial" w:cs="Arial" w:eastAsia="Arial" w:hAnsi="Arial"/>
                <w:sz w:val="17"/>
                <w:szCs w:val="17"/>
                <w:color w:val="auto"/>
              </w:rPr>
              <w:t>Global Officer, Marriott</w:t>
            </w:r>
          </w:p>
        </w:tc>
        <w:tc>
          <w:tcPr>
            <w:tcW w:w="3100" w:type="dxa"/>
            <w:vAlign w:val="bottom"/>
            <w:shd w:val="clear" w:color="auto" w:fill="F4F3F3"/>
          </w:tcPr>
          <w:p>
            <w:pPr>
              <w:jc w:val="right"/>
              <w:ind w:right="577"/>
              <w:spacing w:after="0"/>
              <w:rPr>
                <w:sz w:val="20"/>
                <w:szCs w:val="20"/>
                <w:color w:val="auto"/>
              </w:rPr>
            </w:pPr>
            <w:r>
              <w:rPr>
                <w:rFonts w:ascii="Arial" w:cs="Arial" w:eastAsia="Arial" w:hAnsi="Arial"/>
                <w:sz w:val="17"/>
                <w:szCs w:val="17"/>
                <w:color w:val="auto"/>
              </w:rPr>
              <w:t>668,513</w:t>
            </w:r>
          </w:p>
        </w:tc>
      </w:tr>
      <w:tr>
        <w:trPr>
          <w:trHeight w:val="189"/>
        </w:trPr>
        <w:tc>
          <w:tcPr>
            <w:tcW w:w="3630" w:type="dxa"/>
            <w:vAlign w:val="bottom"/>
            <w:shd w:val="clear" w:color="auto" w:fill="F4F3F3"/>
          </w:tcPr>
          <w:p>
            <w:pPr>
              <w:spacing w:after="0"/>
              <w:rPr>
                <w:sz w:val="16"/>
                <w:szCs w:val="16"/>
                <w:color w:val="auto"/>
              </w:rPr>
            </w:pPr>
          </w:p>
        </w:tc>
        <w:tc>
          <w:tcPr>
            <w:tcW w:w="1670" w:type="dxa"/>
            <w:vAlign w:val="bottom"/>
            <w:shd w:val="clear" w:color="auto" w:fill="F4F3F3"/>
          </w:tcPr>
          <w:p>
            <w:pPr>
              <w:spacing w:after="0"/>
              <w:rPr>
                <w:sz w:val="16"/>
                <w:szCs w:val="16"/>
                <w:color w:val="auto"/>
              </w:rPr>
            </w:pPr>
          </w:p>
        </w:tc>
        <w:tc>
          <w:tcPr>
            <w:tcW w:w="2600" w:type="dxa"/>
            <w:vAlign w:val="bottom"/>
            <w:shd w:val="clear" w:color="auto" w:fill="F4F3F3"/>
          </w:tcPr>
          <w:p>
            <w:pPr>
              <w:ind w:left="60"/>
              <w:spacing w:after="0" w:line="189" w:lineRule="exact"/>
              <w:rPr>
                <w:sz w:val="20"/>
                <w:szCs w:val="20"/>
                <w:color w:val="auto"/>
              </w:rPr>
            </w:pPr>
            <w:r>
              <w:rPr>
                <w:rFonts w:ascii="Arial" w:cs="Arial" w:eastAsia="Arial" w:hAnsi="Arial"/>
                <w:sz w:val="17"/>
                <w:szCs w:val="17"/>
                <w:color w:val="auto"/>
              </w:rPr>
              <w:t>Culture and Business</w:t>
            </w:r>
          </w:p>
        </w:tc>
        <w:tc>
          <w:tcPr>
            <w:tcW w:w="3100" w:type="dxa"/>
            <w:vAlign w:val="bottom"/>
            <w:shd w:val="clear" w:color="auto" w:fill="F4F3F3"/>
          </w:tcPr>
          <w:p>
            <w:pPr>
              <w:spacing w:after="0"/>
              <w:rPr>
                <w:sz w:val="16"/>
                <w:szCs w:val="16"/>
                <w:color w:val="auto"/>
              </w:rPr>
            </w:pPr>
          </w:p>
        </w:tc>
      </w:tr>
      <w:tr>
        <w:trPr>
          <w:trHeight w:val="231"/>
        </w:trPr>
        <w:tc>
          <w:tcPr>
            <w:tcW w:w="3630" w:type="dxa"/>
            <w:vAlign w:val="bottom"/>
            <w:shd w:val="clear" w:color="auto" w:fill="F4F3F3"/>
          </w:tcPr>
          <w:p>
            <w:pPr>
              <w:spacing w:after="0"/>
              <w:rPr>
                <w:sz w:val="20"/>
                <w:szCs w:val="20"/>
                <w:color w:val="auto"/>
              </w:rPr>
            </w:pPr>
          </w:p>
        </w:tc>
        <w:tc>
          <w:tcPr>
            <w:tcW w:w="1670" w:type="dxa"/>
            <w:vAlign w:val="bottom"/>
            <w:shd w:val="clear" w:color="auto" w:fill="F4F3F3"/>
          </w:tcPr>
          <w:p>
            <w:pPr>
              <w:spacing w:after="0"/>
              <w:rPr>
                <w:sz w:val="20"/>
                <w:szCs w:val="20"/>
                <w:color w:val="auto"/>
              </w:rPr>
            </w:pPr>
          </w:p>
        </w:tc>
        <w:tc>
          <w:tcPr>
            <w:tcW w:w="2600" w:type="dxa"/>
            <w:vAlign w:val="bottom"/>
            <w:shd w:val="clear" w:color="auto" w:fill="F4F3F3"/>
          </w:tcPr>
          <w:p>
            <w:pPr>
              <w:ind w:left="60"/>
              <w:spacing w:after="0"/>
              <w:rPr>
                <w:sz w:val="20"/>
                <w:szCs w:val="20"/>
                <w:color w:val="auto"/>
              </w:rPr>
            </w:pPr>
            <w:r>
              <w:rPr>
                <w:rFonts w:ascii="Arial" w:cs="Arial" w:eastAsia="Arial" w:hAnsi="Arial"/>
                <w:sz w:val="17"/>
                <w:szCs w:val="17"/>
                <w:color w:val="auto"/>
              </w:rPr>
              <w:t>Councils</w:t>
            </w:r>
          </w:p>
        </w:tc>
        <w:tc>
          <w:tcPr>
            <w:tcW w:w="3100" w:type="dxa"/>
            <w:vAlign w:val="bottom"/>
            <w:shd w:val="clear" w:color="auto" w:fill="F4F3F3"/>
          </w:tcPr>
          <w:p>
            <w:pPr>
              <w:spacing w:after="0"/>
              <w:rPr>
                <w:sz w:val="20"/>
                <w:szCs w:val="20"/>
                <w:color w:val="auto"/>
              </w:rPr>
            </w:pPr>
          </w:p>
        </w:tc>
      </w:tr>
      <w:tr>
        <w:trPr>
          <w:trHeight w:val="201"/>
        </w:trPr>
        <w:tc>
          <w:tcPr>
            <w:tcW w:w="3630" w:type="dxa"/>
            <w:vAlign w:val="bottom"/>
            <w:shd w:val="clear" w:color="auto" w:fill="F4F3F3"/>
          </w:tcPr>
          <w:p>
            <w:pPr>
              <w:spacing w:after="0"/>
              <w:rPr>
                <w:sz w:val="17"/>
                <w:szCs w:val="17"/>
                <w:color w:val="auto"/>
              </w:rPr>
            </w:pPr>
          </w:p>
        </w:tc>
        <w:tc>
          <w:tcPr>
            <w:tcW w:w="1670" w:type="dxa"/>
            <w:vAlign w:val="bottom"/>
            <w:shd w:val="clear" w:color="auto" w:fill="F4F3F3"/>
          </w:tcPr>
          <w:p>
            <w:pPr>
              <w:ind w:left="70"/>
              <w:spacing w:after="0"/>
              <w:rPr>
                <w:sz w:val="20"/>
                <w:szCs w:val="20"/>
                <w:color w:val="auto"/>
              </w:rPr>
            </w:pPr>
            <w:r>
              <w:rPr>
                <w:rFonts w:ascii="Arial" w:cs="Arial" w:eastAsia="Arial" w:hAnsi="Arial"/>
                <w:sz w:val="17"/>
                <w:szCs w:val="17"/>
                <w:color w:val="auto"/>
              </w:rPr>
              <w:t>Christopher Harrison</w:t>
            </w:r>
          </w:p>
        </w:tc>
        <w:tc>
          <w:tcPr>
            <w:tcW w:w="2600" w:type="dxa"/>
            <w:vAlign w:val="bottom"/>
            <w:shd w:val="clear" w:color="auto" w:fill="F4F3F3"/>
          </w:tcPr>
          <w:p>
            <w:pPr>
              <w:ind w:left="60"/>
              <w:spacing w:after="0"/>
              <w:rPr>
                <w:sz w:val="20"/>
                <w:szCs w:val="20"/>
                <w:color w:val="auto"/>
              </w:rPr>
            </w:pPr>
            <w:r>
              <w:rPr>
                <w:rFonts w:ascii="Arial" w:cs="Arial" w:eastAsia="Arial" w:hAnsi="Arial"/>
                <w:sz w:val="17"/>
                <w:szCs w:val="17"/>
                <w:color w:val="auto"/>
              </w:rPr>
              <w:t>Director, Hotel</w:t>
            </w:r>
          </w:p>
        </w:tc>
        <w:tc>
          <w:tcPr>
            <w:tcW w:w="3100" w:type="dxa"/>
            <w:vAlign w:val="bottom"/>
            <w:shd w:val="clear" w:color="auto" w:fill="F4F3F3"/>
          </w:tcPr>
          <w:p>
            <w:pPr>
              <w:jc w:val="right"/>
              <w:ind w:right="577"/>
              <w:spacing w:after="0"/>
              <w:rPr>
                <w:sz w:val="20"/>
                <w:szCs w:val="20"/>
                <w:color w:val="auto"/>
              </w:rPr>
            </w:pPr>
            <w:r>
              <w:rPr>
                <w:rFonts w:ascii="Arial" w:cs="Arial" w:eastAsia="Arial" w:hAnsi="Arial"/>
                <w:sz w:val="17"/>
                <w:szCs w:val="17"/>
                <w:color w:val="auto"/>
              </w:rPr>
              <w:t>185,753</w:t>
            </w:r>
          </w:p>
        </w:tc>
      </w:tr>
      <w:tr>
        <w:trPr>
          <w:trHeight w:val="231"/>
        </w:trPr>
        <w:tc>
          <w:tcPr>
            <w:tcW w:w="3630" w:type="dxa"/>
            <w:vAlign w:val="bottom"/>
            <w:shd w:val="clear" w:color="auto" w:fill="F4F3F3"/>
          </w:tcPr>
          <w:p>
            <w:pPr>
              <w:spacing w:after="0"/>
              <w:rPr>
                <w:sz w:val="20"/>
                <w:szCs w:val="20"/>
                <w:color w:val="auto"/>
              </w:rPr>
            </w:pPr>
          </w:p>
        </w:tc>
        <w:tc>
          <w:tcPr>
            <w:tcW w:w="1670" w:type="dxa"/>
            <w:vAlign w:val="bottom"/>
            <w:shd w:val="clear" w:color="auto" w:fill="F4F3F3"/>
          </w:tcPr>
          <w:p>
            <w:pPr>
              <w:spacing w:after="0"/>
              <w:rPr>
                <w:sz w:val="20"/>
                <w:szCs w:val="20"/>
                <w:color w:val="auto"/>
              </w:rPr>
            </w:pPr>
          </w:p>
        </w:tc>
        <w:tc>
          <w:tcPr>
            <w:tcW w:w="2600" w:type="dxa"/>
            <w:vAlign w:val="bottom"/>
            <w:shd w:val="clear" w:color="auto" w:fill="F4F3F3"/>
          </w:tcPr>
          <w:p>
            <w:pPr>
              <w:ind w:left="60"/>
              <w:spacing w:after="0"/>
              <w:rPr>
                <w:sz w:val="20"/>
                <w:szCs w:val="20"/>
                <w:color w:val="auto"/>
              </w:rPr>
            </w:pPr>
            <w:r>
              <w:rPr>
                <w:rFonts w:ascii="Arial" w:cs="Arial" w:eastAsia="Arial" w:hAnsi="Arial"/>
                <w:sz w:val="17"/>
                <w:szCs w:val="17"/>
                <w:color w:val="auto"/>
              </w:rPr>
              <w:t>Operations</w:t>
            </w:r>
          </w:p>
        </w:tc>
        <w:tc>
          <w:tcPr>
            <w:tcW w:w="3100" w:type="dxa"/>
            <w:vAlign w:val="bottom"/>
            <w:shd w:val="clear" w:color="auto" w:fill="F4F3F3"/>
          </w:tcPr>
          <w:p>
            <w:pPr>
              <w:spacing w:after="0"/>
              <w:rPr>
                <w:sz w:val="20"/>
                <w:szCs w:val="20"/>
                <w:color w:val="auto"/>
              </w:rPr>
            </w:pPr>
          </w:p>
        </w:tc>
      </w:tr>
      <w:tr>
        <w:trPr>
          <w:trHeight w:val="40"/>
        </w:trPr>
        <w:tc>
          <w:tcPr>
            <w:tcW w:w="3630" w:type="dxa"/>
            <w:vAlign w:val="bottom"/>
            <w:shd w:val="clear" w:color="auto" w:fill="F4F3F3"/>
          </w:tcPr>
          <w:p>
            <w:pPr>
              <w:spacing w:after="0"/>
              <w:rPr>
                <w:sz w:val="3"/>
                <w:szCs w:val="3"/>
                <w:color w:val="auto"/>
              </w:rPr>
            </w:pPr>
          </w:p>
        </w:tc>
        <w:tc>
          <w:tcPr>
            <w:tcW w:w="1670" w:type="dxa"/>
            <w:vAlign w:val="bottom"/>
            <w:shd w:val="clear" w:color="auto" w:fill="F4F3F3"/>
          </w:tcPr>
          <w:p>
            <w:pPr>
              <w:spacing w:after="0"/>
              <w:rPr>
                <w:sz w:val="3"/>
                <w:szCs w:val="3"/>
                <w:color w:val="auto"/>
              </w:rPr>
            </w:pPr>
          </w:p>
        </w:tc>
        <w:tc>
          <w:tcPr>
            <w:tcW w:w="2600" w:type="dxa"/>
            <w:vAlign w:val="bottom"/>
            <w:shd w:val="clear" w:color="auto" w:fill="F4F3F3"/>
          </w:tcPr>
          <w:p>
            <w:pPr>
              <w:spacing w:after="0"/>
              <w:rPr>
                <w:sz w:val="3"/>
                <w:szCs w:val="3"/>
                <w:color w:val="auto"/>
              </w:rPr>
            </w:pPr>
          </w:p>
        </w:tc>
        <w:tc>
          <w:tcPr>
            <w:tcW w:w="3100" w:type="dxa"/>
            <w:vAlign w:val="bottom"/>
            <w:shd w:val="clear" w:color="auto" w:fill="F4F3F3"/>
          </w:tcPr>
          <w:p>
            <w:pPr>
              <w:spacing w:after="0"/>
              <w:rPr>
                <w:sz w:val="3"/>
                <w:szCs w:val="3"/>
                <w:color w:val="auto"/>
              </w:rPr>
            </w:pPr>
          </w:p>
        </w:tc>
      </w:tr>
    </w:tbl>
    <w:p>
      <w:pPr>
        <w:spacing w:after="0" w:line="80" w:lineRule="exact"/>
        <w:rPr>
          <w:sz w:val="20"/>
          <w:szCs w:val="20"/>
          <w:color w:val="auto"/>
        </w:rPr>
      </w:pPr>
    </w:p>
    <w:p>
      <w:pPr>
        <w:ind w:left="220" w:right="580"/>
        <w:spacing w:after="0" w:line="274" w:lineRule="auto"/>
        <w:rPr>
          <w:sz w:val="20"/>
          <w:szCs w:val="20"/>
          <w:color w:val="auto"/>
        </w:rPr>
      </w:pPr>
      <w:r>
        <w:rPr>
          <w:rFonts w:ascii="Arial" w:cs="Arial" w:eastAsia="Arial" w:hAnsi="Arial"/>
          <w:sz w:val="17"/>
          <w:szCs w:val="17"/>
          <w:color w:val="auto"/>
        </w:rPr>
        <w:t>J.W. Marriott, Jr. reimbursed the Company for the cost of non-business-related services provided by Company associates in the amount of $470,372 for 2017.</w:t>
      </w:r>
    </w:p>
    <w:p>
      <w:pPr>
        <w:spacing w:after="0" w:line="249"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Policy on Transactions and Arrangements with Related Persons</w:t>
      </w:r>
    </w:p>
    <w:p>
      <w:pPr>
        <w:spacing w:after="0" w:line="104" w:lineRule="exact"/>
        <w:rPr>
          <w:sz w:val="20"/>
          <w:szCs w:val="20"/>
          <w:color w:val="auto"/>
        </w:rPr>
      </w:pPr>
    </w:p>
    <w:p>
      <w:pPr>
        <w:ind w:left="220" w:right="60"/>
        <w:spacing w:after="0" w:line="246" w:lineRule="auto"/>
        <w:rPr>
          <w:sz w:val="20"/>
          <w:szCs w:val="20"/>
          <w:color w:val="auto"/>
        </w:rPr>
      </w:pPr>
      <w:r>
        <w:rPr>
          <w:rFonts w:ascii="Arial" w:cs="Arial" w:eastAsia="Arial" w:hAnsi="Arial"/>
          <w:sz w:val="17"/>
          <w:szCs w:val="17"/>
          <w:color w:val="auto"/>
        </w:rPr>
        <w:t>The Company has adopted a written policy for approval of transactions and arrangements between the Company and the Company’s current and recent former directors, director nominees, current and recent former executive officers, greater than five percent stockholders, and their immediate family members where the amount involved exceeds $120,000. Each of the related person transactions described above is subject to, and has been approved or ratified under, this policy.</w:t>
      </w:r>
    </w:p>
    <w:p>
      <w:pPr>
        <w:spacing w:after="0" w:line="62" w:lineRule="exact"/>
        <w:rPr>
          <w:sz w:val="20"/>
          <w:szCs w:val="20"/>
          <w:color w:val="auto"/>
        </w:rPr>
      </w:pPr>
    </w:p>
    <w:p>
      <w:pPr>
        <w:ind w:left="220" w:right="80"/>
        <w:spacing w:after="0" w:line="238" w:lineRule="auto"/>
        <w:rPr>
          <w:sz w:val="20"/>
          <w:szCs w:val="20"/>
          <w:color w:val="auto"/>
        </w:rPr>
      </w:pPr>
      <w:r>
        <w:rPr>
          <w:rFonts w:ascii="Arial" w:cs="Arial" w:eastAsia="Arial" w:hAnsi="Arial"/>
          <w:sz w:val="17"/>
          <w:szCs w:val="17"/>
          <w:color w:val="auto"/>
        </w:rPr>
        <w:t>The policy provides that the Audit Committee reviews certain transactions subject to the policy and determines whether or not to approve or ratify those transactions. In doing so, the committee takes into account, among other things, whether the transaction is on terms that are no less favorable to the Company than terms generally available to an unaffiliated third-party under similar circumstances and the materiality of the related person’s interest in the transaction. The policy also provides that the Company’s Corporate Growth Committee, an internal management committee whose members include each of the Company’s Continental Presidents, the Company’s Chief Financial Officer, Executive Vice President and General Counsel, and other executive officers responsible for lodging development and lodging operations, reviews all such transactions that involve the management, operation, ownership, purchase, sale, or lease of a hotel, timeshare property, land and/or improvements.</w:t>
      </w:r>
    </w:p>
    <w:p>
      <w:pPr>
        <w:spacing w:after="0" w:line="68" w:lineRule="exact"/>
        <w:rPr>
          <w:sz w:val="20"/>
          <w:szCs w:val="20"/>
          <w:color w:val="auto"/>
        </w:rPr>
      </w:pPr>
    </w:p>
    <w:p>
      <w:pPr>
        <w:ind w:left="220" w:right="380"/>
        <w:spacing w:after="0" w:line="253" w:lineRule="auto"/>
        <w:rPr>
          <w:sz w:val="20"/>
          <w:szCs w:val="20"/>
          <w:color w:val="auto"/>
        </w:rPr>
      </w:pPr>
      <w:r>
        <w:rPr>
          <w:rFonts w:ascii="Arial" w:cs="Arial" w:eastAsia="Arial" w:hAnsi="Arial"/>
          <w:sz w:val="17"/>
          <w:szCs w:val="17"/>
          <w:color w:val="auto"/>
        </w:rPr>
        <w:t>The Audit Committee and the Corporate Growth Committee have considered and adopted standing pre-approvals under the policy for certain limited transactions with related persons that meet specific criteria. Information on transactions subject to pre-approval is provided to the appropriate committee at its next regularly scheduled meeting. Pre-approved transactions are limited to:</w:t>
      </w:r>
    </w:p>
    <w:p>
      <w:pPr>
        <w:spacing w:after="0" w:line="70" w:lineRule="exact"/>
        <w:rPr>
          <w:sz w:val="20"/>
          <w:szCs w:val="20"/>
          <w:color w:val="auto"/>
        </w:rPr>
      </w:pPr>
    </w:p>
    <w:p>
      <w:pPr>
        <w:ind w:left="420" w:right="380" w:hanging="210"/>
        <w:spacing w:after="0" w:line="246" w:lineRule="auto"/>
        <w:tabs>
          <w:tab w:leader="none" w:pos="42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certain lodging transactions with specified maximum dollar thresholds where the Corporate Growth Committee has both approved the transaction and determined that its terms are no less favorable to the Company than those of similar contemporaneous transactions with unrelated third parties and, in some cases, where the transaction is the result of an open auction process involving at least three unrelated third-party bidders;</w:t>
      </w:r>
    </w:p>
    <w:p>
      <w:pPr>
        <w:spacing w:after="0" w:line="75" w:lineRule="exact"/>
        <w:rPr>
          <w:rFonts w:ascii="Arial" w:cs="Arial" w:eastAsia="Arial" w:hAnsi="Arial"/>
          <w:sz w:val="17"/>
          <w:szCs w:val="17"/>
          <w:color w:val="auto"/>
        </w:rPr>
      </w:pPr>
    </w:p>
    <w:p>
      <w:pPr>
        <w:ind w:left="420" w:right="40" w:hanging="210"/>
        <w:spacing w:after="0" w:line="274" w:lineRule="auto"/>
        <w:tabs>
          <w:tab w:leader="none" w:pos="42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certain other lodging transactions with specified maximum dollar thresholds that are consistent with general terms and conditions that the Audit Committee has previously approved;</w:t>
      </w:r>
    </w:p>
    <w:p>
      <w:pPr>
        <w:spacing w:after="0" w:line="52" w:lineRule="exact"/>
        <w:rPr>
          <w:rFonts w:ascii="Arial" w:cs="Arial" w:eastAsia="Arial" w:hAnsi="Arial"/>
          <w:sz w:val="17"/>
          <w:szCs w:val="17"/>
          <w:color w:val="auto"/>
        </w:rPr>
      </w:pPr>
    </w:p>
    <w:p>
      <w:pPr>
        <w:ind w:left="420" w:right="480" w:hanging="210"/>
        <w:spacing w:after="0" w:line="274" w:lineRule="auto"/>
        <w:tabs>
          <w:tab w:leader="none" w:pos="42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employment and compensation relationships that are subject to Compensation Policy Committee or other specified internal management approvals and which, in the case of executive officers, are subject to required proxy statement disclosure;</w:t>
      </w:r>
    </w:p>
    <w:p>
      <w:pPr>
        <w:spacing w:after="0" w:line="52" w:lineRule="exact"/>
        <w:rPr>
          <w:rFonts w:ascii="Arial" w:cs="Arial" w:eastAsia="Arial" w:hAnsi="Arial"/>
          <w:sz w:val="17"/>
          <w:szCs w:val="17"/>
          <w:color w:val="auto"/>
        </w:rPr>
      </w:pPr>
    </w:p>
    <w:p>
      <w:pPr>
        <w:ind w:left="420" w:right="80" w:hanging="210"/>
        <w:spacing w:after="0" w:line="274" w:lineRule="auto"/>
        <w:tabs>
          <w:tab w:leader="none" w:pos="42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certain transactions with other companies and certain charitable contributions that satisfy the independence criteria under both the Company’s Governance Principles and the Nasdaq corporate governance listing standards; and</w:t>
      </w:r>
    </w:p>
    <w:p>
      <w:pPr>
        <w:spacing w:after="0" w:line="52" w:lineRule="exact"/>
        <w:rPr>
          <w:rFonts w:ascii="Arial" w:cs="Arial" w:eastAsia="Arial" w:hAnsi="Arial"/>
          <w:sz w:val="17"/>
          <w:szCs w:val="17"/>
          <w:color w:val="auto"/>
        </w:rPr>
      </w:pPr>
    </w:p>
    <w:p>
      <w:pPr>
        <w:ind w:left="420" w:right="440" w:hanging="210"/>
        <w:spacing w:after="0" w:line="274" w:lineRule="auto"/>
        <w:tabs>
          <w:tab w:leader="none" w:pos="42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non-lodging transactions involving less than $500,000 that are approved by at least two members of the Corporate Growth Committee for whom the transactions pose no conflict of interest.</w:t>
      </w:r>
    </w:p>
    <w:p>
      <w:pPr>
        <w:spacing w:after="0" w:line="85" w:lineRule="exact"/>
        <w:rPr>
          <w:sz w:val="20"/>
          <w:szCs w:val="20"/>
          <w:color w:val="auto"/>
        </w:rPr>
      </w:pPr>
    </w:p>
    <w:tbl>
      <w:tblPr>
        <w:tblLayout w:type="fixed"/>
        <w:tblInd w:w="9180" w:type="dxa"/>
        <w:tblCellMar>
          <w:top w:w="0" w:type="dxa"/>
          <w:left w:w="0" w:type="dxa"/>
          <w:bottom w:w="0" w:type="dxa"/>
          <w:right w:w="0" w:type="dxa"/>
        </w:tblCellMar>
      </w:tblPr>
      <w:tr>
        <w:trPr>
          <w:trHeight w:val="214"/>
        </w:trPr>
        <w:tc>
          <w:tcPr>
            <w:tcW w:w="1660" w:type="dxa"/>
            <w:vAlign w:val="bottom"/>
          </w:tcPr>
          <w:p>
            <w:pPr>
              <w:spacing w:after="0"/>
              <w:rPr>
                <w:sz w:val="20"/>
                <w:szCs w:val="20"/>
                <w:color w:val="auto"/>
              </w:rPr>
            </w:pPr>
            <w:r>
              <w:rPr>
                <w:rFonts w:ascii="Arial" w:cs="Arial" w:eastAsia="Arial" w:hAnsi="Arial"/>
                <w:sz w:val="15"/>
                <w:szCs w:val="15"/>
                <w:color w:val="998C87"/>
              </w:rPr>
              <w:t>2018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65</w:t>
            </w:r>
          </w:p>
        </w:tc>
      </w:tr>
    </w:tbl>
    <w:p>
      <w:pPr>
        <w:sectPr>
          <w:pgSz w:w="11900" w:h="16838" w:orient="portrait"/>
          <w:cols w:equalWidth="0" w:num="1">
            <w:col w:w="11220"/>
          </w:cols>
          <w:pgMar w:left="240" w:top="455" w:right="4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Questions and Answers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25"/>
          <w:szCs w:val="25"/>
          <w:color w:val="998C87"/>
        </w:rPr>
        <w:t>QUESTIONS AND ANSWERS ABOUT THE MEETING</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What is the purpose of the annual meeting?</w:t>
      </w:r>
    </w:p>
    <w:p>
      <w:pPr>
        <w:spacing w:after="0" w:line="104" w:lineRule="exact"/>
        <w:rPr>
          <w:sz w:val="20"/>
          <w:szCs w:val="20"/>
          <w:color w:val="auto"/>
        </w:rPr>
      </w:pPr>
    </w:p>
    <w:p>
      <w:pPr>
        <w:ind w:left="220"/>
        <w:spacing w:after="0" w:line="239" w:lineRule="auto"/>
        <w:rPr>
          <w:sz w:val="20"/>
          <w:szCs w:val="20"/>
          <w:color w:val="auto"/>
        </w:rPr>
      </w:pPr>
      <w:r>
        <w:rPr>
          <w:rFonts w:ascii="Arial" w:cs="Arial" w:eastAsia="Arial" w:hAnsi="Arial"/>
          <w:sz w:val="17"/>
          <w:szCs w:val="17"/>
          <w:color w:val="auto"/>
        </w:rPr>
        <w:t>At our annual meeting, stockholders will act upon the matters described in the accompanying notice of meeting. These actions include the election of each of the 14 director nominees, ratification of the appointment of the independent registered public accounting firm (sometimes referred to as the “</w:t>
      </w:r>
      <w:r>
        <w:rPr>
          <w:rFonts w:ascii="Arial" w:cs="Arial" w:eastAsia="Arial" w:hAnsi="Arial"/>
          <w:sz w:val="17"/>
          <w:szCs w:val="17"/>
          <w:i w:val="1"/>
          <w:iCs w:val="1"/>
          <w:color w:val="auto"/>
        </w:rPr>
        <w:t>independent auditor</w:t>
      </w:r>
      <w:r>
        <w:rPr>
          <w:rFonts w:ascii="Arial" w:cs="Arial" w:eastAsia="Arial" w:hAnsi="Arial"/>
          <w:sz w:val="17"/>
          <w:szCs w:val="17"/>
          <w:color w:val="auto"/>
        </w:rPr>
        <w:t>”), an advisory vote to approve executive compensation, approval of proposed amendments to the Company’s Certificate and Bylaws to provide holders of 25% of Company stock the right to call special meetings; a stockholder resolution to allow holders of 15% of Company stock to call special meetings; a stockholder resolution recommending implementation of a simple majority voting standard in our governance documents; and any other matters that may properly be presented at the meeting. In addition, our management will report on the Company’s performance during fiscal year 2017 and respond to questions from stockholders.</w:t>
      </w:r>
    </w:p>
    <w:p>
      <w:pPr>
        <w:spacing w:after="0" w:line="277"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Who is entitled to vote?</w:t>
      </w:r>
    </w:p>
    <w:p>
      <w:pPr>
        <w:spacing w:after="0" w:line="104" w:lineRule="exact"/>
        <w:rPr>
          <w:sz w:val="20"/>
          <w:szCs w:val="20"/>
          <w:color w:val="auto"/>
        </w:rPr>
      </w:pPr>
    </w:p>
    <w:p>
      <w:pPr>
        <w:ind w:left="220"/>
        <w:spacing w:after="0" w:line="253" w:lineRule="auto"/>
        <w:rPr>
          <w:sz w:val="20"/>
          <w:szCs w:val="20"/>
          <w:color w:val="auto"/>
        </w:rPr>
      </w:pPr>
      <w:r>
        <w:rPr>
          <w:rFonts w:ascii="Arial" w:cs="Arial" w:eastAsia="Arial" w:hAnsi="Arial"/>
          <w:sz w:val="17"/>
          <w:szCs w:val="17"/>
          <w:color w:val="auto"/>
        </w:rPr>
        <w:t>Only stockholders of record at the close of business on the record date, March 12, 2018, are entitled to receive notice of and to vote at the meeting, or any postponement or adjournment of the meeting. Each outstanding share of the Company’s Class A common stock entitles its holder to cast ten votes on each matter to be voted upon.</w:t>
      </w:r>
    </w:p>
    <w:p>
      <w:pPr>
        <w:spacing w:after="0" w:line="266"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Who can attend the meeting?</w:t>
      </w:r>
    </w:p>
    <w:p>
      <w:pPr>
        <w:spacing w:after="0" w:line="104" w:lineRule="exact"/>
        <w:rPr>
          <w:sz w:val="20"/>
          <w:szCs w:val="20"/>
          <w:color w:val="auto"/>
        </w:rPr>
      </w:pPr>
    </w:p>
    <w:p>
      <w:pPr>
        <w:ind w:left="220" w:right="60"/>
        <w:spacing w:after="0" w:line="246" w:lineRule="auto"/>
        <w:rPr>
          <w:sz w:val="20"/>
          <w:szCs w:val="20"/>
          <w:color w:val="auto"/>
        </w:rPr>
      </w:pPr>
      <w:r>
        <w:rPr>
          <w:rFonts w:ascii="Arial" w:cs="Arial" w:eastAsia="Arial" w:hAnsi="Arial"/>
          <w:sz w:val="17"/>
          <w:szCs w:val="17"/>
          <w:color w:val="auto"/>
        </w:rPr>
        <w:t>All stockholders of record at the close of business on the record date, or their duly appointed proxies, may attend the meeting. Cameras, recording devices and other electronic devices may not be used at the meeting. Stockholders whose shares are held beneficially through a brokerage firm, bank, trust or other similar organization (that is, in “street name”) also may attend the meeting by obtaining a legal proxy provided by their broker, bank or other organization and bringing that proxy to the meeting.</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You will find directions to the meeting, and information on parking, public transportation and lodging, on the last page of this proxy statement.</w:t>
      </w:r>
    </w:p>
    <w:p>
      <w:pPr>
        <w:spacing w:after="0" w:line="311"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What constitutes a quorum?</w:t>
      </w:r>
    </w:p>
    <w:p>
      <w:pPr>
        <w:spacing w:after="0" w:line="104" w:lineRule="exact"/>
        <w:rPr>
          <w:sz w:val="20"/>
          <w:szCs w:val="20"/>
          <w:color w:val="auto"/>
        </w:rPr>
      </w:pPr>
    </w:p>
    <w:p>
      <w:pPr>
        <w:ind w:left="220" w:right="20"/>
        <w:spacing w:after="0" w:line="242" w:lineRule="auto"/>
        <w:rPr>
          <w:sz w:val="20"/>
          <w:szCs w:val="20"/>
          <w:color w:val="auto"/>
        </w:rPr>
      </w:pPr>
      <w:r>
        <w:rPr>
          <w:rFonts w:ascii="Arial" w:cs="Arial" w:eastAsia="Arial" w:hAnsi="Arial"/>
          <w:sz w:val="17"/>
          <w:szCs w:val="17"/>
          <w:color w:val="auto"/>
        </w:rPr>
        <w:t>The presence at the meeting, in person or by proxy, of the holders of a majority of the shares of Class A common stock of the Company outstanding on the record date and entitled to vote will constitute a quorum. A quorum is required for business to be conducted at the meeting. As of the March 12, 2018 record date, 356,899,739 shares of our Class A common stock were outstanding and entitled to vote. If you submit a properly executed proxy card, even if you abstain from voting, you will be considered part of the quorum. Similarly, “broker non-votes” (described below) will be counted in determining whether there is a quorum.</w:t>
      </w:r>
    </w:p>
    <w:p>
      <w:pPr>
        <w:spacing w:after="0" w:line="276"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How do I vote?</w:t>
      </w:r>
    </w:p>
    <w:p>
      <w:pPr>
        <w:spacing w:after="0" w:line="104" w:lineRule="exact"/>
        <w:rPr>
          <w:sz w:val="20"/>
          <w:szCs w:val="20"/>
          <w:color w:val="auto"/>
        </w:rPr>
      </w:pPr>
    </w:p>
    <w:p>
      <w:pPr>
        <w:ind w:left="220" w:right="20"/>
        <w:spacing w:after="0" w:line="242" w:lineRule="auto"/>
        <w:rPr>
          <w:sz w:val="20"/>
          <w:szCs w:val="20"/>
          <w:color w:val="auto"/>
        </w:rPr>
      </w:pPr>
      <w:r>
        <w:rPr>
          <w:rFonts w:ascii="Arial" w:cs="Arial" w:eastAsia="Arial" w:hAnsi="Arial"/>
          <w:sz w:val="17"/>
          <w:szCs w:val="17"/>
          <w:color w:val="auto"/>
        </w:rPr>
        <w:t>You may vote either by casting your vote in person at the meeting, or by marking, signing, and dating each proxy card you receive and returning it in the prepaid envelope, by telephone, or electronically through the Internet by following the instructions included on your proxy card. Telephone and Internet voting is available through 11:59 p.m. Eastern Time on Thursday, May 3, 2018. The telephone and Internet voting procedures are designed to authenticate votes cast by use of a personal identification number. The procedures, which are designed to comply with Delaware law, allow stockholders to appoint a proxy to vote their shares and to confirm that their instructions have been properly recorded.</w:t>
      </w:r>
    </w:p>
    <w:p>
      <w:pPr>
        <w:spacing w:after="0" w:line="67" w:lineRule="exact"/>
        <w:rPr>
          <w:sz w:val="20"/>
          <w:szCs w:val="20"/>
          <w:color w:val="auto"/>
        </w:rPr>
      </w:pPr>
    </w:p>
    <w:p>
      <w:pPr>
        <w:ind w:left="220" w:right="20"/>
        <w:spacing w:after="0" w:line="242" w:lineRule="auto"/>
        <w:rPr>
          <w:sz w:val="20"/>
          <w:szCs w:val="20"/>
          <w:color w:val="auto"/>
        </w:rPr>
      </w:pPr>
      <w:r>
        <w:rPr>
          <w:rFonts w:ascii="Arial" w:cs="Arial" w:eastAsia="Arial" w:hAnsi="Arial"/>
          <w:sz w:val="17"/>
          <w:szCs w:val="17"/>
          <w:color w:val="auto"/>
        </w:rPr>
        <w:t>If you hold your shares in “street name” through a broker or other nominee, you may be able to vote by telephone or electronically through the Internet in accordance with the voting instructions provided by that institution. You must obtain a legal proxy from the broker or other nominee that holds your shares if you wish to vote in person at the annual meeting. If you do not provide voting instructions to your broker in advance of the annual meeting, your broker will have discretionary authority to vote on “routine matters.” The ratification of the appointment of the independent registered public accounting firm in Item 2 is the only item on the agenda for the annual meeting that is considered routine.</w:t>
      </w:r>
    </w:p>
    <w:p>
      <w:pPr>
        <w:spacing w:after="0" w:line="112" w:lineRule="exact"/>
        <w:rPr>
          <w:sz w:val="20"/>
          <w:szCs w:val="20"/>
          <w:color w:val="auto"/>
        </w:rPr>
      </w:pPr>
    </w:p>
    <w:p>
      <w:pPr>
        <w:ind w:left="540" w:hanging="330"/>
        <w:spacing w:after="0"/>
        <w:tabs>
          <w:tab w:leader="none" w:pos="540" w:val="left"/>
        </w:tabs>
        <w:numPr>
          <w:ilvl w:val="0"/>
          <w:numId w:val="134"/>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00"/>
          </w:cols>
          <w:pgMar w:left="240" w:top="455" w:right="45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Questions and Answers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What does the Board recommend?</w:t>
      </w:r>
    </w:p>
    <w:p>
      <w:pPr>
        <w:spacing w:after="0" w:line="10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Board’s recommendations are set forth after the description of each item in this proxy statement. In summary, the Board recommends a vote:</w:t>
      </w:r>
    </w:p>
    <w:p>
      <w:pPr>
        <w:spacing w:after="0" w:line="115" w:lineRule="exact"/>
        <w:rPr>
          <w:sz w:val="20"/>
          <w:szCs w:val="20"/>
          <w:color w:val="auto"/>
        </w:rPr>
      </w:pPr>
    </w:p>
    <w:p>
      <w:pPr>
        <w:ind w:left="420" w:hanging="210"/>
        <w:spacing w:after="0"/>
        <w:tabs>
          <w:tab w:leader="none" w:pos="42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FOR the election of each of the 14 director nominees (see Item 1 on page 8);</w:t>
      </w:r>
    </w:p>
    <w:p>
      <w:pPr>
        <w:spacing w:after="0" w:line="114" w:lineRule="exact"/>
        <w:rPr>
          <w:rFonts w:ascii="Arial" w:cs="Arial" w:eastAsia="Arial" w:hAnsi="Arial"/>
          <w:sz w:val="17"/>
          <w:szCs w:val="17"/>
          <w:color w:val="auto"/>
        </w:rPr>
      </w:pPr>
    </w:p>
    <w:p>
      <w:pPr>
        <w:ind w:left="420" w:hanging="210"/>
        <w:spacing w:after="0"/>
        <w:tabs>
          <w:tab w:leader="none" w:pos="42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FOR the ratification of the appointment of the independent auditor (see Item 2 on page 8);</w:t>
      </w:r>
    </w:p>
    <w:p>
      <w:pPr>
        <w:spacing w:after="0" w:line="114" w:lineRule="exact"/>
        <w:rPr>
          <w:rFonts w:ascii="Arial" w:cs="Arial" w:eastAsia="Arial" w:hAnsi="Arial"/>
          <w:sz w:val="17"/>
          <w:szCs w:val="17"/>
          <w:color w:val="auto"/>
        </w:rPr>
      </w:pPr>
    </w:p>
    <w:p>
      <w:pPr>
        <w:ind w:left="420" w:hanging="210"/>
        <w:spacing w:after="0"/>
        <w:tabs>
          <w:tab w:leader="none" w:pos="42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FOR the advisory vote to approve executive compensation (see Item 3 on page 9);</w:t>
      </w:r>
    </w:p>
    <w:p>
      <w:pPr>
        <w:spacing w:after="0" w:line="114" w:lineRule="exact"/>
        <w:rPr>
          <w:rFonts w:ascii="Arial" w:cs="Arial" w:eastAsia="Arial" w:hAnsi="Arial"/>
          <w:sz w:val="17"/>
          <w:szCs w:val="17"/>
          <w:color w:val="auto"/>
        </w:rPr>
      </w:pPr>
    </w:p>
    <w:p>
      <w:pPr>
        <w:ind w:left="420" w:right="120" w:hanging="210"/>
        <w:spacing w:after="0" w:line="274" w:lineRule="auto"/>
        <w:tabs>
          <w:tab w:leader="none" w:pos="42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FOR the approval of proposed amendments to the Certificate and Bylaws to provide holders of 25% of Company stock the right to call special meetings (see Item 4 on page 9);</w:t>
      </w:r>
    </w:p>
    <w:p>
      <w:pPr>
        <w:spacing w:after="0" w:line="52" w:lineRule="exact"/>
        <w:rPr>
          <w:rFonts w:ascii="Arial" w:cs="Arial" w:eastAsia="Arial" w:hAnsi="Arial"/>
          <w:sz w:val="17"/>
          <w:szCs w:val="17"/>
          <w:color w:val="auto"/>
        </w:rPr>
      </w:pPr>
    </w:p>
    <w:p>
      <w:pPr>
        <w:ind w:left="420" w:hanging="210"/>
        <w:spacing w:after="0"/>
        <w:tabs>
          <w:tab w:leader="none" w:pos="42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AGAINST the stockholder resolution to allow holders of 15% of Company stock to call special meetings (see Item 5 on page 12); and</w:t>
      </w:r>
    </w:p>
    <w:p>
      <w:pPr>
        <w:spacing w:after="0" w:line="114" w:lineRule="exact"/>
        <w:rPr>
          <w:rFonts w:ascii="Arial" w:cs="Arial" w:eastAsia="Arial" w:hAnsi="Arial"/>
          <w:sz w:val="17"/>
          <w:szCs w:val="17"/>
          <w:color w:val="auto"/>
        </w:rPr>
      </w:pPr>
    </w:p>
    <w:p>
      <w:pPr>
        <w:ind w:left="420" w:right="260" w:hanging="210"/>
        <w:spacing w:after="0" w:line="274" w:lineRule="auto"/>
        <w:tabs>
          <w:tab w:leader="none" w:pos="42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AGAINST the stockholder resolution recommending implementation of a simple majority voting standard in our governance documents (see Item 6 on page 14).</w:t>
      </w:r>
    </w:p>
    <w:p>
      <w:pPr>
        <w:spacing w:after="0" w:line="249"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How will my shares be voted?</w:t>
      </w:r>
    </w:p>
    <w:p>
      <w:pPr>
        <w:spacing w:after="0" w:line="104" w:lineRule="exact"/>
        <w:rPr>
          <w:sz w:val="20"/>
          <w:szCs w:val="20"/>
          <w:color w:val="auto"/>
        </w:rPr>
      </w:pPr>
    </w:p>
    <w:p>
      <w:pPr>
        <w:ind w:left="220" w:right="60"/>
        <w:spacing w:after="0" w:line="239" w:lineRule="auto"/>
        <w:rPr>
          <w:sz w:val="20"/>
          <w:szCs w:val="20"/>
          <w:color w:val="auto"/>
        </w:rPr>
      </w:pPr>
      <w:r>
        <w:rPr>
          <w:rFonts w:ascii="Arial" w:cs="Arial" w:eastAsia="Arial" w:hAnsi="Arial"/>
          <w:sz w:val="17"/>
          <w:szCs w:val="17"/>
          <w:color w:val="auto"/>
        </w:rPr>
        <w:t>Your shares will be voted as you indicate on the proxy card. Except as indicated below with respect to shares held in the Marriott Retirement Savings Plan or the Starwood Savings and Retirement Plan (together, the “</w:t>
      </w:r>
      <w:r>
        <w:rPr>
          <w:rFonts w:ascii="Arial" w:cs="Arial" w:eastAsia="Arial" w:hAnsi="Arial"/>
          <w:sz w:val="17"/>
          <w:szCs w:val="17"/>
          <w:i w:val="1"/>
          <w:iCs w:val="1"/>
          <w:color w:val="auto"/>
        </w:rPr>
        <w:t>401(k) Plans</w:t>
      </w:r>
      <w:r>
        <w:rPr>
          <w:rFonts w:ascii="Arial" w:cs="Arial" w:eastAsia="Arial" w:hAnsi="Arial"/>
          <w:sz w:val="17"/>
          <w:szCs w:val="17"/>
          <w:color w:val="auto"/>
        </w:rPr>
        <w:t>”), if you return your signed proxy card but do not mark the boxes indicating how you wish to vote, your shares will be voted FOR the election of each of the 14 director nominees; FOR the ratification of the appointment of Ernst &amp; Young LLP as the Company’s independent auditor for 2018; FOR the advisory vote to approve executive compensation; FOR the approval of proposed amendments to the Certificate and Bylaws to provide holders of 25% of Company stock the right to call special meetings; AGAINST the stockholder resolution to allow holders of 15% of Company stock to call special meetings; and AGAINST the stockholder resolution recommending implementation of a simple majority voting standard in our governance documents.</w:t>
      </w:r>
    </w:p>
    <w:p>
      <w:pPr>
        <w:spacing w:after="0" w:line="277" w:lineRule="exact"/>
        <w:rPr>
          <w:sz w:val="20"/>
          <w:szCs w:val="20"/>
          <w:color w:val="auto"/>
        </w:rPr>
      </w:pPr>
    </w:p>
    <w:p>
      <w:pPr>
        <w:ind w:left="220" w:right="1420"/>
        <w:spacing w:after="0" w:line="266" w:lineRule="auto"/>
        <w:rPr>
          <w:sz w:val="20"/>
          <w:szCs w:val="20"/>
          <w:color w:val="auto"/>
        </w:rPr>
      </w:pPr>
      <w:r>
        <w:rPr>
          <w:rFonts w:ascii="Arial" w:cs="Arial" w:eastAsia="Arial" w:hAnsi="Arial"/>
          <w:sz w:val="22"/>
          <w:szCs w:val="22"/>
          <w:color w:val="7F7F7F"/>
        </w:rPr>
        <w:t>Can I change my vote or revoke my proxy after I return my proxy card, or after I vote by telephone or electronically?</w:t>
      </w:r>
    </w:p>
    <w:p>
      <w:pPr>
        <w:spacing w:after="0" w:line="39" w:lineRule="exact"/>
        <w:rPr>
          <w:sz w:val="20"/>
          <w:szCs w:val="20"/>
          <w:color w:val="auto"/>
        </w:rPr>
      </w:pPr>
    </w:p>
    <w:p>
      <w:pPr>
        <w:ind w:left="220" w:right="20"/>
        <w:spacing w:after="0" w:line="274" w:lineRule="auto"/>
        <w:rPr>
          <w:sz w:val="20"/>
          <w:szCs w:val="20"/>
          <w:color w:val="auto"/>
        </w:rPr>
      </w:pPr>
      <w:r>
        <w:rPr>
          <w:rFonts w:ascii="Arial" w:cs="Arial" w:eastAsia="Arial" w:hAnsi="Arial"/>
          <w:sz w:val="17"/>
          <w:szCs w:val="17"/>
          <w:color w:val="auto"/>
        </w:rPr>
        <w:t>Yes. Even after you have submitted your proxy, you may change your vote at any time before the proxy is exercised at the meeting. Regardless of the way in which you submitted your original proxy, you may change it by:</w:t>
      </w:r>
    </w:p>
    <w:p>
      <w:pPr>
        <w:spacing w:after="0" w:line="53" w:lineRule="exact"/>
        <w:rPr>
          <w:sz w:val="20"/>
          <w:szCs w:val="20"/>
          <w:color w:val="auto"/>
        </w:rPr>
      </w:pPr>
    </w:p>
    <w:p>
      <w:pPr>
        <w:ind w:left="640" w:hanging="430"/>
        <w:spacing w:after="0"/>
        <w:tabs>
          <w:tab w:leader="none" w:pos="640" w:val="left"/>
        </w:tabs>
        <w:numPr>
          <w:ilvl w:val="0"/>
          <w:numId w:val="136"/>
        </w:numPr>
        <w:rPr>
          <w:rFonts w:ascii="Arial" w:cs="Arial" w:eastAsia="Arial" w:hAnsi="Arial"/>
          <w:sz w:val="17"/>
          <w:szCs w:val="17"/>
          <w:color w:val="998C87"/>
        </w:rPr>
      </w:pPr>
      <w:r>
        <w:rPr>
          <w:rFonts w:ascii="Arial" w:cs="Arial" w:eastAsia="Arial" w:hAnsi="Arial"/>
          <w:sz w:val="17"/>
          <w:szCs w:val="17"/>
          <w:color w:val="auto"/>
        </w:rPr>
        <w:t>Returning a later-dated signed proxy card;</w:t>
      </w:r>
    </w:p>
    <w:p>
      <w:pPr>
        <w:spacing w:after="0" w:line="114" w:lineRule="exact"/>
        <w:rPr>
          <w:rFonts w:ascii="Arial" w:cs="Arial" w:eastAsia="Arial" w:hAnsi="Arial"/>
          <w:sz w:val="17"/>
          <w:szCs w:val="17"/>
          <w:color w:val="998C87"/>
        </w:rPr>
      </w:pPr>
    </w:p>
    <w:p>
      <w:pPr>
        <w:ind w:left="640" w:hanging="430"/>
        <w:spacing w:after="0"/>
        <w:tabs>
          <w:tab w:leader="none" w:pos="640" w:val="left"/>
        </w:tabs>
        <w:numPr>
          <w:ilvl w:val="0"/>
          <w:numId w:val="136"/>
        </w:numPr>
        <w:rPr>
          <w:rFonts w:ascii="Arial" w:cs="Arial" w:eastAsia="Arial" w:hAnsi="Arial"/>
          <w:sz w:val="17"/>
          <w:szCs w:val="17"/>
          <w:color w:val="998C87"/>
        </w:rPr>
      </w:pPr>
      <w:r>
        <w:rPr>
          <w:rFonts w:ascii="Arial" w:cs="Arial" w:eastAsia="Arial" w:hAnsi="Arial"/>
          <w:sz w:val="17"/>
          <w:szCs w:val="17"/>
          <w:color w:val="auto"/>
        </w:rPr>
        <w:t>Delivering a written notice of revocation to Computershare Investor Services, P.O. Box 43006, Providence, RI 02940-3078;</w:t>
      </w:r>
    </w:p>
    <w:p>
      <w:pPr>
        <w:spacing w:after="0" w:line="114" w:lineRule="exact"/>
        <w:rPr>
          <w:rFonts w:ascii="Arial" w:cs="Arial" w:eastAsia="Arial" w:hAnsi="Arial"/>
          <w:sz w:val="17"/>
          <w:szCs w:val="17"/>
          <w:color w:val="998C87"/>
        </w:rPr>
      </w:pPr>
    </w:p>
    <w:p>
      <w:pPr>
        <w:ind w:left="640" w:hanging="430"/>
        <w:spacing w:after="0"/>
        <w:tabs>
          <w:tab w:leader="none" w:pos="640" w:val="left"/>
        </w:tabs>
        <w:numPr>
          <w:ilvl w:val="0"/>
          <w:numId w:val="136"/>
        </w:numPr>
        <w:rPr>
          <w:rFonts w:ascii="Arial" w:cs="Arial" w:eastAsia="Arial" w:hAnsi="Arial"/>
          <w:sz w:val="17"/>
          <w:szCs w:val="17"/>
          <w:color w:val="998C87"/>
        </w:rPr>
      </w:pPr>
      <w:r>
        <w:rPr>
          <w:rFonts w:ascii="Arial" w:cs="Arial" w:eastAsia="Arial" w:hAnsi="Arial"/>
          <w:sz w:val="17"/>
          <w:szCs w:val="17"/>
          <w:color w:val="auto"/>
        </w:rPr>
        <w:t>Voting by telephone or the Internet until 11:59 p.m. Eastern Time on Thursday, May 3, 2018; or</w:t>
      </w:r>
    </w:p>
    <w:p>
      <w:pPr>
        <w:spacing w:after="0" w:line="114" w:lineRule="exact"/>
        <w:rPr>
          <w:rFonts w:ascii="Arial" w:cs="Arial" w:eastAsia="Arial" w:hAnsi="Arial"/>
          <w:sz w:val="17"/>
          <w:szCs w:val="17"/>
          <w:color w:val="998C87"/>
        </w:rPr>
      </w:pPr>
    </w:p>
    <w:p>
      <w:pPr>
        <w:ind w:left="640" w:hanging="430"/>
        <w:spacing w:after="0"/>
        <w:tabs>
          <w:tab w:leader="none" w:pos="640" w:val="left"/>
        </w:tabs>
        <w:numPr>
          <w:ilvl w:val="0"/>
          <w:numId w:val="136"/>
        </w:numPr>
        <w:rPr>
          <w:rFonts w:ascii="Arial" w:cs="Arial" w:eastAsia="Arial" w:hAnsi="Arial"/>
          <w:sz w:val="17"/>
          <w:szCs w:val="17"/>
          <w:color w:val="998C87"/>
        </w:rPr>
      </w:pPr>
      <w:r>
        <w:rPr>
          <w:rFonts w:ascii="Arial" w:cs="Arial" w:eastAsia="Arial" w:hAnsi="Arial"/>
          <w:sz w:val="17"/>
          <w:szCs w:val="17"/>
          <w:color w:val="auto"/>
        </w:rPr>
        <w:t>Voting in person at the meeting.</w:t>
      </w:r>
    </w:p>
    <w:p>
      <w:pPr>
        <w:spacing w:after="0" w:line="10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If your shares are held through a broker or other nominee, you will need to contact that institution if you wish to change your voting instructions.</w:t>
      </w:r>
    </w:p>
    <w:p>
      <w:pPr>
        <w:spacing w:after="0" w:line="311"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How do I vote my 401(k) shares?</w:t>
      </w:r>
    </w:p>
    <w:p>
      <w:pPr>
        <w:spacing w:after="0" w:line="104" w:lineRule="exact"/>
        <w:rPr>
          <w:sz w:val="20"/>
          <w:szCs w:val="20"/>
          <w:color w:val="auto"/>
        </w:rPr>
      </w:pPr>
    </w:p>
    <w:p>
      <w:pPr>
        <w:ind w:left="220" w:right="220"/>
        <w:spacing w:after="0"/>
        <w:rPr>
          <w:sz w:val="20"/>
          <w:szCs w:val="20"/>
          <w:color w:val="auto"/>
        </w:rPr>
      </w:pPr>
      <w:r>
        <w:rPr>
          <w:rFonts w:ascii="Arial" w:cs="Arial" w:eastAsia="Arial" w:hAnsi="Arial"/>
          <w:sz w:val="17"/>
          <w:szCs w:val="17"/>
          <w:color w:val="auto"/>
        </w:rPr>
        <w:t>If you participate in the 401(k) Plans, you may give voting instructions as to the number of share equivalents allocated to your account as of the record date. You may provide voting instructions to the trustee under the respective 401(k) Plan by completing and returning the proxy card accompanying this proxy statement. The trustee will vote your shares in accordance with your duly executed instructions if they are received by 11:59 p.m. Eastern Time, on Tuesday, May 1, 2018. If you do not send instructions by this deadline or if you do not vote by proxy, or return your proxy card with an unclear voting designation or no voting designation at all, the trustee will vote the number of shares equal to the share equivalents credited to your account in the same proportion that it votes shares for which it did receive timely instructions.</w:t>
      </w:r>
    </w:p>
    <w:p>
      <w:pPr>
        <w:spacing w:after="0" w:line="113" w:lineRule="exact"/>
        <w:rPr>
          <w:sz w:val="20"/>
          <w:szCs w:val="20"/>
          <w:color w:val="auto"/>
        </w:rPr>
      </w:pPr>
    </w:p>
    <w:tbl>
      <w:tblPr>
        <w:tblLayout w:type="fixed"/>
        <w:tblInd w:w="9180" w:type="dxa"/>
        <w:tblCellMar>
          <w:top w:w="0" w:type="dxa"/>
          <w:left w:w="0" w:type="dxa"/>
          <w:bottom w:w="0" w:type="dxa"/>
          <w:right w:w="0" w:type="dxa"/>
        </w:tblCellMar>
      </w:tblPr>
      <w:tr>
        <w:trPr>
          <w:trHeight w:val="214"/>
        </w:trPr>
        <w:tc>
          <w:tcPr>
            <w:tcW w:w="1660" w:type="dxa"/>
            <w:vAlign w:val="bottom"/>
          </w:tcPr>
          <w:p>
            <w:pPr>
              <w:spacing w:after="0"/>
              <w:rPr>
                <w:sz w:val="20"/>
                <w:szCs w:val="20"/>
                <w:color w:val="auto"/>
              </w:rPr>
            </w:pPr>
            <w:r>
              <w:rPr>
                <w:rFonts w:ascii="Arial" w:cs="Arial" w:eastAsia="Arial" w:hAnsi="Arial"/>
                <w:sz w:val="15"/>
                <w:szCs w:val="15"/>
                <w:color w:val="998C87"/>
              </w:rPr>
              <w:t>2018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67</w:t>
            </w:r>
          </w:p>
        </w:tc>
      </w:tr>
    </w:tbl>
    <w:p>
      <w:pPr>
        <w:sectPr>
          <w:pgSz w:w="11900" w:h="16838" w:orient="portrait"/>
          <w:cols w:equalWidth="0" w:num="1">
            <w:col w:w="11220"/>
          </w:cols>
          <w:pgMar w:left="240" w:top="455" w:right="4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Questions and Answers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What vote is required to approve each item?</w:t>
      </w:r>
    </w:p>
    <w:p>
      <w:pPr>
        <w:spacing w:after="0" w:line="104" w:lineRule="exact"/>
        <w:rPr>
          <w:sz w:val="20"/>
          <w:szCs w:val="20"/>
          <w:color w:val="auto"/>
        </w:rPr>
      </w:pPr>
    </w:p>
    <w:p>
      <w:pPr>
        <w:ind w:left="220" w:right="120"/>
        <w:spacing w:after="0" w:line="245" w:lineRule="auto"/>
        <w:rPr>
          <w:sz w:val="20"/>
          <w:szCs w:val="20"/>
          <w:color w:val="auto"/>
        </w:rPr>
      </w:pPr>
      <w:r>
        <w:rPr>
          <w:rFonts w:ascii="Arial" w:cs="Arial" w:eastAsia="Arial" w:hAnsi="Arial"/>
          <w:sz w:val="17"/>
          <w:szCs w:val="17"/>
          <w:color w:val="auto"/>
        </w:rPr>
        <w:t xml:space="preserve">In the election of directors, each nominee must receive more “FOR” votes than “AGAINST” votes in order to be elected as a director. Instructions to “ABSTAIN” and broker non-votes will have no effect on the election of directors. </w:t>
      </w:r>
      <w:r>
        <w:rPr>
          <w:rFonts w:ascii="Arial" w:cs="Arial" w:eastAsia="Arial" w:hAnsi="Arial"/>
          <w:sz w:val="17"/>
          <w:szCs w:val="17"/>
          <w:b w:val="1"/>
          <w:bCs w:val="1"/>
          <w:i w:val="1"/>
          <w:iCs w:val="1"/>
          <w:color w:val="auto"/>
        </w:rPr>
        <w:t>Your broker or nominee will not be permitted to vote 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the election of directors without instructions from the beneficial owner. As a result, if you hold your shares through a broker or nominee, they will not be voted in the election of directors unless you affirmatively vote your shares in accordance with the voting instructions provided by that institution.</w:t>
      </w:r>
    </w:p>
    <w:p>
      <w:pPr>
        <w:spacing w:after="0" w:line="54" w:lineRule="exact"/>
        <w:rPr>
          <w:sz w:val="20"/>
          <w:szCs w:val="20"/>
          <w:color w:val="auto"/>
        </w:rPr>
      </w:pPr>
    </w:p>
    <w:p>
      <w:pPr>
        <w:ind w:left="220" w:right="60"/>
        <w:spacing w:after="0"/>
        <w:rPr>
          <w:sz w:val="20"/>
          <w:szCs w:val="20"/>
          <w:color w:val="auto"/>
        </w:rPr>
      </w:pPr>
      <w:r>
        <w:rPr>
          <w:rFonts w:ascii="Arial" w:cs="Arial" w:eastAsia="Arial" w:hAnsi="Arial"/>
          <w:sz w:val="17"/>
          <w:szCs w:val="17"/>
          <w:color w:val="auto"/>
        </w:rPr>
        <w:t>For ratification of the appointment of Ernst &amp; Young LLP as the Company’s independent registered public accounting firm, the affirmative vote of the holders of a majority of the shares of Class A common stock present in person or represented by proxy and entitled to vote on the item will be required for approval. Instructions to “ABSTAIN” with respect to this item will be counted for purposes of determining the number of shares represented and entitled to vote. Accordingly, an abstention will have the effect of a vote “AGAINST” this item. Your broker or nominee will be permitted to vote on this item without instructions from the beneficial owner. Broker non-votes, to the extent there are any, will not have any effect on the outcome of votes for this item.</w:t>
      </w:r>
    </w:p>
    <w:p>
      <w:pPr>
        <w:spacing w:after="0" w:line="68" w:lineRule="exact"/>
        <w:rPr>
          <w:sz w:val="20"/>
          <w:szCs w:val="20"/>
          <w:color w:val="auto"/>
        </w:rPr>
      </w:pPr>
    </w:p>
    <w:p>
      <w:pPr>
        <w:ind w:left="220"/>
        <w:spacing w:after="0" w:line="236" w:lineRule="auto"/>
        <w:rPr>
          <w:sz w:val="20"/>
          <w:szCs w:val="20"/>
          <w:color w:val="auto"/>
        </w:rPr>
      </w:pPr>
      <w:r>
        <w:rPr>
          <w:rFonts w:ascii="Arial" w:cs="Arial" w:eastAsia="Arial" w:hAnsi="Arial"/>
          <w:sz w:val="17"/>
          <w:szCs w:val="17"/>
          <w:color w:val="auto"/>
        </w:rPr>
        <w:t xml:space="preserve">For approval of (i) the advisory vote to approve executive compensation; (ii) the stockholder resolution to allow holders of 15% of Company stock to call special meetings; and (iii) the stockholder resolution recommending implementation of a simple majority voting standard in our governance documents, the affirmative vote of the holders of a majority of the shares of Class A common stock present in person or represented by proxy and entitled to vote on the items will be required for approval. For approval of the amendments to the Company’s Certificate and Bylaws to provide 25% of stockholders the right to call special meetings, the affirmative vote of 66 and 2/3% of the shares of Class A common stock outstanding and entitled to vote will be required for approval. </w:t>
      </w:r>
      <w:r>
        <w:rPr>
          <w:rFonts w:ascii="Arial" w:cs="Arial" w:eastAsia="Arial" w:hAnsi="Arial"/>
          <w:sz w:val="17"/>
          <w:szCs w:val="17"/>
          <w:b w:val="1"/>
          <w:bCs w:val="1"/>
          <w:i w:val="1"/>
          <w:iCs w:val="1"/>
          <w:color w:val="auto"/>
        </w:rPr>
        <w:t>Your broker or nominee will not be permitted to vote on these items without instructions from</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 xml:space="preserve">the beneficial owner. As a result, if you hold your shares through a broker or nominee, they will not be voted to approve any of these items unless you affirmatively vote your shares on these items in accordance with the voting instructions provided by that institution. </w:t>
      </w:r>
      <w:r>
        <w:rPr>
          <w:rFonts w:ascii="Arial" w:cs="Arial" w:eastAsia="Arial" w:hAnsi="Arial"/>
          <w:sz w:val="17"/>
          <w:szCs w:val="17"/>
          <w:color w:val="auto"/>
        </w:rPr>
        <w:t>Instructions to “ABSTAIN” with respect to these four items will be counted for purposes of determining the number of shares represented and entitled to vote. Accordingly, an abstention will have the effect of a vote “AGAINST” these items. Broker non-votes will not have any effect on the outcome of votes for these items.</w:t>
      </w:r>
    </w:p>
    <w:p>
      <w:pPr>
        <w:spacing w:after="0" w:line="280"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Who will count the vote?</w:t>
      </w:r>
    </w:p>
    <w:p>
      <w:pPr>
        <w:spacing w:after="0" w:line="104" w:lineRule="exact"/>
        <w:rPr>
          <w:sz w:val="20"/>
          <w:szCs w:val="20"/>
          <w:color w:val="auto"/>
        </w:rPr>
      </w:pPr>
    </w:p>
    <w:p>
      <w:pPr>
        <w:ind w:left="220" w:right="540"/>
        <w:spacing w:after="0" w:line="274" w:lineRule="auto"/>
        <w:rPr>
          <w:sz w:val="20"/>
          <w:szCs w:val="20"/>
          <w:color w:val="auto"/>
        </w:rPr>
      </w:pPr>
      <w:r>
        <w:rPr>
          <w:rFonts w:ascii="Arial" w:cs="Arial" w:eastAsia="Arial" w:hAnsi="Arial"/>
          <w:sz w:val="17"/>
          <w:szCs w:val="17"/>
          <w:color w:val="auto"/>
        </w:rPr>
        <w:t>Representatives of Computershare Investor Services, our independent stock transfer agent, will count the votes and act as the inspector of election.</w:t>
      </w:r>
    </w:p>
    <w:p>
      <w:pPr>
        <w:spacing w:after="0" w:line="249"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What shares are included on my proxy card(s)?</w:t>
      </w:r>
    </w:p>
    <w:p>
      <w:pPr>
        <w:spacing w:after="0" w:line="104" w:lineRule="exact"/>
        <w:rPr>
          <w:sz w:val="20"/>
          <w:szCs w:val="20"/>
          <w:color w:val="auto"/>
        </w:rPr>
      </w:pPr>
    </w:p>
    <w:p>
      <w:pPr>
        <w:ind w:left="220" w:right="40"/>
        <w:spacing w:after="0" w:line="239" w:lineRule="auto"/>
        <w:rPr>
          <w:sz w:val="20"/>
          <w:szCs w:val="20"/>
          <w:color w:val="auto"/>
        </w:rPr>
      </w:pPr>
      <w:r>
        <w:rPr>
          <w:rFonts w:ascii="Arial" w:cs="Arial" w:eastAsia="Arial" w:hAnsi="Arial"/>
          <w:sz w:val="17"/>
          <w:szCs w:val="17"/>
          <w:color w:val="auto"/>
        </w:rPr>
        <w:t>The shares on your proxy card(s) represent ALL of your shares of Class A common stock that the Company’s stock transfer records indicate that you hold, including (i) any shares you may hold through the Computershare Investor Services Program for Marriott International, Inc. Stockholders administered by Computershare Investor Services; (ii) if you are participant in the Marriott Retirement Savings Plan, any shares that may be held for your account by The Northern Trust Company as the plan’s custodian, and (iii) if you are a participant in the Starwood Savings and Retirement Plan, any shares that may be held for your account by State Street Bank &amp; Trust Company. Shares that you hold in “street name” through a broker or other nominee are not included on the proxy card(s) furnished by the Company, but the institution will provide you with a voting instruction form.</w:t>
      </w:r>
    </w:p>
    <w:p>
      <w:pPr>
        <w:spacing w:after="0" w:line="277"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What does it mean if I receive more than one proxy card?</w:t>
      </w:r>
    </w:p>
    <w:p>
      <w:pPr>
        <w:spacing w:after="0" w:line="104" w:lineRule="exact"/>
        <w:rPr>
          <w:sz w:val="20"/>
          <w:szCs w:val="20"/>
          <w:color w:val="auto"/>
        </w:rPr>
      </w:pPr>
    </w:p>
    <w:p>
      <w:pPr>
        <w:ind w:left="220" w:right="120"/>
        <w:spacing w:after="0" w:line="246" w:lineRule="auto"/>
        <w:rPr>
          <w:sz w:val="20"/>
          <w:szCs w:val="20"/>
          <w:color w:val="auto"/>
        </w:rPr>
      </w:pPr>
      <w:r>
        <w:rPr>
          <w:rFonts w:ascii="Arial" w:cs="Arial" w:eastAsia="Arial" w:hAnsi="Arial"/>
          <w:sz w:val="17"/>
          <w:szCs w:val="17"/>
          <w:color w:val="auto"/>
        </w:rPr>
        <w:t>If your shares are registered under different names or are held in more than one account, you may receive more than one proxy card. In order to vote all your shares, please sign and return all proxy cards, or if you choose, vote by telephone or through the Internet using the personal identification number printed on each proxy card. We encourage you to have all accounts registered in the same name and address (whenever possible). You can accomplish this by contacting our transfer agent, Computershare Investor Services, at (800) 311-4816.</w:t>
      </w:r>
    </w:p>
    <w:p>
      <w:pPr>
        <w:spacing w:after="0" w:line="107" w:lineRule="exact"/>
        <w:rPr>
          <w:sz w:val="20"/>
          <w:szCs w:val="20"/>
          <w:color w:val="auto"/>
        </w:rPr>
      </w:pPr>
    </w:p>
    <w:p>
      <w:pPr>
        <w:ind w:left="540" w:hanging="330"/>
        <w:spacing w:after="0"/>
        <w:tabs>
          <w:tab w:leader="none" w:pos="540" w:val="left"/>
        </w:tabs>
        <w:numPr>
          <w:ilvl w:val="0"/>
          <w:numId w:val="137"/>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20"/>
          </w:cols>
          <w:pgMar w:left="240" w:top="455" w:right="4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Questions and Answers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How will voting on any other business be conducted?</w:t>
      </w:r>
    </w:p>
    <w:p>
      <w:pPr>
        <w:spacing w:after="0" w:line="104" w:lineRule="exact"/>
        <w:rPr>
          <w:sz w:val="20"/>
          <w:szCs w:val="20"/>
          <w:color w:val="auto"/>
        </w:rPr>
      </w:pPr>
    </w:p>
    <w:p>
      <w:pPr>
        <w:ind w:left="220" w:right="100"/>
        <w:spacing w:after="0" w:line="253" w:lineRule="auto"/>
        <w:rPr>
          <w:sz w:val="20"/>
          <w:szCs w:val="20"/>
          <w:color w:val="auto"/>
        </w:rPr>
      </w:pPr>
      <w:r>
        <w:rPr>
          <w:rFonts w:ascii="Arial" w:cs="Arial" w:eastAsia="Arial" w:hAnsi="Arial"/>
          <w:sz w:val="17"/>
          <w:szCs w:val="17"/>
          <w:color w:val="auto"/>
        </w:rPr>
        <w:t>Although we currently do not know of any business to be considered at the 2018 annual meeting other than the proposals described in this proxy statement, if any other business is properly presented at the annual meeting, your proxy gives authority to J.W. Marriott, Jr. and/or Arne M. Sorenson (with full power of substitution) to vote on such matters at their discretion.</w:t>
      </w:r>
    </w:p>
    <w:p>
      <w:pPr>
        <w:spacing w:after="0" w:line="266"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When are stockholder proposals for the 2019 annual meeting of stockholders due?</w:t>
      </w:r>
    </w:p>
    <w:p>
      <w:pPr>
        <w:spacing w:after="0" w:line="104" w:lineRule="exact"/>
        <w:rPr>
          <w:sz w:val="20"/>
          <w:szCs w:val="20"/>
          <w:color w:val="auto"/>
        </w:rPr>
      </w:pPr>
    </w:p>
    <w:p>
      <w:pPr>
        <w:ind w:left="220" w:right="60"/>
        <w:spacing w:after="0" w:line="246" w:lineRule="auto"/>
        <w:rPr>
          <w:sz w:val="20"/>
          <w:szCs w:val="20"/>
          <w:color w:val="auto"/>
        </w:rPr>
      </w:pPr>
      <w:r>
        <w:rPr>
          <w:rFonts w:ascii="Arial" w:cs="Arial" w:eastAsia="Arial" w:hAnsi="Arial"/>
          <w:sz w:val="17"/>
          <w:szCs w:val="17"/>
          <w:color w:val="auto"/>
        </w:rPr>
        <w:t>To be considered for inclusion in our proxy statement for the 2019 annual meeting of stockholders, stockholder proposals must be received at our offices no later than the close of business on December 5, 2018. Proposals must comply with Rule 14a-8 under the Exchange Act, and must be submitted in writing to the Corporate Secretary, Marriott International, Inc., Department 52/862, 10400 Fernwood Road, Bethesda, Maryland 20817.</w:t>
      </w:r>
    </w:p>
    <w:p>
      <w:pPr>
        <w:spacing w:after="0" w:line="62" w:lineRule="exact"/>
        <w:rPr>
          <w:sz w:val="20"/>
          <w:szCs w:val="20"/>
          <w:color w:val="auto"/>
        </w:rPr>
      </w:pPr>
    </w:p>
    <w:p>
      <w:pPr>
        <w:ind w:left="220" w:right="60"/>
        <w:spacing w:after="0" w:line="235" w:lineRule="auto"/>
        <w:rPr>
          <w:sz w:val="20"/>
          <w:szCs w:val="20"/>
          <w:color w:val="auto"/>
        </w:rPr>
      </w:pPr>
      <w:r>
        <w:rPr>
          <w:rFonts w:ascii="Arial" w:cs="Arial" w:eastAsia="Arial" w:hAnsi="Arial"/>
          <w:sz w:val="17"/>
          <w:szCs w:val="17"/>
          <w:color w:val="auto"/>
        </w:rPr>
        <w:t>In addition, our Bylaws require that, if a stockholder desires to introduce a stockholder proposal, other than a nomination for the election of directors, from the floor of the 2019 annual meeting of stockholders, notice of such proposal must be delivered in writing to the Company’s Secretary at the above address no earlier than the close of business on January 4, 2019 and no later than the close of business on February 3, 2019. However, if the 2019 annual meeting of stockholders is more than 30 days before or more than 70 days after the anniversary date of this year’s annual meeting, the stockholder’s notice must be delivered no earlier than the close of business on the 120th day prior to such annual meeting and no later than the close of business on the later of the 90th day prior to such meeting or the 10th day following the date on which public announcement of the meeting date is first made. If a stockholder desires to nominate a director from the floor of the 2019 annual meeting of stockholders, our Bylaws require that notice of such nomination be delivered in writing to the Company’s Secretary at the above address no later than February 3, 2019. However, in the event that the 2019 annual meeting of stockholders is more than 30 days before or more than 60 days after the anniversary date of this year’s annual meeting, the stockholder’s notice must be so delivered no later than the close of business on the seventh day following the date on which notice of such meeting is first given to stockholders. The notice of such written proposal or nomination must comply with our Bylaws. The Chairman of the meeting may refuse to acknowledge or introduce any stockholder proposal or nomination if notice thereof is not received within the applicable deadlines or does not comply with our Bylaws.</w:t>
      </w:r>
    </w:p>
    <w:p>
      <w:pPr>
        <w:spacing w:after="0" w:line="75" w:lineRule="exact"/>
        <w:rPr>
          <w:sz w:val="20"/>
          <w:szCs w:val="20"/>
          <w:color w:val="auto"/>
        </w:rPr>
      </w:pPr>
    </w:p>
    <w:p>
      <w:pPr>
        <w:ind w:left="220" w:right="20"/>
        <w:spacing w:after="0" w:line="238" w:lineRule="auto"/>
        <w:rPr>
          <w:sz w:val="20"/>
          <w:szCs w:val="20"/>
          <w:color w:val="auto"/>
        </w:rPr>
      </w:pPr>
      <w:r>
        <w:rPr>
          <w:rFonts w:ascii="Arial" w:cs="Arial" w:eastAsia="Arial" w:hAnsi="Arial"/>
          <w:sz w:val="17"/>
          <w:szCs w:val="17"/>
          <w:color w:val="auto"/>
        </w:rPr>
        <w:t>If a stockholder or group of stockholders wishes to nominate one or more director candidates to be included in the Company’s proxy statement for the 2019 annual meeting through the Company’s proxy access provision, the Company must receive proper written notice of the nomination not less than 120 or more than 150 days before the anniversary date that the definitive proxy statement was first released to stockholders in connection with the immediately preceding annual meeting, or between the close of business on November 5, 2018 and the close of business on December 5, 2018 for the 2019 annual meeting, and the nomination must otherwise comply with our Bylaws. However, in the event that the 2019 annual meeting of stockholders is more than 30 days before or after the anniversary date, the stockholder’s notice must be delivered no earlier than the close of business on the 150th day prior to such meeting and no later than the close of business on the 120th day prior to such meeting or the 10th day following the date on which public announcement of the meeting date is first made.</w:t>
      </w:r>
    </w:p>
    <w:p>
      <w:pPr>
        <w:spacing w:after="0" w:line="68" w:lineRule="exact"/>
        <w:rPr>
          <w:sz w:val="20"/>
          <w:szCs w:val="20"/>
          <w:color w:val="auto"/>
        </w:rPr>
      </w:pPr>
    </w:p>
    <w:p>
      <w:pPr>
        <w:ind w:left="220" w:right="120"/>
        <w:spacing w:after="0" w:line="246" w:lineRule="auto"/>
        <w:rPr>
          <w:sz w:val="20"/>
          <w:szCs w:val="20"/>
          <w:color w:val="auto"/>
        </w:rPr>
      </w:pPr>
      <w:r>
        <w:rPr>
          <w:rFonts w:ascii="Arial" w:cs="Arial" w:eastAsia="Arial" w:hAnsi="Arial"/>
          <w:sz w:val="17"/>
          <w:szCs w:val="17"/>
          <w:color w:val="auto"/>
        </w:rPr>
        <w:t xml:space="preserve">If a stockholder fails to meet these deadlines or satisfy the requirements of Rule 14a-4 under the Exchange Act, the proxies we solicit allow us to vote on such proposals as we deem appropriate. You can find a copy of our Bylaws in the Investor Relations section of the Company’s website </w:t>
      </w:r>
      <w:r>
        <w:rPr>
          <w:rFonts w:ascii="Arial" w:cs="Arial" w:eastAsia="Arial" w:hAnsi="Arial"/>
          <w:sz w:val="17"/>
          <w:szCs w:val="17"/>
          <w:u w:val="single" w:color="auto"/>
          <w:color w:val="auto"/>
        </w:rPr>
        <w:t>(www.marriott.com/investor)</w:t>
      </w:r>
      <w:r>
        <w:rPr>
          <w:rFonts w:ascii="Arial" w:cs="Arial" w:eastAsia="Arial" w:hAnsi="Arial"/>
          <w:sz w:val="17"/>
          <w:szCs w:val="17"/>
          <w:color w:val="auto"/>
        </w:rPr>
        <w:t xml:space="preserve"> by clicking on “Governance” and then “Documents &amp; Charters,” or you may obtain a copy by submitting a request to the Corporate Secretary, Marriott International, Inc., Department 52/862, 10400 Fernwood Road, Bethesda, Maryland 20817.</w:t>
      </w:r>
    </w:p>
    <w:p>
      <w:pPr>
        <w:spacing w:after="0" w:line="107" w:lineRule="exact"/>
        <w:rPr>
          <w:sz w:val="20"/>
          <w:szCs w:val="20"/>
          <w:color w:val="auto"/>
        </w:rPr>
      </w:pPr>
    </w:p>
    <w:tbl>
      <w:tblPr>
        <w:tblLayout w:type="fixed"/>
        <w:tblInd w:w="9180" w:type="dxa"/>
        <w:tblCellMar>
          <w:top w:w="0" w:type="dxa"/>
          <w:left w:w="0" w:type="dxa"/>
          <w:bottom w:w="0" w:type="dxa"/>
          <w:right w:w="0" w:type="dxa"/>
        </w:tblCellMar>
      </w:tblPr>
      <w:tr>
        <w:trPr>
          <w:trHeight w:val="214"/>
        </w:trPr>
        <w:tc>
          <w:tcPr>
            <w:tcW w:w="1660" w:type="dxa"/>
            <w:vAlign w:val="bottom"/>
          </w:tcPr>
          <w:p>
            <w:pPr>
              <w:spacing w:after="0"/>
              <w:rPr>
                <w:sz w:val="20"/>
                <w:szCs w:val="20"/>
                <w:color w:val="auto"/>
              </w:rPr>
            </w:pPr>
            <w:r>
              <w:rPr>
                <w:rFonts w:ascii="Arial" w:cs="Arial" w:eastAsia="Arial" w:hAnsi="Arial"/>
                <w:sz w:val="15"/>
                <w:szCs w:val="15"/>
                <w:color w:val="998C87"/>
              </w:rPr>
              <w:t>2018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69</w:t>
            </w:r>
          </w:p>
        </w:tc>
      </w:tr>
    </w:tbl>
    <w:p>
      <w:pPr>
        <w:sectPr>
          <w:pgSz w:w="11900" w:h="16838" w:orient="portrait"/>
          <w:cols w:equalWidth="0" w:num="1">
            <w:col w:w="11220"/>
          </w:cols>
          <w:pgMar w:left="240" w:top="455" w:right="4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Questions and Answers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Will there be a sign language interpreter at the meeting?</w:t>
      </w:r>
    </w:p>
    <w:p>
      <w:pPr>
        <w:spacing w:after="0" w:line="104" w:lineRule="exact"/>
        <w:rPr>
          <w:sz w:val="20"/>
          <w:szCs w:val="20"/>
          <w:color w:val="auto"/>
        </w:rPr>
      </w:pPr>
    </w:p>
    <w:p>
      <w:pPr>
        <w:ind w:left="220" w:right="140"/>
        <w:spacing w:after="0" w:line="253" w:lineRule="auto"/>
        <w:rPr>
          <w:sz w:val="20"/>
          <w:szCs w:val="20"/>
          <w:color w:val="auto"/>
        </w:rPr>
      </w:pPr>
      <w:r>
        <w:rPr>
          <w:rFonts w:ascii="Arial" w:cs="Arial" w:eastAsia="Arial" w:hAnsi="Arial"/>
          <w:sz w:val="17"/>
          <w:szCs w:val="17"/>
          <w:color w:val="auto"/>
        </w:rPr>
        <w:t>If you would like to have a sign language interpreter at the annual meeting, please send your request in writing to the Corporate Secretary, Marriott International, Inc., Department 52/862, 10400 Fernwood Road, Bethesda, Maryland 20817. We must receive your request no later than April 26, 2018.</w:t>
      </w:r>
    </w:p>
    <w:p>
      <w:pPr>
        <w:spacing w:after="0" w:line="266"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How much did this proxy solicitation cost and who paid that cost?</w:t>
      </w:r>
    </w:p>
    <w:p>
      <w:pPr>
        <w:spacing w:after="0" w:line="104" w:lineRule="exact"/>
        <w:rPr>
          <w:sz w:val="20"/>
          <w:szCs w:val="20"/>
          <w:color w:val="auto"/>
        </w:rPr>
      </w:pPr>
    </w:p>
    <w:p>
      <w:pPr>
        <w:ind w:left="220" w:right="40"/>
        <w:spacing w:after="0"/>
        <w:rPr>
          <w:sz w:val="20"/>
          <w:szCs w:val="20"/>
          <w:color w:val="auto"/>
        </w:rPr>
      </w:pPr>
      <w:r>
        <w:rPr>
          <w:rFonts w:ascii="Arial" w:cs="Arial" w:eastAsia="Arial" w:hAnsi="Arial"/>
          <w:sz w:val="17"/>
          <w:szCs w:val="17"/>
          <w:color w:val="auto"/>
        </w:rPr>
        <w:t>The Company paid for this proxy solicitation. We hired MacKenzie Partners, Inc. to assist in the distribution of proxy materials and solicitation of votes for an estimated fee of $18,500, plus reimbursement of certain out-of-pocket expenses. We also reimburse brokerage houses and other custodians, nominees, and fiduciaries for their reasonable out-of-pocket expenses for forwarding proxy and solicitation materials to stockholders. Proxies will be solicited by mail, telephone, or other means of communication. Our directors, officers and regular associates who are not specifically employed for proxy solicitation purposes and who will not receive any additional compensation for such activities may also solicit proxies.</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Can I receive future stockholder communications electronically through the Internet?</w:t>
      </w:r>
    </w:p>
    <w:p>
      <w:pPr>
        <w:spacing w:after="0" w:line="104" w:lineRule="exact"/>
        <w:rPr>
          <w:sz w:val="20"/>
          <w:szCs w:val="20"/>
          <w:color w:val="auto"/>
        </w:rPr>
      </w:pPr>
    </w:p>
    <w:p>
      <w:pPr>
        <w:ind w:left="220" w:right="440"/>
        <w:spacing w:after="0" w:line="274" w:lineRule="auto"/>
        <w:rPr>
          <w:sz w:val="20"/>
          <w:szCs w:val="20"/>
          <w:color w:val="auto"/>
        </w:rPr>
      </w:pPr>
      <w:r>
        <w:rPr>
          <w:rFonts w:ascii="Arial" w:cs="Arial" w:eastAsia="Arial" w:hAnsi="Arial"/>
          <w:sz w:val="17"/>
          <w:szCs w:val="17"/>
          <w:color w:val="auto"/>
        </w:rPr>
        <w:t>Yes. You may elect to receive future notices of meetings, proxy materials, and annual reports electronically through the Internet. If you have previously consented to electronic delivery, your consent will remain in effect until withdrawn. To consent to electronic delivery:</w:t>
      </w:r>
    </w:p>
    <w:p>
      <w:pPr>
        <w:spacing w:after="0" w:line="53" w:lineRule="exact"/>
        <w:rPr>
          <w:sz w:val="20"/>
          <w:szCs w:val="20"/>
          <w:color w:val="auto"/>
        </w:rPr>
      </w:pPr>
    </w:p>
    <w:p>
      <w:pPr>
        <w:ind w:left="420" w:hanging="210"/>
        <w:spacing w:after="0" w:line="253" w:lineRule="auto"/>
        <w:tabs>
          <w:tab w:leader="none" w:pos="42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 xml:space="preserve">If your shares are registered in your own name, and not in “street name” through a broker or other nominee, simply log in to the Internet site maintained by our transfer agent, Computershare Investor Services, at </w:t>
      </w:r>
      <w:r>
        <w:rPr>
          <w:rFonts w:ascii="Arial" w:cs="Arial" w:eastAsia="Arial" w:hAnsi="Arial"/>
          <w:sz w:val="17"/>
          <w:szCs w:val="17"/>
          <w:u w:val="single" w:color="auto"/>
          <w:color w:val="auto"/>
        </w:rPr>
        <w:t>www.computershare.com/investor</w:t>
      </w:r>
      <w:r>
        <w:rPr>
          <w:rFonts w:ascii="Arial" w:cs="Arial" w:eastAsia="Arial" w:hAnsi="Arial"/>
          <w:sz w:val="17"/>
          <w:szCs w:val="17"/>
          <w:color w:val="auto"/>
        </w:rPr>
        <w:t xml:space="preserve"> and the step-by-step instructions will prompt you through enrollment.</w:t>
      </w:r>
    </w:p>
    <w:p>
      <w:pPr>
        <w:spacing w:after="0" w:line="69" w:lineRule="exact"/>
        <w:rPr>
          <w:rFonts w:ascii="Arial" w:cs="Arial" w:eastAsia="Arial" w:hAnsi="Arial"/>
          <w:sz w:val="17"/>
          <w:szCs w:val="17"/>
          <w:color w:val="auto"/>
        </w:rPr>
      </w:pPr>
    </w:p>
    <w:p>
      <w:pPr>
        <w:ind w:left="420" w:right="40" w:hanging="210"/>
        <w:spacing w:after="0" w:line="274" w:lineRule="auto"/>
        <w:tabs>
          <w:tab w:leader="none" w:pos="42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 xml:space="preserve">If your shares are registered in “street name” through a broker or other nominee, you must first vote your shares using the Internet, at </w:t>
      </w:r>
      <w:r>
        <w:rPr>
          <w:rFonts w:ascii="Arial" w:cs="Arial" w:eastAsia="Arial" w:hAnsi="Arial"/>
          <w:sz w:val="17"/>
          <w:szCs w:val="17"/>
          <w:u w:val="single" w:color="auto"/>
          <w:color w:val="auto"/>
        </w:rPr>
        <w:t>www.proxyvote.com</w:t>
      </w:r>
      <w:r>
        <w:rPr>
          <w:rFonts w:ascii="Arial" w:cs="Arial" w:eastAsia="Arial" w:hAnsi="Arial"/>
          <w:sz w:val="17"/>
          <w:szCs w:val="17"/>
          <w:color w:val="auto"/>
        </w:rPr>
        <w:t>, and immediately after voting, fill out the consent form that appears on-screen at the end of the Internet voting procedure.</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You may withdraw this consent at any time and resume receiving stockholder communications in print form.</w:t>
      </w:r>
    </w:p>
    <w:p>
      <w:pPr>
        <w:spacing w:after="0" w:line="147" w:lineRule="exact"/>
        <w:rPr>
          <w:sz w:val="20"/>
          <w:szCs w:val="20"/>
          <w:color w:val="auto"/>
        </w:rPr>
      </w:pPr>
    </w:p>
    <w:p>
      <w:pPr>
        <w:ind w:left="540" w:hanging="330"/>
        <w:spacing w:after="0"/>
        <w:tabs>
          <w:tab w:leader="none" w:pos="540" w:val="left"/>
        </w:tabs>
        <w:numPr>
          <w:ilvl w:val="0"/>
          <w:numId w:val="139"/>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160"/>
          </w:cols>
          <w:pgMar w:left="240" w:top="455" w:right="49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Householding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25"/>
          <w:szCs w:val="25"/>
          <w:color w:val="998C87"/>
        </w:rPr>
        <w:t>HOUSEHOLDING</w:t>
      </w:r>
    </w:p>
    <w:p>
      <w:pPr>
        <w:spacing w:after="0" w:line="120" w:lineRule="exact"/>
        <w:rPr>
          <w:sz w:val="20"/>
          <w:szCs w:val="20"/>
          <w:color w:val="auto"/>
        </w:rPr>
      </w:pPr>
    </w:p>
    <w:p>
      <w:pPr>
        <w:ind w:left="220" w:right="20"/>
        <w:spacing w:after="0" w:line="235" w:lineRule="auto"/>
        <w:rPr>
          <w:sz w:val="20"/>
          <w:szCs w:val="20"/>
          <w:color w:val="auto"/>
        </w:rPr>
      </w:pPr>
      <w:r>
        <w:rPr>
          <w:rFonts w:ascii="Arial" w:cs="Arial" w:eastAsia="Arial" w:hAnsi="Arial"/>
          <w:sz w:val="17"/>
          <w:szCs w:val="17"/>
          <w:color w:val="auto"/>
        </w:rPr>
        <w:t>The SEC allows us to deliver a single proxy statement and annual report to an address shared by two or more of our stockholders. This delivery method, referred to as “householding,” can result in significant cost savings for us. In order to take advantage of this opportunity, the Company and banks and brokerage firms that hold your shares have delivered only one proxy statement and annual report to multiple stockholders who share an address unless one or more of the stockholders has provided contrary instructions. The Company will deliver promptly, upon written or oral request, a separate copy of the proxy statement and annual report to a stockholder at a shared address to which a single copy of the documents was delivered. A stockholder who wishes to receive a separate copy of the proxy statement and annual report, now or in the future, may obtain one, without charge, by addressing a request to the Corporate Secretary, Marriott International, Inc., Dept. 52/862, 10400 Fernwood Road, Bethesda, Maryland 20817 or by calling (301) 380-6601. You may also obtain a copy of the proxy statement and annual report from the Company’s website (</w:t>
      </w:r>
      <w:r>
        <w:rPr>
          <w:rFonts w:ascii="Arial" w:cs="Arial" w:eastAsia="Arial" w:hAnsi="Arial"/>
          <w:sz w:val="17"/>
          <w:szCs w:val="17"/>
          <w:u w:val="single" w:color="auto"/>
          <w:color w:val="auto"/>
        </w:rPr>
        <w:t>www.marriott.com/investor</w:t>
      </w:r>
      <w:r>
        <w:rPr>
          <w:rFonts w:ascii="Arial" w:cs="Arial" w:eastAsia="Arial" w:hAnsi="Arial"/>
          <w:sz w:val="17"/>
          <w:szCs w:val="17"/>
          <w:color w:val="auto"/>
        </w:rPr>
        <w:t>) by clicking on “SEC Filings.” Stockholders of record sharing an address who are receiving multiple copies of proxy materials and annual reports and wish to receive a single copy of such materials in the future should submit their request by contacting us in the same manner. If you are the beneficial owner, but not the record holder, of the Company’s shares and wish to receive only one copy of the proxy statement and annual report in the future, you will need to contact your broker, bank or other nominee to request that only a single copy of each document be mailed to all stockholders at the shared address in the future.</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25"/>
          <w:szCs w:val="25"/>
          <w:color w:val="998C87"/>
        </w:rPr>
        <w:t>OTHER MATTERS</w:t>
      </w:r>
    </w:p>
    <w:p>
      <w:pPr>
        <w:spacing w:after="0" w:line="120" w:lineRule="exact"/>
        <w:rPr>
          <w:sz w:val="20"/>
          <w:szCs w:val="20"/>
          <w:color w:val="auto"/>
        </w:rPr>
      </w:pPr>
    </w:p>
    <w:p>
      <w:pPr>
        <w:ind w:left="220" w:right="320"/>
        <w:spacing w:after="0" w:line="253" w:lineRule="auto"/>
        <w:rPr>
          <w:sz w:val="20"/>
          <w:szCs w:val="20"/>
          <w:color w:val="auto"/>
        </w:rPr>
      </w:pPr>
      <w:r>
        <w:rPr>
          <w:rFonts w:ascii="Arial" w:cs="Arial" w:eastAsia="Arial" w:hAnsi="Arial"/>
          <w:sz w:val="17"/>
          <w:szCs w:val="17"/>
          <w:color w:val="auto"/>
        </w:rPr>
        <w:t>The Company’s management knows of no other matters that may be presented for consideration at the 2018 annual meeting. However, if any other matters properly come before the annual meeting, the persons named in the proxy intend to vote such proxy in accordance with their judgment on such matters.</w:t>
      </w:r>
    </w:p>
    <w:p>
      <w:pPr>
        <w:spacing w:after="0" w:line="54" w:lineRule="exact"/>
        <w:rPr>
          <w:sz w:val="20"/>
          <w:szCs w:val="20"/>
          <w:color w:val="auto"/>
        </w:rPr>
      </w:pPr>
    </w:p>
    <w:p>
      <w:pPr>
        <w:ind w:left="220" w:right="220"/>
        <w:spacing w:after="0" w:line="277" w:lineRule="auto"/>
        <w:rPr>
          <w:sz w:val="20"/>
          <w:szCs w:val="20"/>
          <w:color w:val="auto"/>
        </w:rPr>
      </w:pPr>
      <w:r>
        <w:rPr>
          <w:rFonts w:ascii="Arial" w:cs="Arial" w:eastAsia="Arial" w:hAnsi="Arial"/>
          <w:sz w:val="17"/>
          <w:szCs w:val="17"/>
          <w:b w:val="1"/>
          <w:bCs w:val="1"/>
          <w:color w:val="auto"/>
        </w:rPr>
        <w:t xml:space="preserve">Important Notice Regarding the Availability of Proxy Materials for the Annual Meeting of Stockholders: </w:t>
      </w:r>
      <w:r>
        <w:rPr>
          <w:rFonts w:ascii="Arial" w:cs="Arial" w:eastAsia="Arial" w:hAnsi="Arial"/>
          <w:sz w:val="17"/>
          <w:szCs w:val="17"/>
          <w:color w:val="auto"/>
        </w:rPr>
        <w:t>The proxy statement and annual</w:t>
      </w:r>
      <w:r>
        <w:rPr>
          <w:rFonts w:ascii="Arial" w:cs="Arial" w:eastAsia="Arial" w:hAnsi="Arial"/>
          <w:sz w:val="17"/>
          <w:szCs w:val="17"/>
          <w:b w:val="1"/>
          <w:bCs w:val="1"/>
          <w:color w:val="auto"/>
        </w:rPr>
        <w:t xml:space="preserve"> </w:t>
      </w:r>
      <w:r>
        <w:rPr>
          <w:rFonts w:ascii="Arial" w:cs="Arial" w:eastAsia="Arial" w:hAnsi="Arial"/>
          <w:sz w:val="17"/>
          <w:szCs w:val="17"/>
          <w:color w:val="auto"/>
        </w:rPr>
        <w:t>report to stockholders are available at www.envisionreports.com/MAR.</w:t>
      </w:r>
    </w:p>
    <w:p>
      <w:pPr>
        <w:spacing w:after="0" w:line="34" w:lineRule="exact"/>
        <w:rPr>
          <w:sz w:val="20"/>
          <w:szCs w:val="20"/>
          <w:color w:val="auto"/>
        </w:rPr>
      </w:pPr>
    </w:p>
    <w:p>
      <w:pPr>
        <w:ind w:left="220" w:right="100"/>
        <w:spacing w:after="0" w:line="251" w:lineRule="auto"/>
        <w:rPr>
          <w:sz w:val="20"/>
          <w:szCs w:val="20"/>
          <w:color w:val="auto"/>
        </w:rPr>
      </w:pPr>
      <w:r>
        <w:rPr>
          <w:rFonts w:ascii="Arial" w:cs="Arial" w:eastAsia="Arial" w:hAnsi="Arial"/>
          <w:sz w:val="17"/>
          <w:szCs w:val="17"/>
          <w:b w:val="1"/>
          <w:bCs w:val="1"/>
          <w:color w:val="auto"/>
        </w:rPr>
        <w:t>Any stockholder who would like a copy of our 2017 Annual Report on Form 10-K may obtain one, without charge, by addressing a request to the Corporate Secretary, Marriott International, Inc., Dept. 52/862, 10400 Fernwood Road, Bethesda, Maryland 20817. The Company’s copying costs will be charged if copies of exhibits to the Form 10-K are requested. You may also obtain a copy of the Form 10-K, including exhibits, from the investor relations portion of our website (</w:t>
      </w:r>
      <w:r>
        <w:rPr>
          <w:rFonts w:ascii="Arial" w:cs="Arial" w:eastAsia="Arial" w:hAnsi="Arial"/>
          <w:sz w:val="17"/>
          <w:szCs w:val="17"/>
          <w:b w:val="1"/>
          <w:bCs w:val="1"/>
          <w:u w:val="single" w:color="auto"/>
          <w:color w:val="auto"/>
        </w:rPr>
        <w:t>www.marriott.com/investor</w:t>
      </w:r>
      <w:r>
        <w:rPr>
          <w:rFonts w:ascii="Arial" w:cs="Arial" w:eastAsia="Arial" w:hAnsi="Arial"/>
          <w:sz w:val="17"/>
          <w:szCs w:val="17"/>
          <w:b w:val="1"/>
          <w:bCs w:val="1"/>
          <w:color w:val="auto"/>
        </w:rPr>
        <w:t>) by clicking on “SEC Filings.”</w:t>
      </w:r>
    </w:p>
    <w:p>
      <w:pPr>
        <w:spacing w:after="0" w:line="182" w:lineRule="exact"/>
        <w:rPr>
          <w:sz w:val="20"/>
          <w:szCs w:val="20"/>
          <w:color w:val="auto"/>
        </w:rPr>
      </w:pPr>
    </w:p>
    <w:p>
      <w:pPr>
        <w:ind w:left="6820"/>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4330700</wp:posOffset>
            </wp:positionH>
            <wp:positionV relativeFrom="paragraph">
              <wp:posOffset>90805</wp:posOffset>
            </wp:positionV>
            <wp:extent cx="1644650" cy="6597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64465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820"/>
        <w:spacing w:after="0"/>
        <w:rPr>
          <w:sz w:val="20"/>
          <w:szCs w:val="20"/>
          <w:color w:val="auto"/>
        </w:rPr>
      </w:pPr>
      <w:r>
        <w:rPr>
          <w:rFonts w:ascii="Arial" w:cs="Arial" w:eastAsia="Arial" w:hAnsi="Arial"/>
          <w:sz w:val="17"/>
          <w:szCs w:val="17"/>
          <w:color w:val="auto"/>
        </w:rPr>
        <w:t>Bancroft S. Gordon</w:t>
      </w:r>
    </w:p>
    <w:p>
      <w:pPr>
        <w:spacing w:after="0" w:line="15" w:lineRule="exact"/>
        <w:rPr>
          <w:sz w:val="20"/>
          <w:szCs w:val="20"/>
          <w:color w:val="auto"/>
        </w:rPr>
      </w:pPr>
    </w:p>
    <w:p>
      <w:pPr>
        <w:ind w:left="6820"/>
        <w:spacing w:after="0"/>
        <w:rPr>
          <w:sz w:val="20"/>
          <w:szCs w:val="20"/>
          <w:color w:val="auto"/>
        </w:rPr>
      </w:pPr>
      <w:r>
        <w:rPr>
          <w:rFonts w:ascii="Arial" w:cs="Arial" w:eastAsia="Arial" w:hAnsi="Arial"/>
          <w:sz w:val="17"/>
          <w:szCs w:val="17"/>
          <w:i w:val="1"/>
          <w:iCs w:val="1"/>
          <w:color w:val="auto"/>
        </w:rPr>
        <w:t>Secretary</w:t>
      </w:r>
    </w:p>
    <w:p>
      <w:pPr>
        <w:spacing w:after="0" w:line="125" w:lineRule="exact"/>
        <w:rPr>
          <w:sz w:val="20"/>
          <w:szCs w:val="20"/>
          <w:color w:val="auto"/>
        </w:rPr>
      </w:pPr>
    </w:p>
    <w:tbl>
      <w:tblPr>
        <w:tblLayout w:type="fixed"/>
        <w:tblInd w:w="9180" w:type="dxa"/>
        <w:tblCellMar>
          <w:top w:w="0" w:type="dxa"/>
          <w:left w:w="0" w:type="dxa"/>
          <w:bottom w:w="0" w:type="dxa"/>
          <w:right w:w="0" w:type="dxa"/>
        </w:tblCellMar>
      </w:tblPr>
      <w:tr>
        <w:trPr>
          <w:trHeight w:val="214"/>
        </w:trPr>
        <w:tc>
          <w:tcPr>
            <w:tcW w:w="1660" w:type="dxa"/>
            <w:vAlign w:val="bottom"/>
          </w:tcPr>
          <w:p>
            <w:pPr>
              <w:spacing w:after="0"/>
              <w:rPr>
                <w:sz w:val="20"/>
                <w:szCs w:val="20"/>
                <w:color w:val="auto"/>
              </w:rPr>
            </w:pPr>
            <w:r>
              <w:rPr>
                <w:rFonts w:ascii="Arial" w:cs="Arial" w:eastAsia="Arial" w:hAnsi="Arial"/>
                <w:sz w:val="15"/>
                <w:szCs w:val="15"/>
                <w:color w:val="998C87"/>
              </w:rPr>
              <w:t>2018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7F7F7F"/>
              </w:rPr>
              <w:t>71</w:t>
            </w:r>
          </w:p>
        </w:tc>
      </w:tr>
    </w:tbl>
    <w:p>
      <w:pPr>
        <w:sectPr>
          <w:pgSz w:w="11900" w:h="16838" w:orient="portrait"/>
          <w:cols w:equalWidth="0" w:num="1">
            <w:col w:w="11220"/>
          </w:cols>
          <w:pgMar w:left="240" w:top="455" w:right="43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25"/>
          <w:szCs w:val="25"/>
          <w:color w:val="998C87"/>
        </w:rPr>
        <w:t>Exhibit A</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Special Meeting Amendments Submitted for Stockholder Approval</w:t>
      </w:r>
    </w:p>
    <w:p>
      <w:pPr>
        <w:spacing w:after="0" w:line="104" w:lineRule="exact"/>
        <w:rPr>
          <w:sz w:val="20"/>
          <w:szCs w:val="20"/>
          <w:color w:val="auto"/>
        </w:rPr>
      </w:pPr>
    </w:p>
    <w:p>
      <w:pPr>
        <w:ind w:left="220"/>
        <w:spacing w:after="0" w:line="274" w:lineRule="auto"/>
        <w:rPr>
          <w:sz w:val="20"/>
          <w:szCs w:val="20"/>
          <w:color w:val="auto"/>
        </w:rPr>
      </w:pPr>
      <w:r>
        <w:rPr>
          <w:rFonts w:ascii="Arial" w:cs="Arial" w:eastAsia="Arial" w:hAnsi="Arial"/>
          <w:sz w:val="17"/>
          <w:szCs w:val="17"/>
          <w:color w:val="auto"/>
        </w:rPr>
        <w:t>Set forth below is the text of the Company’s Restated Certificate of Incorporation and Amended and Restated Bylaws proposed to be amended by Item 4. Proposed additions are indicated by double underlining, and proposed deletions are indicated by strike-outs.</w:t>
      </w:r>
    </w:p>
    <w:p>
      <w:pPr>
        <w:spacing w:after="0" w:line="168" w:lineRule="exact"/>
        <w:rPr>
          <w:sz w:val="20"/>
          <w:szCs w:val="20"/>
          <w:color w:val="auto"/>
        </w:rPr>
      </w:pPr>
    </w:p>
    <w:p>
      <w:pPr>
        <w:ind w:left="860" w:hanging="650"/>
        <w:spacing w:after="0"/>
        <w:tabs>
          <w:tab w:leader="none" w:pos="860" w:val="left"/>
        </w:tabs>
        <w:numPr>
          <w:ilvl w:val="0"/>
          <w:numId w:val="140"/>
        </w:numPr>
        <w:rPr>
          <w:rFonts w:ascii="Arial" w:cs="Arial" w:eastAsia="Arial" w:hAnsi="Arial"/>
          <w:sz w:val="22"/>
          <w:szCs w:val="22"/>
          <w:color w:val="7F7F7F"/>
        </w:rPr>
      </w:pPr>
      <w:r>
        <w:rPr>
          <w:rFonts w:ascii="Arial" w:cs="Arial" w:eastAsia="Arial" w:hAnsi="Arial"/>
          <w:sz w:val="22"/>
          <w:szCs w:val="22"/>
          <w:color w:val="7F7F7F"/>
        </w:rPr>
        <w:t>Proposed Amendments to the Restated Certificate of Incorporation</w:t>
      </w:r>
    </w:p>
    <w:p>
      <w:pPr>
        <w:spacing w:after="0" w:line="104" w:lineRule="exact"/>
        <w:rPr>
          <w:sz w:val="20"/>
          <w:szCs w:val="20"/>
          <w:color w:val="auto"/>
        </w:rPr>
      </w:pPr>
    </w:p>
    <w:p>
      <w:pPr>
        <w:ind w:left="220" w:right="20" w:firstLine="550"/>
        <w:spacing w:after="0" w:line="235" w:lineRule="auto"/>
        <w:rPr>
          <w:sz w:val="20"/>
          <w:szCs w:val="20"/>
          <w:color w:val="auto"/>
        </w:rPr>
      </w:pPr>
      <w:r>
        <w:rPr>
          <w:rFonts w:ascii="Arial" w:cs="Arial" w:eastAsia="Arial" w:hAnsi="Arial"/>
          <w:sz w:val="17"/>
          <w:szCs w:val="17"/>
          <w:u w:val="single" w:color="auto"/>
          <w:color w:val="auto"/>
        </w:rPr>
        <w:t>THIRTEENTH</w:t>
      </w:r>
      <w:r>
        <w:rPr>
          <w:rFonts w:ascii="Arial" w:cs="Arial" w:eastAsia="Arial" w:hAnsi="Arial"/>
          <w:sz w:val="17"/>
          <w:szCs w:val="17"/>
          <w:color w:val="auto"/>
        </w:rPr>
        <w:t xml:space="preserve">. Notwithstanding the provisions of Article TWELFTH, any action required or permitted to be taken by the stockholders of the corporation must be effected at a duly called annual or special meeting of such holders and may not be effected by any consent in writing by such holders. Except as otherwise required by law and subject to the rights of the holders of any class or series of stock having a preference over the Class A Common Stock as to dividends or upon liquidation, special meetings of stockholders of the corporation </w:t>
      </w:r>
      <w:r>
        <w:rPr>
          <w:rFonts w:ascii="Arial" w:cs="Arial" w:eastAsia="Arial" w:hAnsi="Arial"/>
          <w:sz w:val="17"/>
          <w:szCs w:val="17"/>
          <w:b w:val="1"/>
          <w:bCs w:val="1"/>
          <w:u w:val="single" w:color="auto"/>
          <w:color w:val="auto"/>
        </w:rPr>
        <w:t>(i)</w:t>
      </w:r>
      <w:r>
        <w:rPr>
          <w:rFonts w:ascii="Arial" w:cs="Arial" w:eastAsia="Arial" w:hAnsi="Arial"/>
          <w:sz w:val="17"/>
          <w:szCs w:val="17"/>
          <w:color w:val="auto"/>
        </w:rPr>
        <w:t xml:space="preserve"> may be called </w:t>
      </w:r>
      <w:r>
        <w:rPr>
          <w:rFonts w:ascii="Arial" w:cs="Arial" w:eastAsia="Arial" w:hAnsi="Arial"/>
          <w:sz w:val="17"/>
          <w:szCs w:val="17"/>
          <w:b w:val="1"/>
          <w:bCs w:val="1"/>
          <w:color w:val="auto"/>
          <w:strike w:val="1"/>
        </w:rPr>
        <w:t>only</w:t>
      </w:r>
      <w:r>
        <w:rPr>
          <w:rFonts w:ascii="Arial" w:cs="Arial" w:eastAsia="Arial" w:hAnsi="Arial"/>
          <w:sz w:val="17"/>
          <w:szCs w:val="17"/>
          <w:color w:val="auto"/>
        </w:rPr>
        <w:t xml:space="preserve"> by the board of directors pursuant to a resolution approved by a majority of the entire board of directors</w:t>
      </w:r>
      <w:r>
        <w:rPr>
          <w:rFonts w:ascii="Arial" w:cs="Arial" w:eastAsia="Arial" w:hAnsi="Arial"/>
          <w:sz w:val="17"/>
          <w:szCs w:val="17"/>
          <w:b w:val="1"/>
          <w:bCs w:val="1"/>
          <w:u w:val="single" w:color="auto"/>
          <w:color w:val="auto"/>
        </w:rPr>
        <w:t>, and (ii) shall</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strike w:val="1"/>
        </w:rPr>
        <w:t>be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called by the chairman of the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 xml:space="preserve">board of directors or the Secretary of the corporation upon the written request or requests of one or more persons that (a) Own (as </w:t>
      </w:r>
      <w:r>
        <w:rPr>
          <w:rFonts w:ascii="Arial" w:cs="Arial" w:eastAsia="Arial" w:hAnsi="Arial"/>
          <w:sz w:val="17"/>
          <w:szCs w:val="17"/>
          <w:b w:val="1"/>
          <w:bCs w:val="1"/>
          <w:u w:val="single" w:color="auto"/>
          <w:color w:val="auto"/>
          <w:strike w:val="1"/>
        </w:rPr>
        <w:t xml:space="preserve">such term is defined in the Bylaws of the corporation, as amended from time to time) shares representing at least 25% of the voting power of all outstanding shares of Class A Common Stock of the corporation that are entitled to vote on the matter or matters to be brought before the proposed special meeting at the time a request is delivered, and (b) comply with such other requirements and procedures for requesting a special meeting of stockholders as may be set forth in the Bylaws of the corporation and amended </w:t>
      </w:r>
      <w:r>
        <w:rPr>
          <w:rFonts w:ascii="Arial" w:cs="Arial" w:eastAsia="Arial" w:hAnsi="Arial"/>
          <w:sz w:val="17"/>
          <w:szCs w:val="17"/>
          <w:b w:val="1"/>
          <w:bCs w:val="1"/>
          <w:color w:val="auto"/>
          <w:strike w:val="1"/>
        </w:rPr>
        <w:t>fr</w:t>
      </w:r>
      <w:r>
        <w:rPr>
          <w:rFonts w:ascii="Arial" w:cs="Arial" w:eastAsia="Arial" w:hAnsi="Arial"/>
          <w:sz w:val="17"/>
          <w:szCs w:val="17"/>
          <w:b w:val="1"/>
          <w:bCs w:val="1"/>
          <w:u w:val="single" w:color="auto"/>
          <w:color w:val="auto"/>
          <w:strike w:val="1"/>
        </w:rPr>
        <w:t>om time to time. Except as otherwise required by law, and subject to the rights of the holders of any class or series of stock having a preference over the Class A Common Stock as to dividends or upon liquidation, special meetings of stockholders of the corporation may not be called by any other person or persons</w:t>
      </w:r>
      <w:r>
        <w:rPr>
          <w:rFonts w:ascii="Arial" w:cs="Arial" w:eastAsia="Arial" w:hAnsi="Arial"/>
          <w:sz w:val="17"/>
          <w:szCs w:val="17"/>
          <w:color w:val="auto"/>
          <w:strike w:val="1"/>
        </w:rPr>
        <w:t>. Notwithstanding anything contained in this Restated Certificate of Incorporation to the</w:t>
      </w:r>
      <w:r>
        <w:rPr>
          <w:rFonts w:ascii="Arial" w:cs="Arial" w:eastAsia="Arial" w:hAnsi="Arial"/>
          <w:sz w:val="17"/>
          <w:szCs w:val="17"/>
          <w:b w:val="1"/>
          <w:bCs w:val="1"/>
          <w:color w:val="auto"/>
          <w:strike w:val="1"/>
        </w:rPr>
        <w:t xml:space="preserve"> </w:t>
      </w:r>
      <w:r>
        <w:rPr>
          <w:rFonts w:ascii="Arial" w:cs="Arial" w:eastAsia="Arial" w:hAnsi="Arial"/>
          <w:sz w:val="17"/>
          <w:szCs w:val="17"/>
          <w:color w:val="auto"/>
          <w:strike w:val="1"/>
        </w:rPr>
        <w:t>contrary, the affirmative vote of the holders of at least 66 2/3% of the voting power of all the shares of the corporation entitled to vote generally in the election of directors, voting together as a single class, shall be required to alter, amend or adopt any provision inconsistent with or repeal this Article THIRTEENTH.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4742180</wp:posOffset>
            </wp:positionH>
            <wp:positionV relativeFrom="paragraph">
              <wp:posOffset>-1309370</wp:posOffset>
            </wp:positionV>
            <wp:extent cx="237299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372995" cy="825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-949325</wp:posOffset>
            </wp:positionV>
            <wp:extent cx="675830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758305" cy="825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-709930</wp:posOffset>
            </wp:positionV>
            <wp:extent cx="681863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18630" cy="825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-469900</wp:posOffset>
            </wp:positionV>
            <wp:extent cx="681863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18630" cy="8255"/>
                    </a:xfrm>
                    <a:prstGeom prst="rect">
                      <a:avLst/>
                    </a:prstGeom>
                    <a:noFill/>
                  </pic:spPr>
                </pic:pic>
              </a:graphicData>
            </a:graphic>
          </wp:anchor>
        </w:drawing>
      </w:r>
    </w:p>
    <w:p>
      <w:pPr>
        <w:spacing w:after="0" w:line="176" w:lineRule="exact"/>
        <w:rPr>
          <w:sz w:val="20"/>
          <w:szCs w:val="20"/>
          <w:color w:val="auto"/>
        </w:rPr>
      </w:pPr>
    </w:p>
    <w:p>
      <w:pPr>
        <w:ind w:left="860" w:hanging="650"/>
        <w:spacing w:after="0"/>
        <w:tabs>
          <w:tab w:leader="none" w:pos="860" w:val="left"/>
        </w:tabs>
        <w:numPr>
          <w:ilvl w:val="0"/>
          <w:numId w:val="141"/>
        </w:numPr>
        <w:rPr>
          <w:rFonts w:ascii="Arial" w:cs="Arial" w:eastAsia="Arial" w:hAnsi="Arial"/>
          <w:sz w:val="22"/>
          <w:szCs w:val="22"/>
          <w:color w:val="7F7F7F"/>
        </w:rPr>
      </w:pPr>
      <w:r>
        <w:rPr>
          <w:rFonts w:ascii="Arial" w:cs="Arial" w:eastAsia="Arial" w:hAnsi="Arial"/>
          <w:sz w:val="22"/>
          <w:szCs w:val="22"/>
          <w:color w:val="7F7F7F"/>
        </w:rPr>
        <w:t>Proposed Amendments to the Amended and Restated Bylaws</w:t>
      </w:r>
    </w:p>
    <w:p>
      <w:pPr>
        <w:spacing w:after="0" w:line="200" w:lineRule="exact"/>
        <w:rPr>
          <w:sz w:val="20"/>
          <w:szCs w:val="20"/>
          <w:color w:val="auto"/>
        </w:rPr>
      </w:pPr>
    </w:p>
    <w:p>
      <w:pPr>
        <w:spacing w:after="0" w:line="289" w:lineRule="exact"/>
        <w:rPr>
          <w:sz w:val="20"/>
          <w:szCs w:val="20"/>
          <w:color w:val="auto"/>
        </w:rPr>
      </w:pPr>
    </w:p>
    <w:p>
      <w:pPr>
        <w:ind w:left="220"/>
        <w:spacing w:after="0"/>
        <w:rPr>
          <w:sz w:val="20"/>
          <w:szCs w:val="20"/>
          <w:color w:val="auto"/>
        </w:rPr>
      </w:pPr>
      <w:r>
        <w:rPr>
          <w:rFonts w:ascii="Arial" w:cs="Arial" w:eastAsia="Arial" w:hAnsi="Arial"/>
          <w:sz w:val="22"/>
          <w:szCs w:val="22"/>
          <w:u w:val="single" w:color="auto"/>
          <w:color w:val="7F7F7F"/>
        </w:rPr>
        <w:t>ARTICLEIX</w:t>
      </w:r>
    </w:p>
    <w:p>
      <w:pPr>
        <w:spacing w:after="0" w:line="244" w:lineRule="exact"/>
        <w:rPr>
          <w:sz w:val="20"/>
          <w:szCs w:val="20"/>
          <w:color w:val="auto"/>
        </w:rPr>
      </w:pPr>
    </w:p>
    <w:p>
      <w:pPr>
        <w:ind w:left="220"/>
        <w:spacing w:after="0"/>
        <w:rPr>
          <w:sz w:val="20"/>
          <w:szCs w:val="20"/>
          <w:color w:val="auto"/>
        </w:rPr>
      </w:pPr>
      <w:r>
        <w:rPr>
          <w:rFonts w:ascii="Arial" w:cs="Arial" w:eastAsia="Arial" w:hAnsi="Arial"/>
          <w:sz w:val="18"/>
          <w:szCs w:val="18"/>
          <w:color w:val="7F7F7F"/>
        </w:rPr>
        <w:t>SHAREHOLDERACTION</w:t>
      </w:r>
    </w:p>
    <w:p>
      <w:pPr>
        <w:spacing w:after="0" w:line="206" w:lineRule="exact"/>
        <w:rPr>
          <w:sz w:val="20"/>
          <w:szCs w:val="20"/>
          <w:color w:val="auto"/>
        </w:rPr>
      </w:pPr>
    </w:p>
    <w:p>
      <w:pPr>
        <w:ind w:left="220" w:right="40"/>
        <w:spacing w:after="0" w:line="237" w:lineRule="auto"/>
        <w:rPr>
          <w:sz w:val="20"/>
          <w:szCs w:val="20"/>
          <w:color w:val="auto"/>
        </w:rPr>
      </w:pPr>
      <w:r>
        <w:rPr>
          <w:rFonts w:ascii="Arial" w:cs="Arial" w:eastAsia="Arial" w:hAnsi="Arial"/>
          <w:sz w:val="17"/>
          <w:szCs w:val="17"/>
          <w:color w:val="auto"/>
        </w:rPr>
        <w:t xml:space="preserve">Section 9.1 Any action required or permitted to be taken by the shareholders of the Corporation must be effected at a duly called annual or special meeting of such holders and may not be effected by any consent in writing by such holders. Except as otherwise required by law and subject to the rights of the holders of any class or series of stock having a preference over the </w:t>
      </w:r>
      <w:r>
        <w:rPr>
          <w:rFonts w:ascii="Arial" w:cs="Arial" w:eastAsia="Arial" w:hAnsi="Arial"/>
          <w:sz w:val="17"/>
          <w:szCs w:val="17"/>
          <w:b w:val="1"/>
          <w:bCs w:val="1"/>
          <w:u w:val="single" w:color="auto"/>
          <w:color w:val="auto"/>
        </w:rPr>
        <w:t>Class A</w:t>
      </w:r>
      <w:r>
        <w:rPr>
          <w:rFonts w:ascii="Arial" w:cs="Arial" w:eastAsia="Arial" w:hAnsi="Arial"/>
          <w:sz w:val="17"/>
          <w:szCs w:val="17"/>
          <w:color w:val="auto"/>
        </w:rPr>
        <w:t xml:space="preserve"> Common Stock as to dividends or upon liquidation, special meetings of shareholders of the Corporation </w:t>
      </w:r>
      <w:r>
        <w:rPr>
          <w:rFonts w:ascii="Arial" w:cs="Arial" w:eastAsia="Arial" w:hAnsi="Arial"/>
          <w:sz w:val="17"/>
          <w:szCs w:val="17"/>
          <w:b w:val="1"/>
          <w:bCs w:val="1"/>
          <w:u w:val="single" w:color="auto"/>
          <w:color w:val="auto"/>
        </w:rPr>
        <w:t>(i)</w:t>
      </w:r>
      <w:r>
        <w:rPr>
          <w:rFonts w:ascii="Arial" w:cs="Arial" w:eastAsia="Arial" w:hAnsi="Arial"/>
          <w:sz w:val="17"/>
          <w:szCs w:val="17"/>
          <w:color w:val="auto"/>
        </w:rPr>
        <w:t xml:space="preserve"> may be called </w:t>
      </w:r>
      <w:r>
        <w:rPr>
          <w:rFonts w:ascii="Arial" w:cs="Arial" w:eastAsia="Arial" w:hAnsi="Arial"/>
          <w:sz w:val="17"/>
          <w:szCs w:val="17"/>
          <w:b w:val="1"/>
          <w:bCs w:val="1"/>
          <w:color w:val="auto"/>
          <w:strike w:val="1"/>
        </w:rPr>
        <w:t>only</w:t>
      </w:r>
      <w:r>
        <w:rPr>
          <w:rFonts w:ascii="Arial" w:cs="Arial" w:eastAsia="Arial" w:hAnsi="Arial"/>
          <w:sz w:val="17"/>
          <w:szCs w:val="17"/>
          <w:color w:val="auto"/>
        </w:rPr>
        <w:t xml:space="preserve"> by the b</w:t>
      </w:r>
      <w:r>
        <w:rPr>
          <w:rFonts w:ascii="Arial" w:cs="Arial" w:eastAsia="Arial" w:hAnsi="Arial"/>
          <w:sz w:val="17"/>
          <w:szCs w:val="17"/>
          <w:color w:val="auto"/>
          <w:strike w:val="1"/>
        </w:rPr>
        <w:t>oard of</w:t>
      </w:r>
      <w:r>
        <w:rPr>
          <w:rFonts w:ascii="Arial" w:cs="Arial" w:eastAsia="Arial" w:hAnsi="Arial"/>
          <w:sz w:val="17"/>
          <w:szCs w:val="17"/>
          <w:color w:val="auto"/>
        </w:rPr>
        <w:t xml:space="preserve"> directors pursuant to a resolution approved by a majority of the entire board of directors</w:t>
      </w:r>
      <w:r>
        <w:rPr>
          <w:rFonts w:ascii="Arial" w:cs="Arial" w:eastAsia="Arial" w:hAnsi="Arial"/>
          <w:sz w:val="17"/>
          <w:szCs w:val="17"/>
          <w:b w:val="1"/>
          <w:bCs w:val="1"/>
          <w:u w:val="single" w:color="auto"/>
          <w:color w:val="auto"/>
        </w:rPr>
        <w:t>, and (ii) shall be c</w:t>
      </w:r>
      <w:r>
        <w:rPr>
          <w:rFonts w:ascii="Arial" w:cs="Arial" w:eastAsia="Arial" w:hAnsi="Arial"/>
          <w:sz w:val="17"/>
          <w:szCs w:val="17"/>
          <w:b w:val="1"/>
          <w:bCs w:val="1"/>
          <w:u w:val="single" w:color="auto"/>
          <w:color w:val="auto"/>
          <w:strike w:val="1"/>
        </w:rPr>
        <w:t>all</w:t>
      </w:r>
      <w:r>
        <w:rPr>
          <w:rFonts w:ascii="Arial" w:cs="Arial" w:eastAsia="Arial" w:hAnsi="Arial"/>
          <w:sz w:val="17"/>
          <w:szCs w:val="17"/>
          <w:b w:val="1"/>
          <w:bCs w:val="1"/>
          <w:u w:val="single" w:color="auto"/>
          <w:color w:val="auto"/>
        </w:rPr>
        <w:t>ed by the chairman of the board of directors or the secretary of the</w:t>
      </w:r>
    </w:p>
    <w:p>
      <w:pPr>
        <w:spacing w:after="0" w:line="1" w:lineRule="exact"/>
        <w:rPr>
          <w:sz w:val="20"/>
          <w:szCs w:val="20"/>
          <w:color w:val="auto"/>
        </w:rPr>
      </w:pPr>
    </w:p>
    <w:p>
      <w:pPr>
        <w:ind w:left="220" w:right="20"/>
        <w:spacing w:after="0" w:line="237" w:lineRule="auto"/>
        <w:rPr>
          <w:sz w:val="20"/>
          <w:szCs w:val="20"/>
          <w:color w:val="auto"/>
        </w:rPr>
      </w:pPr>
      <w:r>
        <w:rPr>
          <w:rFonts w:ascii="Arial" w:cs="Arial" w:eastAsia="Arial" w:hAnsi="Arial"/>
          <w:sz w:val="17"/>
          <w:szCs w:val="17"/>
          <w:b w:val="1"/>
          <w:bCs w:val="1"/>
          <w:u w:val="single" w:color="auto"/>
          <w:color w:val="auto"/>
        </w:rPr>
        <w:t xml:space="preserve">Corporation upon the written request or </w:t>
      </w:r>
      <w:r>
        <w:rPr>
          <w:rFonts w:ascii="Arial" w:cs="Arial" w:eastAsia="Arial" w:hAnsi="Arial"/>
          <w:sz w:val="17"/>
          <w:szCs w:val="17"/>
          <w:b w:val="1"/>
          <w:bCs w:val="1"/>
          <w:u w:val="single" w:color="auto"/>
          <w:color w:val="auto"/>
          <w:strike w:val="1"/>
        </w:rPr>
        <w:t>requests of one or more persons that (a) Own (as defined in these Bylaws) shares repre</w:t>
      </w:r>
      <w:r>
        <w:rPr>
          <w:rFonts w:ascii="Arial" w:cs="Arial" w:eastAsia="Arial" w:hAnsi="Arial"/>
          <w:sz w:val="17"/>
          <w:szCs w:val="17"/>
          <w:b w:val="1"/>
          <w:bCs w:val="1"/>
          <w:u w:val="single" w:color="auto"/>
          <w:color w:val="auto"/>
        </w:rPr>
        <w:t xml:space="preserve">senting at least 25% of the voting power of all outstanding shares of Class A Common Stock of the corporation that are entitled to vote on the matter or matters to be brought before the proposed special meeting (hereinafter, the “Requisite Percent”) at the time a request is </w:t>
      </w:r>
      <w:r>
        <w:rPr>
          <w:rFonts w:ascii="Arial" w:cs="Arial" w:eastAsia="Arial" w:hAnsi="Arial"/>
          <w:sz w:val="17"/>
          <w:szCs w:val="17"/>
          <w:b w:val="1"/>
          <w:bCs w:val="1"/>
          <w:u w:val="single" w:color="auto"/>
          <w:color w:val="auto"/>
          <w:strike w:val="1"/>
        </w:rPr>
        <w:t>delivered, and (b) comply with the other requirements and procedures set forth in these Bylaws. Except as otherwise required by law, and subject to the rights of the holders of any class or series of stock having a preference over the Class A Common Stock as to dividends or upon liquidation, special meetings of shareholders of the Corporation may not be called by any other person or</w:t>
      </w:r>
      <w:r>
        <w:rPr>
          <w:rFonts w:ascii="Arial" w:cs="Arial" w:eastAsia="Arial" w:hAnsi="Arial"/>
          <w:sz w:val="17"/>
          <w:szCs w:val="17"/>
          <w:b w:val="1"/>
          <w:bCs w:val="1"/>
          <w:color w:val="auto"/>
          <w:strike w:val="1"/>
        </w:rPr>
        <w:t xml:space="preserve"> per</w:t>
      </w:r>
      <w:r>
        <w:rPr>
          <w:rFonts w:ascii="Arial" w:cs="Arial" w:eastAsia="Arial" w:hAnsi="Arial"/>
          <w:sz w:val="17"/>
          <w:szCs w:val="17"/>
          <w:b w:val="1"/>
          <w:bCs w:val="1"/>
          <w:u w:val="single" w:color="auto"/>
          <w:color w:val="auto"/>
          <w:strike w:val="1"/>
        </w:rPr>
        <w:t>sons</w:t>
      </w:r>
      <w:r>
        <w:rPr>
          <w:rFonts w:ascii="Arial" w:cs="Arial" w:eastAsia="Arial" w:hAnsi="Arial"/>
          <w:sz w:val="17"/>
          <w:szCs w:val="17"/>
          <w:b w:val="1"/>
          <w:bCs w:val="1"/>
          <w:color w:val="auto"/>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-593725</wp:posOffset>
            </wp:positionV>
            <wp:extent cx="698119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81190" cy="825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-473710</wp:posOffset>
            </wp:positionV>
            <wp:extent cx="687832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78320" cy="825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-234315</wp:posOffset>
            </wp:positionV>
            <wp:extent cx="687006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70065" cy="825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5080</wp:posOffset>
            </wp:positionV>
            <wp:extent cx="687006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70065" cy="8255"/>
                    </a:xfrm>
                    <a:prstGeom prst="rect">
                      <a:avLst/>
                    </a:prstGeom>
                    <a:noFill/>
                  </pic:spPr>
                </pic:pic>
              </a:graphicData>
            </a:graphic>
          </wp:anchor>
        </w:drawing>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7F7F7F"/>
        </w:rPr>
        <w:t>A-</w:t>
      </w:r>
    </w:p>
    <w:p>
      <w:pPr>
        <w:spacing w:after="0" w:line="9" w:lineRule="exact"/>
        <w:rPr>
          <w:sz w:val="20"/>
          <w:szCs w:val="20"/>
          <w:color w:val="auto"/>
        </w:rPr>
      </w:pPr>
    </w:p>
    <w:p>
      <w:pPr>
        <w:ind w:left="540" w:hanging="330"/>
        <w:spacing w:after="0"/>
        <w:tabs>
          <w:tab w:leader="none" w:pos="540" w:val="left"/>
        </w:tabs>
        <w:numPr>
          <w:ilvl w:val="0"/>
          <w:numId w:val="142"/>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220"/>
          </w:cols>
          <w:pgMar w:left="240" w:top="455" w:right="43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jc w:val="right"/>
        <w:spacing w:after="0"/>
        <w:rPr>
          <w:sz w:val="20"/>
          <w:szCs w:val="20"/>
          <w:color w:val="auto"/>
        </w:rPr>
      </w:pPr>
      <w:r>
        <w:rPr>
          <w:rFonts w:ascii="Arial" w:cs="Arial" w:eastAsia="Arial" w:hAnsi="Arial"/>
          <w:sz w:val="15"/>
          <w:szCs w:val="15"/>
          <w:color w:val="7F7F7F"/>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25"/>
          <w:szCs w:val="25"/>
          <w:color w:val="998C87"/>
        </w:rPr>
        <w:t>Exhibit B</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Additional Special Meeting Bylaw Amendments</w:t>
      </w:r>
    </w:p>
    <w:p>
      <w:pPr>
        <w:spacing w:after="0" w:line="104" w:lineRule="exact"/>
        <w:rPr>
          <w:sz w:val="20"/>
          <w:szCs w:val="20"/>
          <w:color w:val="auto"/>
        </w:rPr>
      </w:pPr>
    </w:p>
    <w:p>
      <w:pPr>
        <w:jc w:val="both"/>
        <w:ind w:left="220" w:right="180"/>
        <w:spacing w:after="0" w:line="253" w:lineRule="auto"/>
        <w:rPr>
          <w:sz w:val="20"/>
          <w:szCs w:val="20"/>
          <w:color w:val="auto"/>
        </w:rPr>
      </w:pPr>
      <w:r>
        <w:rPr>
          <w:rFonts w:ascii="Arial" w:cs="Arial" w:eastAsia="Arial" w:hAnsi="Arial"/>
          <w:sz w:val="17"/>
          <w:szCs w:val="17"/>
          <w:color w:val="auto"/>
        </w:rPr>
        <w:t>If the Company’s Special Meeting Proposal is approved by the stockholders and the Certificate is filed with the Secretary of State of the State of Delaware, the Board expects to further amend the Bylaws to specify the procedures for stockholder-requested special meetings, by adding the language substantially in the form set forth below.</w:t>
      </w:r>
    </w:p>
    <w:p>
      <w:pPr>
        <w:spacing w:after="0" w:line="374" w:lineRule="exact"/>
        <w:rPr>
          <w:sz w:val="20"/>
          <w:szCs w:val="20"/>
          <w:color w:val="auto"/>
        </w:rPr>
      </w:pPr>
    </w:p>
    <w:p>
      <w:pPr>
        <w:ind w:left="220"/>
        <w:spacing w:after="0"/>
        <w:rPr>
          <w:sz w:val="20"/>
          <w:szCs w:val="20"/>
          <w:color w:val="auto"/>
        </w:rPr>
      </w:pPr>
      <w:r>
        <w:rPr>
          <w:rFonts w:ascii="Arial" w:cs="Arial" w:eastAsia="Arial" w:hAnsi="Arial"/>
          <w:sz w:val="22"/>
          <w:szCs w:val="22"/>
          <w:color w:val="7F7F7F"/>
        </w:rPr>
        <w:t>ARTICLE X</w:t>
      </w:r>
    </w:p>
    <w:p>
      <w:pPr>
        <w:spacing w:after="0" w:line="217" w:lineRule="exact"/>
        <w:rPr>
          <w:sz w:val="20"/>
          <w:szCs w:val="20"/>
          <w:color w:val="auto"/>
        </w:rPr>
      </w:pPr>
    </w:p>
    <w:p>
      <w:pPr>
        <w:ind w:left="220"/>
        <w:spacing w:after="0"/>
        <w:rPr>
          <w:sz w:val="20"/>
          <w:szCs w:val="20"/>
          <w:color w:val="auto"/>
        </w:rPr>
      </w:pPr>
      <w:r>
        <w:rPr>
          <w:rFonts w:ascii="Arial" w:cs="Arial" w:eastAsia="Arial" w:hAnsi="Arial"/>
          <w:sz w:val="18"/>
          <w:szCs w:val="18"/>
          <w:color w:val="7F7F7F"/>
        </w:rPr>
        <w:t>PROCEDURES FOR SHAREHOLDER-REQUESTED SPECIAL MEETINGS</w:t>
      </w:r>
    </w:p>
    <w:p>
      <w:pPr>
        <w:spacing w:after="0" w:line="98" w:lineRule="exact"/>
        <w:rPr>
          <w:sz w:val="20"/>
          <w:szCs w:val="20"/>
          <w:color w:val="auto"/>
        </w:rPr>
      </w:pPr>
    </w:p>
    <w:p>
      <w:pPr>
        <w:jc w:val="both"/>
        <w:ind w:left="220" w:right="60"/>
        <w:spacing w:after="0" w:line="253" w:lineRule="auto"/>
        <w:rPr>
          <w:sz w:val="20"/>
          <w:szCs w:val="20"/>
          <w:color w:val="auto"/>
        </w:rPr>
      </w:pPr>
      <w:r>
        <w:rPr>
          <w:rFonts w:ascii="Arial" w:cs="Arial" w:eastAsia="Arial" w:hAnsi="Arial"/>
          <w:sz w:val="17"/>
          <w:szCs w:val="17"/>
          <w:color w:val="auto"/>
        </w:rPr>
        <w:t>Section 10.1 For purposes of satisfying the Requisite Percent under Article IX of these Bylaws, a person is deemed to “Own” only those shares of Class A Common Stock of the corporation that are “Owned” as defined in Section 3.14.2(c) of Article III of these Bylaws, other than shares that are “Owned” under Section 3.14.2(c)(iii).</w:t>
      </w:r>
    </w:p>
    <w:p>
      <w:pPr>
        <w:spacing w:after="0" w:line="56" w:lineRule="exact"/>
        <w:rPr>
          <w:sz w:val="20"/>
          <w:szCs w:val="20"/>
          <w:color w:val="auto"/>
        </w:rPr>
      </w:pPr>
    </w:p>
    <w:p>
      <w:pPr>
        <w:ind w:left="220"/>
        <w:spacing w:after="0" w:line="234" w:lineRule="auto"/>
        <w:rPr>
          <w:sz w:val="20"/>
          <w:szCs w:val="20"/>
          <w:color w:val="auto"/>
        </w:rPr>
      </w:pPr>
      <w:r>
        <w:rPr>
          <w:rFonts w:ascii="Arial" w:cs="Arial" w:eastAsia="Arial" w:hAnsi="Arial"/>
          <w:sz w:val="17"/>
          <w:szCs w:val="17"/>
          <w:color w:val="auto"/>
        </w:rPr>
        <w:t>Section 10.2 In order for a special meeting requested by the shareholders to be called by the chairman of the board of directors or the secretary, one or more written requests for a special meeting signed by shareholders (or their duly authorized agents) who Own or who are acting on behalf of persons who Own, as of the time the request or requests are delivered to the Secretary, at least the Requisite Percent (the “Special Meeting Request”), shall be delivered to the secretary. A Special Meeting Request shall (i) state the business (including the identity of nominees for election as a director, if any) proposed to be acted on at the meeting, (ii) bear the date of signature of each such shareholder (or duly authorized agent) submitting the Special Meeting Request, (iii) set forth the name and address of each shareholder submitting the Special Meeting Request, as they appear on the Corporation’s books, (iv) contain (A) the information, representations and agreements required under Sections 2.10(c)(i) through (c)(v) of Article II of these Bylaws with respect to any director nominations or other business proposed to be presented at the special meeting (and references to “business” in Sections 2.10(c)(i) through (c)(v) shall be deemed to also refer to a nomination under this Article X), and as to each shareholder submitting the Special Meeting Request and each other person (including any beneficial owner) on whose behalf the shareholder is acting, other than shareholders or beneficial owners who have provided such request solely in response to any form of public solicitation for such requests, and (B) in the case of any director nominations, the additional information required by Section 3.15 of Article III,</w:t>
      </w:r>
    </w:p>
    <w:p>
      <w:pPr>
        <w:spacing w:after="0" w:line="1" w:lineRule="exact"/>
        <w:rPr>
          <w:sz w:val="20"/>
          <w:szCs w:val="20"/>
          <w:color w:val="auto"/>
        </w:rPr>
      </w:pPr>
    </w:p>
    <w:p>
      <w:pPr>
        <w:ind w:left="220" w:hanging="10"/>
        <w:spacing w:after="0" w:line="234" w:lineRule="auto"/>
        <w:tabs>
          <w:tab w:leader="none" w:pos="467" w:val="left"/>
        </w:tabs>
        <w:numPr>
          <w:ilvl w:val="0"/>
          <w:numId w:val="143"/>
        </w:numPr>
        <w:rPr>
          <w:rFonts w:ascii="Arial" w:cs="Arial" w:eastAsia="Arial" w:hAnsi="Arial"/>
          <w:sz w:val="17"/>
          <w:szCs w:val="17"/>
          <w:color w:val="auto"/>
        </w:rPr>
      </w:pPr>
      <w:r>
        <w:rPr>
          <w:rFonts w:ascii="Arial" w:cs="Arial" w:eastAsia="Arial" w:hAnsi="Arial"/>
          <w:sz w:val="17"/>
          <w:szCs w:val="17"/>
          <w:color w:val="auto"/>
        </w:rPr>
        <w:t>include documentary evidence that the requesting shareholders own the Requisite Percent as of the date, in the case of each shareholder requesting the special meeting, that such shareholder’s request was signed; provided, however, that if the requesting shareholders are not the beneficial owners of the shares representing the Requisite Percent, then to be valid, the Special Meeting Request must also include documentary evidence of the number of shares Owned by the beneficial owners on whose behalf the Special Meeting Request is made as of the date, in the case of each shareholder requesting the special meeting, that such shareholder’s request was signed, and (vi) be delivered to the secretary at the principal executive offices of the Corporation, by hand or by certified or registered mail, return receipt requested, within sixty (60) days of the earliest dated of such requests. The Special Meeting Request shall be updated and supplemented within five (5) business days after the record date for the meeting and such information when provided to the Corporation shall be current as of the record date. In addition, the requesting shareholder and each other person (including any beneficial owner) on whose behalf the shareholder is acting, shall provide to the Corporation such additional information as reasonably requested by the Corporation within five (5) business days of such a request.</w:t>
      </w:r>
    </w:p>
    <w:p>
      <w:pPr>
        <w:spacing w:after="0" w:line="69" w:lineRule="exact"/>
        <w:rPr>
          <w:sz w:val="20"/>
          <w:szCs w:val="20"/>
          <w:color w:val="auto"/>
        </w:rPr>
      </w:pPr>
    </w:p>
    <w:p>
      <w:pPr>
        <w:ind w:left="220" w:right="160"/>
        <w:spacing w:after="0"/>
        <w:rPr>
          <w:sz w:val="20"/>
          <w:szCs w:val="20"/>
          <w:color w:val="auto"/>
        </w:rPr>
      </w:pPr>
      <w:r>
        <w:rPr>
          <w:rFonts w:ascii="Arial" w:cs="Arial" w:eastAsia="Arial" w:hAnsi="Arial"/>
          <w:sz w:val="17"/>
          <w:szCs w:val="17"/>
          <w:color w:val="auto"/>
        </w:rPr>
        <w:t>Section 10.3 After receiving a Special Meeting Request, the board of directors shall determine in good faith whether the shareholders requesting the special meeting have satisfied the requirements for calling a special meeting of shareholders, and the Corporation shall notify the requesting shareholder of the board of directors’ determination about whether the Special Meeting Request is valid. The date, time and place of the special meeting shall be fixed by the board of directors, and the date of the special meeting shall not be more than ninety (90) days after the date on which the board of directors fixes the date of the special meeting. The record date for the special meeting shall be fixed by the board of directors as set forth in Section 6.6 of Article VI of these Bylaws.</w:t>
      </w:r>
    </w:p>
    <w:p>
      <w:pPr>
        <w:spacing w:after="0" w:line="176" w:lineRule="exact"/>
        <w:rPr>
          <w:sz w:val="20"/>
          <w:szCs w:val="20"/>
          <w:color w:val="auto"/>
        </w:rPr>
      </w:pPr>
    </w:p>
    <w:p>
      <w:pPr>
        <w:ind w:left="220" w:right="420"/>
        <w:spacing w:after="0" w:line="253" w:lineRule="auto"/>
        <w:rPr>
          <w:sz w:val="20"/>
          <w:szCs w:val="20"/>
          <w:color w:val="auto"/>
        </w:rPr>
      </w:pPr>
      <w:r>
        <w:rPr>
          <w:rFonts w:ascii="Arial" w:cs="Arial" w:eastAsia="Arial" w:hAnsi="Arial"/>
          <w:sz w:val="17"/>
          <w:szCs w:val="17"/>
          <w:color w:val="auto"/>
        </w:rPr>
        <w:t>Section 10.4 A Special Meeting Request shall not be valid, and the Corporation shall not call a special meeting if (i) the Special Meeting Request relates to an item of business that is not a proper subject for shareholder action under, or that involves a violation of, applicable law, (ii) an item of business that is the same or substantially similar (as</w:t>
      </w:r>
    </w:p>
    <w:p>
      <w:pPr>
        <w:spacing w:after="0" w:line="102" w:lineRule="exact"/>
        <w:rPr>
          <w:sz w:val="20"/>
          <w:szCs w:val="20"/>
          <w:color w:val="auto"/>
        </w:rPr>
      </w:pPr>
    </w:p>
    <w:p>
      <w:pPr>
        <w:ind w:left="11000"/>
        <w:spacing w:after="0"/>
        <w:rPr>
          <w:sz w:val="20"/>
          <w:szCs w:val="20"/>
          <w:color w:val="auto"/>
        </w:rPr>
      </w:pPr>
      <w:r>
        <w:rPr>
          <w:rFonts w:ascii="Arial" w:cs="Arial" w:eastAsia="Arial" w:hAnsi="Arial"/>
          <w:sz w:val="15"/>
          <w:szCs w:val="15"/>
          <w:b w:val="1"/>
          <w:bCs w:val="1"/>
          <w:color w:val="7F7F7F"/>
        </w:rPr>
        <w:t>B-</w:t>
      </w:r>
    </w:p>
    <w:p>
      <w:pPr>
        <w:spacing w:after="0" w:line="9" w:lineRule="exact"/>
        <w:rPr>
          <w:sz w:val="20"/>
          <w:szCs w:val="20"/>
          <w:color w:val="auto"/>
        </w:rPr>
      </w:pPr>
    </w:p>
    <w:p>
      <w:pPr>
        <w:ind w:left="9320"/>
        <w:spacing w:after="0"/>
        <w:tabs>
          <w:tab w:leader="none" w:pos="11060" w:val="left"/>
        </w:tabs>
        <w:rPr>
          <w:sz w:val="20"/>
          <w:szCs w:val="20"/>
          <w:color w:val="auto"/>
        </w:rPr>
      </w:pPr>
      <w:r>
        <w:rPr>
          <w:rFonts w:ascii="Arial" w:cs="Arial" w:eastAsia="Arial" w:hAnsi="Arial"/>
          <w:sz w:val="15"/>
          <w:szCs w:val="15"/>
          <w:color w:val="998C87"/>
        </w:rPr>
        <w:t>2018 Proxy Statement</w:t>
      </w:r>
      <w:r>
        <w:rPr>
          <w:sz w:val="20"/>
          <w:szCs w:val="20"/>
          <w:color w:val="auto"/>
        </w:rPr>
        <w:tab/>
      </w:r>
      <w:r>
        <w:rPr>
          <w:rFonts w:ascii="Arial" w:cs="Arial" w:eastAsia="Arial" w:hAnsi="Arial"/>
          <w:sz w:val="14"/>
          <w:szCs w:val="14"/>
          <w:b w:val="1"/>
          <w:bCs w:val="1"/>
          <w:color w:val="7F7F7F"/>
        </w:rPr>
        <w:t>1</w:t>
      </w:r>
    </w:p>
    <w:p>
      <w:pPr>
        <w:sectPr>
          <w:pgSz w:w="11900" w:h="16838" w:orient="portrait"/>
          <w:cols w:equalWidth="0" w:num="1">
            <w:col w:w="11220"/>
          </w:cols>
          <w:pgMar w:left="240" w:top="455" w:right="43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ind w:left="220"/>
        <w:spacing w:after="0"/>
        <w:rPr>
          <w:sz w:val="20"/>
          <w:szCs w:val="20"/>
          <w:color w:val="auto"/>
        </w:rPr>
      </w:pPr>
      <w:r>
        <w:rPr>
          <w:rFonts w:ascii="Arial" w:cs="Arial" w:eastAsia="Arial" w:hAnsi="Arial"/>
          <w:sz w:val="15"/>
          <w:szCs w:val="15"/>
          <w:color w:val="998C87"/>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42545</wp:posOffset>
            </wp:positionV>
            <wp:extent cx="698944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1" w:lineRule="exact"/>
        <w:rPr>
          <w:sz w:val="20"/>
          <w:szCs w:val="20"/>
          <w:color w:val="auto"/>
        </w:rPr>
      </w:pPr>
    </w:p>
    <w:p>
      <w:pPr>
        <w:ind w:left="220" w:right="120"/>
        <w:spacing w:after="0" w:line="246" w:lineRule="auto"/>
        <w:rPr>
          <w:sz w:val="20"/>
          <w:szCs w:val="20"/>
          <w:color w:val="auto"/>
        </w:rPr>
      </w:pPr>
      <w:r>
        <w:rPr>
          <w:rFonts w:ascii="Arial" w:cs="Arial" w:eastAsia="Arial" w:hAnsi="Arial"/>
          <w:sz w:val="17"/>
          <w:szCs w:val="17"/>
          <w:color w:val="auto"/>
        </w:rPr>
        <w:t>determined in good faith by the board of directors) to any item that was presented at a meeting of shareholders occurring within ninety (90) days preceding the earliest date of signature on the Special Meeting Request, (iii) the Special Meeting Request is delivered during the period commencing ninety (90) days prior to the first anniversary of the preceding year’s annual meeting and ending on the date of the next annual meeting of shareholders, or (iv) the Special Meeting Request does not comply with the requirements of Article IX or this Article X.</w:t>
      </w:r>
    </w:p>
    <w:p>
      <w:pPr>
        <w:spacing w:after="0" w:line="62" w:lineRule="exact"/>
        <w:rPr>
          <w:sz w:val="20"/>
          <w:szCs w:val="20"/>
          <w:color w:val="auto"/>
        </w:rPr>
      </w:pPr>
    </w:p>
    <w:p>
      <w:pPr>
        <w:ind w:left="220"/>
        <w:spacing w:after="0" w:line="238" w:lineRule="auto"/>
        <w:rPr>
          <w:sz w:val="20"/>
          <w:szCs w:val="20"/>
          <w:color w:val="auto"/>
        </w:rPr>
      </w:pPr>
      <w:r>
        <w:rPr>
          <w:rFonts w:ascii="Arial" w:cs="Arial" w:eastAsia="Arial" w:hAnsi="Arial"/>
          <w:sz w:val="17"/>
          <w:szCs w:val="17"/>
          <w:color w:val="auto"/>
        </w:rPr>
        <w:t>Section 10.5 Any shareholder who submitted a Special Meeting Request may revoke its written request by written revocation delivered to the secretary at the principal executive offices of the Corporation at any time prior to the shareholder-requested special meeting. A Special Meeting Request shall be deemed revoked (and any meeting scheduled in response may be cancelled) if the shareholders submitting the Special Meeting Request, and any beneficial owners on whose behalf they are acting (as applicable), do not continue to Own at least the Requisite Percent at all times between the date the Special Meeting Request is received by the Corporation and the date of the applicable shareholder-requested special meeting, and the requesting shareholder shall promptly notify the secretary of any decrease in ownership of shares of stock of the Corporation that results in such a revocation. If, as a result of any revocations, there are no longer valid unrevoked written requests from the Requisite Percent, the board of directors shall have the discretion to determine whether or not to proceed with the special meeting.</w:t>
      </w:r>
    </w:p>
    <w:p>
      <w:pPr>
        <w:spacing w:after="0" w:line="68" w:lineRule="exact"/>
        <w:rPr>
          <w:sz w:val="20"/>
          <w:szCs w:val="20"/>
          <w:color w:val="auto"/>
        </w:rPr>
      </w:pPr>
    </w:p>
    <w:p>
      <w:pPr>
        <w:ind w:left="220"/>
        <w:spacing w:after="0" w:line="239" w:lineRule="auto"/>
        <w:rPr>
          <w:sz w:val="20"/>
          <w:szCs w:val="20"/>
          <w:color w:val="auto"/>
        </w:rPr>
      </w:pPr>
      <w:r>
        <w:rPr>
          <w:rFonts w:ascii="Arial" w:cs="Arial" w:eastAsia="Arial" w:hAnsi="Arial"/>
          <w:sz w:val="17"/>
          <w:szCs w:val="17"/>
          <w:color w:val="auto"/>
        </w:rPr>
        <w:t>Section 10.6 Business transacted at a shareholder-requested special meeting shall be limited to (i) the business stated in the valid Special Meeting Request received from the Requisite Percent, and (ii) any additional business that the board of directors determines to include in the Corporation’s notice of meeting (or any supplement thereto). If none of the shareholders who submitted the Special Meeting Request (or a qualified representative thereof, as defined in Section 2.10(e) of Article II of these Bylaws) appears at the special meeting to present the matter or matters to be brought before the special meeting that were specified in the Special Meeting Request, the Corporation need not present the matter or matters for a vote at the meeting, notwithstanding that proxies in respect of such vote may have been received by the Corporation. The board of directors may postpone, reschedule or cancel any special meeting of shareholders previously scheduled pursuant to this Article X.</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7F7F7F"/>
        </w:rPr>
        <w:t>B-</w:t>
      </w:r>
    </w:p>
    <w:p>
      <w:pPr>
        <w:spacing w:after="0" w:line="9" w:lineRule="exact"/>
        <w:rPr>
          <w:sz w:val="20"/>
          <w:szCs w:val="20"/>
          <w:color w:val="auto"/>
        </w:rPr>
      </w:pPr>
    </w:p>
    <w:p>
      <w:pPr>
        <w:ind w:left="540" w:hanging="330"/>
        <w:spacing w:after="0"/>
        <w:tabs>
          <w:tab w:leader="none" w:pos="540" w:val="left"/>
        </w:tabs>
        <w:numPr>
          <w:ilvl w:val="0"/>
          <w:numId w:val="144"/>
        </w:numPr>
        <w:rPr>
          <w:rFonts w:ascii="Arial" w:cs="Arial" w:eastAsia="Arial" w:hAnsi="Arial"/>
          <w:sz w:val="15"/>
          <w:szCs w:val="15"/>
          <w:b w:val="1"/>
          <w:bCs w:val="1"/>
          <w:color w:val="7F7F7F"/>
        </w:rPr>
      </w:pPr>
      <w:r>
        <w:rPr>
          <w:rFonts w:ascii="Arial" w:cs="Arial" w:eastAsia="Arial" w:hAnsi="Arial"/>
          <w:sz w:val="15"/>
          <w:szCs w:val="15"/>
          <w:color w:val="998C87"/>
        </w:rPr>
        <w:t>Marriott International, Inc.</w:t>
      </w:r>
    </w:p>
    <w:p>
      <w:pPr>
        <w:sectPr>
          <w:pgSz w:w="11900" w:h="16838" w:orient="portrait"/>
          <w:cols w:equalWidth="0" w:num="1">
            <w:col w:w="11180"/>
          </w:cols>
          <w:pgMar w:left="240" w:top="455" w:right="47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left="220"/>
        <w:spacing w:after="0"/>
        <w:rPr>
          <w:sz w:val="20"/>
          <w:szCs w:val="20"/>
          <w:color w:val="auto"/>
        </w:rPr>
      </w:pPr>
      <w:r>
        <w:rPr>
          <w:rFonts w:ascii="Arial" w:cs="Arial" w:eastAsia="Arial" w:hAnsi="Arial"/>
          <w:sz w:val="25"/>
          <w:szCs w:val="25"/>
          <w:color w:val="998C87"/>
        </w:rPr>
        <w:t>2018 ANNUAL MEETING INFORMATION</w:t>
      </w:r>
    </w:p>
    <w:p>
      <w:pPr>
        <w:spacing w:after="0" w:line="118" w:lineRule="exact"/>
        <w:rPr>
          <w:sz w:val="20"/>
          <w:szCs w:val="20"/>
          <w:color w:val="auto"/>
        </w:rPr>
      </w:pPr>
    </w:p>
    <w:p>
      <w:pPr>
        <w:ind w:left="220" w:right="140"/>
        <w:spacing w:after="0" w:line="277" w:lineRule="auto"/>
        <w:rPr>
          <w:sz w:val="20"/>
          <w:szCs w:val="20"/>
          <w:color w:val="auto"/>
        </w:rPr>
      </w:pPr>
      <w:r>
        <w:rPr>
          <w:rFonts w:ascii="Arial" w:cs="Arial" w:eastAsia="Arial" w:hAnsi="Arial"/>
          <w:sz w:val="17"/>
          <w:szCs w:val="17"/>
          <w:b w:val="1"/>
          <w:bCs w:val="1"/>
          <w:color w:val="998C87"/>
        </w:rPr>
        <w:t xml:space="preserve">Time and Location. </w:t>
      </w:r>
      <w:r>
        <w:rPr>
          <w:rFonts w:ascii="Arial" w:cs="Arial" w:eastAsia="Arial" w:hAnsi="Arial"/>
          <w:sz w:val="17"/>
          <w:szCs w:val="17"/>
          <w:color w:val="000000"/>
        </w:rPr>
        <w:t>The 2018 annual meeting of stockholders will begin at 11:00 a.m. on Friday, May 4, 2018 at the JW Marriott Hotel at 1331</w:t>
      </w:r>
      <w:r>
        <w:rPr>
          <w:rFonts w:ascii="Arial" w:cs="Arial" w:eastAsia="Arial" w:hAnsi="Arial"/>
          <w:sz w:val="17"/>
          <w:szCs w:val="17"/>
          <w:b w:val="1"/>
          <w:bCs w:val="1"/>
          <w:color w:val="998C87"/>
        </w:rPr>
        <w:t xml:space="preserve"> </w:t>
      </w:r>
      <w:r>
        <w:rPr>
          <w:rFonts w:ascii="Arial" w:cs="Arial" w:eastAsia="Arial" w:hAnsi="Arial"/>
          <w:sz w:val="17"/>
          <w:szCs w:val="17"/>
          <w:color w:val="000000"/>
        </w:rPr>
        <w:t>Pennsylvania Avenue, N.W., Washington, D.C. 20004.</w:t>
      </w:r>
    </w:p>
    <w:p>
      <w:pPr>
        <w:spacing w:after="0" w:line="34" w:lineRule="exact"/>
        <w:rPr>
          <w:sz w:val="20"/>
          <w:szCs w:val="20"/>
          <w:color w:val="auto"/>
        </w:rPr>
      </w:pPr>
    </w:p>
    <w:p>
      <w:pPr>
        <w:ind w:left="220" w:right="120"/>
        <w:spacing w:after="0" w:line="277" w:lineRule="auto"/>
        <w:rPr>
          <w:sz w:val="20"/>
          <w:szCs w:val="20"/>
          <w:color w:val="auto"/>
        </w:rPr>
      </w:pPr>
      <w:r>
        <w:rPr>
          <w:rFonts w:ascii="Arial" w:cs="Arial" w:eastAsia="Arial" w:hAnsi="Arial"/>
          <w:sz w:val="17"/>
          <w:szCs w:val="17"/>
          <w:b w:val="1"/>
          <w:bCs w:val="1"/>
          <w:color w:val="998C87"/>
        </w:rPr>
        <w:t xml:space="preserve">Parking. </w:t>
      </w:r>
      <w:r>
        <w:rPr>
          <w:rFonts w:ascii="Arial" w:cs="Arial" w:eastAsia="Arial" w:hAnsi="Arial"/>
          <w:sz w:val="17"/>
          <w:szCs w:val="17"/>
          <w:color w:val="000000"/>
        </w:rPr>
        <w:t>Due to anticipated needs of other hotel guests on May 4, 2018, we expect that minimal parking will be available to stockholders in the</w:t>
      </w:r>
      <w:r>
        <w:rPr>
          <w:rFonts w:ascii="Arial" w:cs="Arial" w:eastAsia="Arial" w:hAnsi="Arial"/>
          <w:sz w:val="17"/>
          <w:szCs w:val="17"/>
          <w:b w:val="1"/>
          <w:bCs w:val="1"/>
          <w:color w:val="998C87"/>
        </w:rPr>
        <w:t xml:space="preserve"> </w:t>
      </w:r>
      <w:r>
        <w:rPr>
          <w:rFonts w:ascii="Arial" w:cs="Arial" w:eastAsia="Arial" w:hAnsi="Arial"/>
          <w:sz w:val="17"/>
          <w:szCs w:val="17"/>
          <w:color w:val="000000"/>
        </w:rPr>
        <w:t>parking garage adjacent to the hotel. Several public lots are located within three blocks of the hotel.</w:t>
      </w:r>
    </w:p>
    <w:p>
      <w:pPr>
        <w:spacing w:after="0" w:line="34" w:lineRule="exact"/>
        <w:rPr>
          <w:sz w:val="20"/>
          <w:szCs w:val="20"/>
          <w:color w:val="auto"/>
        </w:rPr>
      </w:pPr>
    </w:p>
    <w:p>
      <w:pPr>
        <w:jc w:val="both"/>
        <w:ind w:left="220" w:right="60"/>
        <w:spacing w:after="0" w:line="254" w:lineRule="auto"/>
        <w:rPr>
          <w:sz w:val="20"/>
          <w:szCs w:val="20"/>
          <w:color w:val="auto"/>
        </w:rPr>
      </w:pPr>
      <w:r>
        <w:rPr>
          <w:rFonts w:ascii="Arial" w:cs="Arial" w:eastAsia="Arial" w:hAnsi="Arial"/>
          <w:sz w:val="17"/>
          <w:szCs w:val="17"/>
          <w:b w:val="1"/>
          <w:bCs w:val="1"/>
          <w:color w:val="998C87"/>
        </w:rPr>
        <w:t xml:space="preserve">Public Transportation. </w:t>
      </w:r>
      <w:r>
        <w:rPr>
          <w:rFonts w:ascii="Arial" w:cs="Arial" w:eastAsia="Arial" w:hAnsi="Arial"/>
          <w:sz w:val="17"/>
          <w:szCs w:val="17"/>
          <w:color w:val="000000"/>
        </w:rPr>
        <w:t>As parking is limited in the general area, we recommend that stockholders attending the annual meeting consider using</w:t>
      </w:r>
      <w:r>
        <w:rPr>
          <w:rFonts w:ascii="Arial" w:cs="Arial" w:eastAsia="Arial" w:hAnsi="Arial"/>
          <w:sz w:val="17"/>
          <w:szCs w:val="17"/>
          <w:b w:val="1"/>
          <w:bCs w:val="1"/>
          <w:color w:val="998C87"/>
        </w:rPr>
        <w:t xml:space="preserve"> </w:t>
      </w:r>
      <w:r>
        <w:rPr>
          <w:rFonts w:ascii="Arial" w:cs="Arial" w:eastAsia="Arial" w:hAnsi="Arial"/>
          <w:sz w:val="17"/>
          <w:szCs w:val="17"/>
          <w:color w:val="000000"/>
        </w:rPr>
        <w:t>public transportation. Two Metro subway stations, Federal Triangle and Metro Center, are located less than three blocks from the hotel, and the area is served by Metro buses.</w:t>
      </w:r>
    </w:p>
    <w:p>
      <w:pPr>
        <w:spacing w:after="0" w:line="54" w:lineRule="exact"/>
        <w:rPr>
          <w:sz w:val="20"/>
          <w:szCs w:val="20"/>
          <w:color w:val="auto"/>
        </w:rPr>
      </w:pPr>
    </w:p>
    <w:p>
      <w:pPr>
        <w:ind w:left="220"/>
        <w:spacing w:after="0" w:line="251" w:lineRule="auto"/>
        <w:rPr>
          <w:sz w:val="20"/>
          <w:szCs w:val="20"/>
          <w:color w:val="auto"/>
        </w:rPr>
      </w:pPr>
      <w:r>
        <w:rPr>
          <w:rFonts w:ascii="Arial" w:cs="Arial" w:eastAsia="Arial" w:hAnsi="Arial"/>
          <w:sz w:val="17"/>
          <w:szCs w:val="17"/>
          <w:b w:val="1"/>
          <w:bCs w:val="1"/>
          <w:color w:val="998C87"/>
        </w:rPr>
        <w:t xml:space="preserve">Lodging. </w:t>
      </w:r>
      <w:r>
        <w:rPr>
          <w:rFonts w:ascii="Arial" w:cs="Arial" w:eastAsia="Arial" w:hAnsi="Arial"/>
          <w:sz w:val="17"/>
          <w:szCs w:val="17"/>
          <w:color w:val="000000"/>
        </w:rPr>
        <w:t>A local Marriott hotel will offer a “Stockholder Annual Meeting” rate for Thursday, May 3, 2018, the night before the meeting. To receive</w:t>
      </w:r>
      <w:r>
        <w:rPr>
          <w:rFonts w:ascii="Arial" w:cs="Arial" w:eastAsia="Arial" w:hAnsi="Arial"/>
          <w:sz w:val="17"/>
          <w:szCs w:val="17"/>
          <w:b w:val="1"/>
          <w:bCs w:val="1"/>
          <w:color w:val="998C87"/>
        </w:rPr>
        <w:t xml:space="preserve"> </w:t>
      </w:r>
      <w:r>
        <w:rPr>
          <w:rFonts w:ascii="Arial" w:cs="Arial" w:eastAsia="Arial" w:hAnsi="Arial"/>
          <w:sz w:val="17"/>
          <w:szCs w:val="17"/>
          <w:color w:val="000000"/>
        </w:rPr>
        <w:t xml:space="preserve">this rate, call the number shown below and ask for the stockholder annual meeting rate for May 3, 2018. </w:t>
      </w:r>
      <w:r>
        <w:rPr>
          <w:rFonts w:ascii="Arial" w:cs="Arial" w:eastAsia="Arial" w:hAnsi="Arial"/>
          <w:sz w:val="17"/>
          <w:szCs w:val="17"/>
          <w:i w:val="1"/>
          <w:iCs w:val="1"/>
          <w:color w:val="000000"/>
        </w:rPr>
        <w:t>Please note that a limited number of</w:t>
      </w:r>
      <w:r>
        <w:rPr>
          <w:rFonts w:ascii="Arial" w:cs="Arial" w:eastAsia="Arial" w:hAnsi="Arial"/>
          <w:sz w:val="17"/>
          <w:szCs w:val="17"/>
          <w:color w:val="000000"/>
        </w:rPr>
        <w:t xml:space="preserve"> </w:t>
      </w:r>
      <w:r>
        <w:rPr>
          <w:rFonts w:ascii="Arial" w:cs="Arial" w:eastAsia="Arial" w:hAnsi="Arial"/>
          <w:sz w:val="17"/>
          <w:szCs w:val="17"/>
          <w:i w:val="1"/>
          <w:iCs w:val="1"/>
          <w:color w:val="000000"/>
        </w:rPr>
        <w:t xml:space="preserve">rooms are offered at this rate and you must call by Saturday, April 21, 2018. </w:t>
      </w:r>
      <w:r>
        <w:rPr>
          <w:rFonts w:ascii="Arial" w:cs="Arial" w:eastAsia="Arial" w:hAnsi="Arial"/>
          <w:sz w:val="17"/>
          <w:szCs w:val="17"/>
          <w:b w:val="1"/>
          <w:bCs w:val="1"/>
          <w:color w:val="000000"/>
        </w:rPr>
        <w:t>Applicable taxes and gratuities are extra and advance</w:t>
      </w:r>
      <w:r>
        <w:rPr>
          <w:rFonts w:ascii="Arial" w:cs="Arial" w:eastAsia="Arial" w:hAnsi="Arial"/>
          <w:sz w:val="17"/>
          <w:szCs w:val="17"/>
          <w:i w:val="1"/>
          <w:iCs w:val="1"/>
          <w:color w:val="000000"/>
        </w:rPr>
        <w:t xml:space="preserve"> </w:t>
      </w:r>
      <w:r>
        <w:rPr>
          <w:rFonts w:ascii="Arial" w:cs="Arial" w:eastAsia="Arial" w:hAnsi="Arial"/>
          <w:sz w:val="17"/>
          <w:szCs w:val="17"/>
          <w:b w:val="1"/>
          <w:bCs w:val="1"/>
          <w:color w:val="000000"/>
        </w:rPr>
        <w:t>reservations are required. This discount may not be used in conjunction with other discounts, coupons, or group rates.</w:t>
      </w:r>
    </w:p>
    <w:p>
      <w:pPr>
        <w:spacing w:after="0" w:line="48"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JW Marriott Hotel—$369 single/double</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1331 Pennsylvania Avenue, N.W.</w:t>
      </w:r>
    </w:p>
    <w:p>
      <w:pPr>
        <w:jc w:val="center"/>
        <w:ind w:right="-319"/>
        <w:spacing w:after="0" w:line="231" w:lineRule="auto"/>
        <w:rPr>
          <w:sz w:val="20"/>
          <w:szCs w:val="20"/>
          <w:color w:val="auto"/>
        </w:rPr>
      </w:pPr>
      <w:r>
        <w:rPr>
          <w:rFonts w:ascii="Arial" w:cs="Arial" w:eastAsia="Arial" w:hAnsi="Arial"/>
          <w:sz w:val="17"/>
          <w:szCs w:val="17"/>
          <w:color w:val="auto"/>
        </w:rPr>
        <w:t>Washington, D.C. 20004</w:t>
      </w:r>
    </w:p>
    <w:p>
      <w:pPr>
        <w:jc w:val="center"/>
        <w:ind w:right="-319"/>
        <w:spacing w:after="0" w:line="232" w:lineRule="auto"/>
        <w:rPr>
          <w:sz w:val="20"/>
          <w:szCs w:val="20"/>
          <w:color w:val="auto"/>
        </w:rPr>
      </w:pPr>
      <w:r>
        <w:rPr>
          <w:rFonts w:ascii="Arial" w:cs="Arial" w:eastAsia="Arial" w:hAnsi="Arial"/>
          <w:sz w:val="17"/>
          <w:szCs w:val="17"/>
          <w:color w:val="auto"/>
        </w:rPr>
        <w:t>202-393-2000</w:t>
      </w:r>
    </w:p>
    <w:p>
      <w:pPr>
        <w:spacing w:after="0" w:line="1"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Near Metro Center Metro Station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153670</wp:posOffset>
            </wp:positionV>
            <wp:extent cx="3255010" cy="325501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255010" cy="3255010"/>
                    </a:xfrm>
                    <a:prstGeom prst="rect">
                      <a:avLst/>
                    </a:prstGeom>
                    <a:noFill/>
                  </pic:spPr>
                </pic:pic>
              </a:graphicData>
            </a:graphic>
          </wp:anchor>
        </w:drawing>
      </w:r>
    </w:p>
    <w:p>
      <w:pPr>
        <w:sectPr>
          <w:pgSz w:w="11900" w:h="16838" w:orient="portrait"/>
          <w:cols w:equalWidth="0" w:num="1">
            <w:col w:w="11100"/>
          </w:cols>
          <w:pgMar w:left="240" w:top="455" w:right="55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2466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12" w:lineRule="exact"/>
        <w:rPr>
          <w:sz w:val="20"/>
          <w:szCs w:val="20"/>
          <w:color w:val="auto"/>
        </w:rPr>
      </w:pPr>
    </w:p>
    <w:p>
      <w:pPr>
        <w:spacing w:after="0"/>
        <w:tabs>
          <w:tab w:leader="none" w:pos="10700" w:val="left"/>
        </w:tabs>
        <w:rPr>
          <w:sz w:val="20"/>
          <w:szCs w:val="20"/>
          <w:color w:val="auto"/>
        </w:rPr>
      </w:pPr>
      <w:r>
        <w:rPr>
          <w:rFonts w:ascii="Times New Roman" w:cs="Times New Roman" w:eastAsia="Times New Roman" w:hAnsi="Times New Roman"/>
          <w:sz w:val="18"/>
          <w:szCs w:val="18"/>
          <w:b w:val="1"/>
          <w:bCs w:val="1"/>
          <w:color w:val="auto"/>
        </w:rPr>
        <w:t>PROXY</w:t>
      </w:r>
      <w:r>
        <w:rPr>
          <w:sz w:val="20"/>
          <w:szCs w:val="20"/>
          <w:color w:val="auto"/>
        </w:rPr>
        <w:tab/>
      </w:r>
      <w:r>
        <w:rPr>
          <w:rFonts w:ascii="Times New Roman" w:cs="Times New Roman" w:eastAsia="Times New Roman" w:hAnsi="Times New Roman"/>
          <w:sz w:val="18"/>
          <w:szCs w:val="18"/>
          <w:b w:val="1"/>
          <w:bCs w:val="1"/>
          <w:color w:val="auto"/>
        </w:rPr>
        <w:t>PROXY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THIS PROXY IS SOLICITED ON BEHALF OF THE BOARD OF DIRECTORS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MARRIOTT INTERNATIONAL, INC.</w:t>
      </w:r>
    </w:p>
    <w:p>
      <w:pPr>
        <w:spacing w:after="0" w:line="202"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THIS PROXY WHEN PROPERLY EXECUTED WILL BE VOTED AS DIRECTED BY THE UNDERSIGNED STOCKHOLDER(S), OR IF NO DIRECTION IS INDICATED, “FOR” EACH DIRECTOR NOMINEE IN ITEM 1, “FOR” ITEMS 2, 3, AND 4, AND “AGAINST” ITEMS 5 AND 6 AND IT WILL BE VOTED IN ACCORDANCE WITH THE DISCRETION OF THE PROXIES AS TO ANY OTHER MATTER THAT IS PROPERLY PRESENTED.</w:t>
      </w:r>
    </w:p>
    <w:p>
      <w:pPr>
        <w:spacing w:after="0" w:line="17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undersigned acknowledge(s) receipt of a Notice of Annual Meeting of Stockholders, the accompanying Proxy Statement and the Annual Report for the fiscal year ended December 31, 2017. The undersigned further hereby appoint(s) J.W. Marriott, Jr. and Arne M. Sorenson, and each of them, with power to act without the other and with full power of substitution in each, as proxies and attorneys-in-fact and hereby authorizes them to represent and vote, as provided on the other side, all the shares of Marriott International, Inc. (the “Company”) Class A Common Stock which the undersigned is entitled to vote, and, in their discretion, to vote upon such other business as may properly come before the Annual Meeting of Stockholders of the Company to be held May 4, 2018 or any adjournment or postponement thereof, with all powers which the undersigned would possess if present at the Meeting.</w:t>
      </w:r>
    </w:p>
    <w:p>
      <w:pPr>
        <w:spacing w:after="0" w:line="18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If the undersigned has voting rights with respect to shares of Company common stock under the Marriott Retirement Savings Plan or the Starwood Savings and Retirement Plan, the undersigned hereby direct(s) the trustees of the respective plans to vote shares equal to the number of share equivalents allocated to the undersigned’s accounts under the plan(s) in accordance with the instructions given herein. The trustee will vote shares for which it does not receive instructions by 11:59 p.m. Eastern Time, Tuesday, May 1, 2018, in the same proportion that it votes the shares for which it received timely instructions from other participants in the plans.</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 and to be marked, dated and signed, on the other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173990</wp:posOffset>
            </wp:positionV>
            <wp:extent cx="7263765" cy="46228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3765" cy="462280"/>
                    </a:xfrm>
                    <a:prstGeom prst="rect">
                      <a:avLst/>
                    </a:prstGeom>
                    <a:noFill/>
                  </pic:spPr>
                </pic:pic>
              </a:graphicData>
            </a:graphic>
          </wp:anchor>
        </w:drawing>
      </w:r>
    </w:p>
    <w:p>
      <w:pPr>
        <w:spacing w:after="0" w:line="2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Address Change/Comments (Mark the corresponding box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499745</wp:posOffset>
            </wp:positionV>
            <wp:extent cx="7246620"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4662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tabs>
          <w:tab w:leader="none" w:pos="180" w:val="left"/>
          <w:tab w:leader="none" w:pos="240" w:val="left"/>
        </w:tabs>
        <w:rPr>
          <w:sz w:val="20"/>
          <w:szCs w:val="20"/>
          <w:color w:val="auto"/>
        </w:rPr>
      </w:pPr>
      <w:r>
        <w:rPr>
          <w:rFonts w:ascii="Times New Roman" w:cs="Times New Roman" w:eastAsia="Times New Roman" w:hAnsi="Times New Roman"/>
          <w:sz w:val="20"/>
          <w:szCs w:val="20"/>
          <w:color w:val="auto"/>
        </w:rPr>
        <w:t>p</w:t>
      </w:r>
      <w:r>
        <w:rPr>
          <w:sz w:val="20"/>
          <w:szCs w:val="20"/>
          <w:color w:val="auto"/>
        </w:rPr>
        <w:tab/>
      </w:r>
      <w:r>
        <w:rPr>
          <w:rFonts w:ascii="Times New Roman" w:cs="Times New Roman" w:eastAsia="Times New Roman" w:hAnsi="Times New Roman"/>
          <w:sz w:val="20"/>
          <w:szCs w:val="20"/>
          <w:b w:val="1"/>
          <w:bCs w:val="1"/>
          <w:color w:val="auto"/>
        </w:rPr>
        <w:t>FOLD AND DETACH HERE</w:t>
      </w:r>
      <w:r>
        <w:rPr>
          <w:sz w:val="20"/>
          <w:szCs w:val="20"/>
          <w:color w:val="auto"/>
        </w:rPr>
        <w:tab/>
      </w:r>
      <w:r>
        <w:rPr>
          <w:rFonts w:ascii="Times New Roman" w:cs="Times New Roman" w:eastAsia="Times New Roman" w:hAnsi="Times New Roman"/>
          <w:sz w:val="20"/>
          <w:szCs w:val="20"/>
          <w:color w:val="auto"/>
        </w:rPr>
        <w:t>p</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You can now access your </w:t>
      </w:r>
      <w:r>
        <w:rPr>
          <w:rFonts w:ascii="Times New Roman" w:cs="Times New Roman" w:eastAsia="Times New Roman" w:hAnsi="Times New Roman"/>
          <w:sz w:val="20"/>
          <w:szCs w:val="20"/>
          <w:b w:val="1"/>
          <w:bCs w:val="1"/>
          <w:color w:val="auto"/>
        </w:rPr>
        <w:t>MARRIOTT INTERNATIONAL, INC.</w:t>
      </w:r>
      <w:r>
        <w:rPr>
          <w:rFonts w:ascii="Times New Roman" w:cs="Times New Roman" w:eastAsia="Times New Roman" w:hAnsi="Times New Roman"/>
          <w:sz w:val="20"/>
          <w:szCs w:val="20"/>
          <w:b w:val="1"/>
          <w:bCs w:val="1"/>
          <w:i w:val="1"/>
          <w:iCs w:val="1"/>
          <w:color w:val="auto"/>
        </w:rPr>
        <w:t xml:space="preserve"> account online.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Access your MARRIOTT INTERNATIONAL, INC. shareholder/stockholder account online via Investor ServiceDirect</w:t>
      </w:r>
      <w:r>
        <w:rPr>
          <w:rFonts w:ascii="Times New Roman" w:cs="Times New Roman" w:eastAsia="Times New Roman" w:hAnsi="Times New Roman"/>
          <w:sz w:val="16"/>
          <w:szCs w:val="16"/>
          <w:color w:val="auto"/>
        </w:rPr>
        <w:t>®</w:t>
      </w:r>
      <w:r>
        <w:rPr>
          <w:rFonts w:ascii="Times New Roman" w:cs="Times New Roman" w:eastAsia="Times New Roman" w:hAnsi="Times New Roman"/>
          <w:sz w:val="20"/>
          <w:szCs w:val="20"/>
          <w:color w:val="auto"/>
        </w:rPr>
        <w:t xml:space="preserve"> (ISD).</w:t>
      </w:r>
    </w:p>
    <w:p>
      <w:pPr>
        <w:spacing w:after="0" w:line="215" w:lineRule="exact"/>
        <w:rPr>
          <w:sz w:val="20"/>
          <w:szCs w:val="20"/>
          <w:color w:val="auto"/>
        </w:rPr>
      </w:pPr>
    </w:p>
    <w:p>
      <w:pPr>
        <w:ind w:right="880"/>
        <w:spacing w:after="0" w:line="268" w:lineRule="auto"/>
        <w:rPr>
          <w:sz w:val="20"/>
          <w:szCs w:val="20"/>
          <w:color w:val="auto"/>
        </w:rPr>
      </w:pPr>
      <w:r>
        <w:rPr>
          <w:rFonts w:ascii="Times New Roman" w:cs="Times New Roman" w:eastAsia="Times New Roman" w:hAnsi="Times New Roman"/>
          <w:sz w:val="20"/>
          <w:szCs w:val="20"/>
          <w:color w:val="auto"/>
        </w:rPr>
        <w:t>The transfer Agent for MARRIOTT INTERNATIONAL, INC., now makes it easy and convenient to get current information on your stockholder account.</w:t>
      </w:r>
    </w:p>
    <w:p>
      <w:pPr>
        <w:spacing w:after="0" w:line="71" w:lineRule="exact"/>
        <w:rPr>
          <w:sz w:val="20"/>
          <w:szCs w:val="20"/>
          <w:color w:val="auto"/>
        </w:rPr>
      </w:pPr>
    </w:p>
    <w:tbl>
      <w:tblPr>
        <w:tblLayout w:type="fixed"/>
        <w:tblInd w:w="138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View account status</w:t>
            </w:r>
          </w:p>
        </w:tc>
        <w:tc>
          <w:tcPr>
            <w:tcW w:w="14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View payment history for dividends</w:t>
            </w:r>
          </w:p>
        </w:tc>
      </w:tr>
      <w:tr>
        <w:trPr>
          <w:trHeight w:val="337"/>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View certificate history</w:t>
            </w:r>
          </w:p>
        </w:tc>
        <w:tc>
          <w:tcPr>
            <w:tcW w:w="14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Make address changes</w:t>
            </w:r>
          </w:p>
        </w:tc>
      </w:tr>
      <w:tr>
        <w:trPr>
          <w:trHeight w:val="337"/>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View book-entry information</w:t>
            </w:r>
          </w:p>
        </w:tc>
        <w:tc>
          <w:tcPr>
            <w:tcW w:w="14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Obtain a duplicate 1099 tax form</w:t>
            </w:r>
          </w:p>
        </w:tc>
      </w:tr>
      <w:tr>
        <w:trPr>
          <w:trHeight w:val="337"/>
        </w:trPr>
        <w:tc>
          <w:tcPr>
            <w:tcW w:w="1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Establish/change your PIN</w:t>
            </w:r>
          </w:p>
        </w:tc>
      </w:tr>
    </w:tbl>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Visit us on the web at http://www.computershare.com/investor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For Technical Assistance Call 1-877-978-7778 between 9am-7pm</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Monday-Friday Eastern Time</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****TRY IT OUT****</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www.computershare.com/investor</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Investor ServiceDirect</w:t>
      </w:r>
      <w:r>
        <w:rPr>
          <w:rFonts w:ascii="Times New Roman" w:cs="Times New Roman" w:eastAsia="Times New Roman" w:hAnsi="Times New Roman"/>
          <w:sz w:val="15"/>
          <w:szCs w:val="15"/>
          <w:b w:val="1"/>
          <w:bCs w:val="1"/>
          <w:i w:val="1"/>
          <w:iCs w:val="1"/>
          <w:color w:val="auto"/>
        </w:rPr>
        <w:t>®</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Available 24 hours per day, 7 days per week</w:t>
      </w:r>
    </w:p>
    <w:p>
      <w:pPr>
        <w:spacing w:after="0" w:line="202" w:lineRule="exact"/>
        <w:rPr>
          <w:sz w:val="20"/>
          <w:szCs w:val="20"/>
          <w:color w:val="auto"/>
        </w:rPr>
      </w:pPr>
    </w:p>
    <w:p>
      <w:pPr>
        <w:jc w:val="center"/>
        <w:ind w:right="-19"/>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TOLL FREE NUMBER:</w:t>
      </w:r>
      <w:r>
        <w:rPr>
          <w:sz w:val="20"/>
          <w:szCs w:val="20"/>
          <w:color w:val="auto"/>
        </w:rPr>
        <w:tab/>
      </w:r>
      <w:r>
        <w:rPr>
          <w:rFonts w:ascii="Times New Roman" w:cs="Times New Roman" w:eastAsia="Times New Roman" w:hAnsi="Times New Roman"/>
          <w:sz w:val="17"/>
          <w:szCs w:val="17"/>
          <w:b w:val="1"/>
          <w:bCs w:val="1"/>
          <w:color w:val="auto"/>
        </w:rPr>
        <w:t>1-800-311-4816</w:t>
      </w:r>
    </w:p>
    <w:p>
      <w:pPr>
        <w:sectPr>
          <w:pgSz w:w="11900" w:h="16838" w:orient="portrait"/>
          <w:cols w:equalWidth="0" w:num="1">
            <w:col w:w="11420"/>
          </w:cols>
          <w:pgMar w:left="240" w:top="455" w:right="23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8"/>
          <w:szCs w:val="18"/>
          <w:color w:val="auto"/>
        </w:rPr>
        <w:t>Please Mark Here for</w:t>
      </w:r>
    </w:p>
    <w:p>
      <w:pPr>
        <w:spacing w:after="0" w:line="16" w:lineRule="exact"/>
        <w:rPr>
          <w:sz w:val="20"/>
          <w:szCs w:val="20"/>
          <w:color w:val="auto"/>
        </w:rPr>
      </w:pPr>
    </w:p>
    <w:p>
      <w:pPr>
        <w:jc w:val="right"/>
        <w:ind w:right="960"/>
        <w:spacing w:after="0" w:line="207" w:lineRule="exact"/>
        <w:tabs>
          <w:tab w:leader="none" w:pos="160" w:val="left"/>
        </w:tabs>
        <w:rPr>
          <w:sz w:val="20"/>
          <w:szCs w:val="20"/>
          <w:color w:val="auto"/>
        </w:rPr>
      </w:pPr>
      <w:r>
        <w:rPr>
          <w:rFonts w:ascii="Times New Roman" w:cs="Times New Roman" w:eastAsia="Times New Roman" w:hAnsi="Times New Roman"/>
          <w:sz w:val="18"/>
          <w:szCs w:val="18"/>
          <w:color w:val="auto"/>
        </w:rPr>
        <w:t>Address Change or</w:t>
      </w:r>
      <w:r>
        <w:rPr>
          <w:sz w:val="20"/>
          <w:szCs w:val="20"/>
          <w:color w:val="auto"/>
        </w:rPr>
        <w:tab/>
      </w:r>
      <w:r>
        <w:rPr>
          <w:rFonts w:ascii="MS PGothic" w:cs="MS PGothic" w:eastAsia="MS PGothic" w:hAnsi="MS PGothic"/>
          <w:sz w:val="18"/>
          <w:szCs w:val="18"/>
          <w:color w:val="auto"/>
        </w:rPr>
        <w:t>☐</w:t>
      </w:r>
    </w:p>
    <w:p>
      <w:pPr>
        <w:spacing w:after="0" w:line="22"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8"/>
          <w:szCs w:val="18"/>
          <w:color w:val="auto"/>
        </w:rPr>
        <w:t>Comments</w:t>
      </w:r>
    </w:p>
    <w:p>
      <w:pPr>
        <w:spacing w:after="0" w:line="106"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8"/>
          <w:szCs w:val="18"/>
          <w:b w:val="1"/>
          <w:bCs w:val="1"/>
          <w:color w:val="auto"/>
        </w:rPr>
        <w:t>SEE REVERSE SIDE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ELECTION OF 14 DIRECTORS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each of these nominees)</w:t>
      </w:r>
    </w:p>
    <w:p>
      <w:pPr>
        <w:sectPr>
          <w:pgSz w:w="11900" w:h="16838" w:orient="portrait"/>
          <w:cols w:equalWidth="0" w:num="1">
            <w:col w:w="11420"/>
          </w:cols>
          <w:pgMar w:left="240" w:top="455" w:right="2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01 J.W. Marriott, Jr.</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02 Mary K. Bush</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03 Bruce W. Duncan</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04 Deborah M. Harrison</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05 Frederick A. Henderson</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FOR  AGAINST  ABSTAIN</w:t>
            </w:r>
          </w:p>
        </w:tc>
        <w:tc>
          <w:tcPr>
            <w:tcW w:w="2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10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FOR  AGAINST  ABSTAIN</w:t>
            </w:r>
          </w:p>
        </w:tc>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0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FOR  AGAINST  ABSTAIN</w:t>
            </w:r>
          </w:p>
        </w:tc>
      </w:tr>
      <w:tr>
        <w:trPr>
          <w:trHeight w:val="338"/>
        </w:trPr>
        <w:tc>
          <w:tcPr>
            <w:tcW w:w="420" w:type="dxa"/>
            <w:vAlign w:val="bottom"/>
          </w:tcPr>
          <w:p>
            <w:pPr>
              <w:ind w:left="40"/>
              <w:spacing w:after="0" w:line="221" w:lineRule="exact"/>
              <w:rPr>
                <w:sz w:val="20"/>
                <w:szCs w:val="20"/>
                <w:color w:val="auto"/>
              </w:rPr>
            </w:pPr>
            <w:r>
              <w:rPr>
                <w:rFonts w:ascii="MS PGothic" w:cs="MS PGothic" w:eastAsia="MS PGothic" w:hAnsi="MS PGothic"/>
                <w:sz w:val="22"/>
                <w:szCs w:val="22"/>
                <w:color w:val="auto"/>
              </w:rPr>
              <w:t>☐</w:t>
            </w:r>
          </w:p>
        </w:tc>
        <w:tc>
          <w:tcPr>
            <w:tcW w:w="640" w:type="dxa"/>
            <w:vAlign w:val="bottom"/>
          </w:tcPr>
          <w:p>
            <w:pPr>
              <w:ind w:left="180"/>
              <w:spacing w:after="0" w:line="221" w:lineRule="exact"/>
              <w:rPr>
                <w:sz w:val="20"/>
                <w:szCs w:val="20"/>
                <w:color w:val="auto"/>
              </w:rPr>
            </w:pPr>
            <w:r>
              <w:rPr>
                <w:rFonts w:ascii="MS PGothic" w:cs="MS PGothic" w:eastAsia="MS PGothic" w:hAnsi="MS PGothic"/>
                <w:sz w:val="22"/>
                <w:szCs w:val="22"/>
                <w:color w:val="auto"/>
              </w:rPr>
              <w:t>☐</w:t>
            </w:r>
          </w:p>
        </w:tc>
        <w:tc>
          <w:tcPr>
            <w:tcW w:w="720" w:type="dxa"/>
            <w:vAlign w:val="bottom"/>
          </w:tcPr>
          <w:p>
            <w:pPr>
              <w:ind w:left="260"/>
              <w:spacing w:after="0" w:line="221" w:lineRule="exact"/>
              <w:rPr>
                <w:sz w:val="20"/>
                <w:szCs w:val="20"/>
                <w:color w:val="auto"/>
              </w:rPr>
            </w:pPr>
            <w:r>
              <w:rPr>
                <w:rFonts w:ascii="MS PGothic" w:cs="MS PGothic" w:eastAsia="MS PGothic" w:hAnsi="MS PGothic"/>
                <w:sz w:val="22"/>
                <w:szCs w:val="22"/>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9"/>
              </w:rPr>
              <w:t>06</w:t>
            </w:r>
          </w:p>
        </w:tc>
        <w:tc>
          <w:tcPr>
            <w:tcW w:w="1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Eric Hippeau</w:t>
            </w:r>
          </w:p>
        </w:tc>
        <w:tc>
          <w:tcPr>
            <w:tcW w:w="740" w:type="dxa"/>
            <w:vAlign w:val="bottom"/>
          </w:tcPr>
          <w:p>
            <w:pPr>
              <w:ind w:left="360"/>
              <w:spacing w:after="0" w:line="221" w:lineRule="exact"/>
              <w:rPr>
                <w:sz w:val="20"/>
                <w:szCs w:val="20"/>
                <w:color w:val="auto"/>
              </w:rPr>
            </w:pPr>
            <w:r>
              <w:rPr>
                <w:rFonts w:ascii="MS PGothic" w:cs="MS PGothic" w:eastAsia="MS PGothic" w:hAnsi="MS PGothic"/>
                <w:sz w:val="22"/>
                <w:szCs w:val="22"/>
                <w:color w:val="auto"/>
              </w:rPr>
              <w:t>☐</w:t>
            </w:r>
          </w:p>
        </w:tc>
        <w:tc>
          <w:tcPr>
            <w:tcW w:w="640" w:type="dxa"/>
            <w:vAlign w:val="bottom"/>
          </w:tcPr>
          <w:p>
            <w:pPr>
              <w:ind w:left="180"/>
              <w:spacing w:after="0" w:line="221" w:lineRule="exact"/>
              <w:rPr>
                <w:sz w:val="20"/>
                <w:szCs w:val="20"/>
                <w:color w:val="auto"/>
              </w:rPr>
            </w:pPr>
            <w:r>
              <w:rPr>
                <w:rFonts w:ascii="MS PGothic" w:cs="MS PGothic" w:eastAsia="MS PGothic" w:hAnsi="MS PGothic"/>
                <w:sz w:val="22"/>
                <w:szCs w:val="22"/>
                <w:color w:val="auto"/>
              </w:rPr>
              <w:t>☐</w:t>
            </w:r>
          </w:p>
        </w:tc>
        <w:tc>
          <w:tcPr>
            <w:tcW w:w="720" w:type="dxa"/>
            <w:vAlign w:val="bottom"/>
          </w:tcPr>
          <w:p>
            <w:pPr>
              <w:ind w:left="260"/>
              <w:spacing w:after="0" w:line="221" w:lineRule="exact"/>
              <w:rPr>
                <w:sz w:val="20"/>
                <w:szCs w:val="20"/>
                <w:color w:val="auto"/>
              </w:rPr>
            </w:pPr>
            <w:r>
              <w:rPr>
                <w:rFonts w:ascii="MS PGothic" w:cs="MS PGothic" w:eastAsia="MS PGothic" w:hAnsi="MS PGothic"/>
                <w:sz w:val="22"/>
                <w:szCs w:val="22"/>
                <w:color w:val="auto"/>
              </w:rPr>
              <w:t>☐</w:t>
            </w: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11 Steven S Reinemund</w:t>
            </w:r>
          </w:p>
        </w:tc>
        <w:tc>
          <w:tcPr>
            <w:tcW w:w="700" w:type="dxa"/>
            <w:vAlign w:val="bottom"/>
          </w:tcPr>
          <w:p>
            <w:pPr>
              <w:ind w:left="320"/>
              <w:spacing w:after="0" w:line="221" w:lineRule="exact"/>
              <w:rPr>
                <w:sz w:val="20"/>
                <w:szCs w:val="20"/>
                <w:color w:val="auto"/>
              </w:rPr>
            </w:pPr>
            <w:r>
              <w:rPr>
                <w:rFonts w:ascii="MS PGothic" w:cs="MS PGothic" w:eastAsia="MS PGothic" w:hAnsi="MS PGothic"/>
                <w:sz w:val="22"/>
                <w:szCs w:val="22"/>
                <w:color w:val="auto"/>
              </w:rPr>
              <w:t>☐</w:t>
            </w:r>
          </w:p>
        </w:tc>
        <w:tc>
          <w:tcPr>
            <w:tcW w:w="640" w:type="dxa"/>
            <w:vAlign w:val="bottom"/>
          </w:tcPr>
          <w:p>
            <w:pPr>
              <w:ind w:left="180"/>
              <w:spacing w:after="0" w:line="221" w:lineRule="exact"/>
              <w:rPr>
                <w:sz w:val="20"/>
                <w:szCs w:val="20"/>
                <w:color w:val="auto"/>
              </w:rPr>
            </w:pPr>
            <w:r>
              <w:rPr>
                <w:rFonts w:ascii="MS PGothic" w:cs="MS PGothic" w:eastAsia="MS PGothic" w:hAnsi="MS PGothic"/>
                <w:sz w:val="22"/>
                <w:szCs w:val="22"/>
                <w:color w:val="auto"/>
              </w:rPr>
              <w:t>☐</w:t>
            </w:r>
          </w:p>
        </w:tc>
        <w:tc>
          <w:tcPr>
            <w:tcW w:w="660" w:type="dxa"/>
            <w:vAlign w:val="bottom"/>
          </w:tcPr>
          <w:p>
            <w:pPr>
              <w:ind w:left="260"/>
              <w:spacing w:after="0" w:line="221" w:lineRule="exact"/>
              <w:rPr>
                <w:sz w:val="20"/>
                <w:szCs w:val="20"/>
                <w:color w:val="auto"/>
              </w:rPr>
            </w:pPr>
            <w:r>
              <w:rPr>
                <w:rFonts w:ascii="MS PGothic" w:cs="MS PGothic" w:eastAsia="MS PGothic" w:hAnsi="MS PGothic"/>
                <w:sz w:val="22"/>
                <w:szCs w:val="22"/>
                <w:color w:val="auto"/>
              </w:rPr>
              <w:t>☐</w:t>
            </w:r>
          </w:p>
        </w:tc>
      </w:tr>
      <w:tr>
        <w:trPr>
          <w:trHeight w:val="174"/>
        </w:trPr>
        <w:tc>
          <w:tcPr>
            <w:tcW w:w="1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FOR  AGAINST  ABSTAIN</w:t>
            </w:r>
          </w:p>
        </w:tc>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10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FOR  AGAINST  ABSTAIN</w:t>
            </w: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0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FOR  AGAINST  ABSTAIN</w:t>
            </w:r>
          </w:p>
        </w:tc>
      </w:tr>
      <w:tr>
        <w:trPr>
          <w:trHeight w:val="338"/>
        </w:trPr>
        <w:tc>
          <w:tcPr>
            <w:tcW w:w="420" w:type="dxa"/>
            <w:vAlign w:val="bottom"/>
          </w:tcPr>
          <w:p>
            <w:pPr>
              <w:ind w:left="40"/>
              <w:spacing w:after="0" w:line="221" w:lineRule="exact"/>
              <w:rPr>
                <w:sz w:val="20"/>
                <w:szCs w:val="20"/>
                <w:color w:val="auto"/>
              </w:rPr>
            </w:pPr>
            <w:r>
              <w:rPr>
                <w:rFonts w:ascii="MS PGothic" w:cs="MS PGothic" w:eastAsia="MS PGothic" w:hAnsi="MS PGothic"/>
                <w:sz w:val="22"/>
                <w:szCs w:val="22"/>
                <w:color w:val="auto"/>
              </w:rPr>
              <w:t>☐</w:t>
            </w:r>
          </w:p>
        </w:tc>
        <w:tc>
          <w:tcPr>
            <w:tcW w:w="640" w:type="dxa"/>
            <w:vAlign w:val="bottom"/>
          </w:tcPr>
          <w:p>
            <w:pPr>
              <w:ind w:left="180"/>
              <w:spacing w:after="0" w:line="221" w:lineRule="exact"/>
              <w:rPr>
                <w:sz w:val="20"/>
                <w:szCs w:val="20"/>
                <w:color w:val="auto"/>
              </w:rPr>
            </w:pPr>
            <w:r>
              <w:rPr>
                <w:rFonts w:ascii="MS PGothic" w:cs="MS PGothic" w:eastAsia="MS PGothic" w:hAnsi="MS PGothic"/>
                <w:sz w:val="22"/>
                <w:szCs w:val="22"/>
                <w:color w:val="auto"/>
              </w:rPr>
              <w:t>☐</w:t>
            </w:r>
          </w:p>
        </w:tc>
        <w:tc>
          <w:tcPr>
            <w:tcW w:w="720" w:type="dxa"/>
            <w:vAlign w:val="bottom"/>
          </w:tcPr>
          <w:p>
            <w:pPr>
              <w:ind w:left="260"/>
              <w:spacing w:after="0" w:line="221" w:lineRule="exact"/>
              <w:rPr>
                <w:sz w:val="20"/>
                <w:szCs w:val="20"/>
                <w:color w:val="auto"/>
              </w:rPr>
            </w:pPr>
            <w:r>
              <w:rPr>
                <w:rFonts w:ascii="MS PGothic" w:cs="MS PGothic" w:eastAsia="MS PGothic" w:hAnsi="MS PGothic"/>
                <w:sz w:val="22"/>
                <w:szCs w:val="22"/>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9"/>
              </w:rPr>
              <w:t>07</w:t>
            </w:r>
          </w:p>
        </w:tc>
        <w:tc>
          <w:tcPr>
            <w:tcW w:w="1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Lawrence W. Kellner</w:t>
            </w:r>
          </w:p>
        </w:tc>
        <w:tc>
          <w:tcPr>
            <w:tcW w:w="740" w:type="dxa"/>
            <w:vAlign w:val="bottom"/>
          </w:tcPr>
          <w:p>
            <w:pPr>
              <w:ind w:left="360"/>
              <w:spacing w:after="0" w:line="221" w:lineRule="exact"/>
              <w:rPr>
                <w:sz w:val="20"/>
                <w:szCs w:val="20"/>
                <w:color w:val="auto"/>
              </w:rPr>
            </w:pPr>
            <w:r>
              <w:rPr>
                <w:rFonts w:ascii="MS PGothic" w:cs="MS PGothic" w:eastAsia="MS PGothic" w:hAnsi="MS PGothic"/>
                <w:sz w:val="22"/>
                <w:szCs w:val="22"/>
                <w:color w:val="auto"/>
              </w:rPr>
              <w:t>☐</w:t>
            </w:r>
          </w:p>
        </w:tc>
        <w:tc>
          <w:tcPr>
            <w:tcW w:w="640" w:type="dxa"/>
            <w:vAlign w:val="bottom"/>
          </w:tcPr>
          <w:p>
            <w:pPr>
              <w:ind w:left="180"/>
              <w:spacing w:after="0" w:line="221" w:lineRule="exact"/>
              <w:rPr>
                <w:sz w:val="20"/>
                <w:szCs w:val="20"/>
                <w:color w:val="auto"/>
              </w:rPr>
            </w:pPr>
            <w:r>
              <w:rPr>
                <w:rFonts w:ascii="MS PGothic" w:cs="MS PGothic" w:eastAsia="MS PGothic" w:hAnsi="MS PGothic"/>
                <w:sz w:val="22"/>
                <w:szCs w:val="22"/>
                <w:color w:val="auto"/>
              </w:rPr>
              <w:t>☐</w:t>
            </w:r>
          </w:p>
        </w:tc>
        <w:tc>
          <w:tcPr>
            <w:tcW w:w="720" w:type="dxa"/>
            <w:vAlign w:val="bottom"/>
          </w:tcPr>
          <w:p>
            <w:pPr>
              <w:ind w:left="260"/>
              <w:spacing w:after="0" w:line="221" w:lineRule="exact"/>
              <w:rPr>
                <w:sz w:val="20"/>
                <w:szCs w:val="20"/>
                <w:color w:val="auto"/>
              </w:rPr>
            </w:pPr>
            <w:r>
              <w:rPr>
                <w:rFonts w:ascii="MS PGothic" w:cs="MS PGothic" w:eastAsia="MS PGothic" w:hAnsi="MS PGothic"/>
                <w:sz w:val="22"/>
                <w:szCs w:val="22"/>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9"/>
              </w:rPr>
              <w:t>12</w:t>
            </w:r>
          </w:p>
        </w:tc>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 Mitt Romney</w:t>
            </w:r>
          </w:p>
        </w:tc>
        <w:tc>
          <w:tcPr>
            <w:tcW w:w="700" w:type="dxa"/>
            <w:vAlign w:val="bottom"/>
          </w:tcPr>
          <w:p>
            <w:pPr>
              <w:ind w:left="320"/>
              <w:spacing w:after="0" w:line="221" w:lineRule="exact"/>
              <w:rPr>
                <w:sz w:val="20"/>
                <w:szCs w:val="20"/>
                <w:color w:val="auto"/>
              </w:rPr>
            </w:pPr>
            <w:r>
              <w:rPr>
                <w:rFonts w:ascii="MS PGothic" w:cs="MS PGothic" w:eastAsia="MS PGothic" w:hAnsi="MS PGothic"/>
                <w:sz w:val="22"/>
                <w:szCs w:val="22"/>
                <w:color w:val="auto"/>
              </w:rPr>
              <w:t>☐</w:t>
            </w:r>
          </w:p>
        </w:tc>
        <w:tc>
          <w:tcPr>
            <w:tcW w:w="640" w:type="dxa"/>
            <w:vAlign w:val="bottom"/>
          </w:tcPr>
          <w:p>
            <w:pPr>
              <w:ind w:left="180"/>
              <w:spacing w:after="0" w:line="221" w:lineRule="exact"/>
              <w:rPr>
                <w:sz w:val="20"/>
                <w:szCs w:val="20"/>
                <w:color w:val="auto"/>
              </w:rPr>
            </w:pPr>
            <w:r>
              <w:rPr>
                <w:rFonts w:ascii="MS PGothic" w:cs="MS PGothic" w:eastAsia="MS PGothic" w:hAnsi="MS PGothic"/>
                <w:sz w:val="22"/>
                <w:szCs w:val="22"/>
                <w:color w:val="auto"/>
              </w:rPr>
              <w:t>☐</w:t>
            </w:r>
          </w:p>
        </w:tc>
        <w:tc>
          <w:tcPr>
            <w:tcW w:w="660" w:type="dxa"/>
            <w:vAlign w:val="bottom"/>
          </w:tcPr>
          <w:p>
            <w:pPr>
              <w:ind w:left="260"/>
              <w:spacing w:after="0" w:line="221" w:lineRule="exact"/>
              <w:rPr>
                <w:sz w:val="20"/>
                <w:szCs w:val="20"/>
                <w:color w:val="auto"/>
              </w:rPr>
            </w:pPr>
            <w:r>
              <w:rPr>
                <w:rFonts w:ascii="MS PGothic" w:cs="MS PGothic" w:eastAsia="MS PGothic" w:hAnsi="MS PGothic"/>
                <w:sz w:val="22"/>
                <w:szCs w:val="22"/>
                <w:color w:val="auto"/>
              </w:rPr>
              <w:t>☐</w:t>
            </w:r>
          </w:p>
        </w:tc>
      </w:tr>
      <w:tr>
        <w:trPr>
          <w:trHeight w:val="174"/>
        </w:trPr>
        <w:tc>
          <w:tcPr>
            <w:tcW w:w="1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FOR  AGAINST  ABSTAIN</w:t>
            </w:r>
          </w:p>
        </w:tc>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10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FOR  AGAINST  ABSTAIN</w:t>
            </w: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0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FOR  AGAINST  ABSTAIN</w:t>
            </w:r>
          </w:p>
        </w:tc>
      </w:tr>
      <w:tr>
        <w:trPr>
          <w:trHeight w:val="338"/>
        </w:trPr>
        <w:tc>
          <w:tcPr>
            <w:tcW w:w="420" w:type="dxa"/>
            <w:vAlign w:val="bottom"/>
          </w:tcPr>
          <w:p>
            <w:pPr>
              <w:ind w:left="40"/>
              <w:spacing w:after="0" w:line="221" w:lineRule="exact"/>
              <w:rPr>
                <w:sz w:val="20"/>
                <w:szCs w:val="20"/>
                <w:color w:val="auto"/>
              </w:rPr>
            </w:pPr>
            <w:r>
              <w:rPr>
                <w:rFonts w:ascii="MS PGothic" w:cs="MS PGothic" w:eastAsia="MS PGothic" w:hAnsi="MS PGothic"/>
                <w:sz w:val="22"/>
                <w:szCs w:val="22"/>
                <w:color w:val="auto"/>
              </w:rPr>
              <w:t>☐</w:t>
            </w:r>
          </w:p>
        </w:tc>
        <w:tc>
          <w:tcPr>
            <w:tcW w:w="640" w:type="dxa"/>
            <w:vAlign w:val="bottom"/>
          </w:tcPr>
          <w:p>
            <w:pPr>
              <w:ind w:left="180"/>
              <w:spacing w:after="0" w:line="221" w:lineRule="exact"/>
              <w:rPr>
                <w:sz w:val="20"/>
                <w:szCs w:val="20"/>
                <w:color w:val="auto"/>
              </w:rPr>
            </w:pPr>
            <w:r>
              <w:rPr>
                <w:rFonts w:ascii="MS PGothic" w:cs="MS PGothic" w:eastAsia="MS PGothic" w:hAnsi="MS PGothic"/>
                <w:sz w:val="22"/>
                <w:szCs w:val="22"/>
                <w:color w:val="auto"/>
              </w:rPr>
              <w:t>☐</w:t>
            </w:r>
          </w:p>
        </w:tc>
        <w:tc>
          <w:tcPr>
            <w:tcW w:w="720" w:type="dxa"/>
            <w:vAlign w:val="bottom"/>
          </w:tcPr>
          <w:p>
            <w:pPr>
              <w:ind w:left="260"/>
              <w:spacing w:after="0" w:line="221" w:lineRule="exact"/>
              <w:rPr>
                <w:sz w:val="20"/>
                <w:szCs w:val="20"/>
                <w:color w:val="auto"/>
              </w:rPr>
            </w:pPr>
            <w:r>
              <w:rPr>
                <w:rFonts w:ascii="MS PGothic" w:cs="MS PGothic" w:eastAsia="MS PGothic" w:hAnsi="MS PGothic"/>
                <w:sz w:val="22"/>
                <w:szCs w:val="22"/>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9"/>
              </w:rPr>
              <w:t>08</w:t>
            </w:r>
          </w:p>
        </w:tc>
        <w:tc>
          <w:tcPr>
            <w:tcW w:w="1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Debra L. Lee</w:t>
            </w:r>
          </w:p>
        </w:tc>
        <w:tc>
          <w:tcPr>
            <w:tcW w:w="740" w:type="dxa"/>
            <w:vAlign w:val="bottom"/>
          </w:tcPr>
          <w:p>
            <w:pPr>
              <w:ind w:left="360"/>
              <w:spacing w:after="0" w:line="221" w:lineRule="exact"/>
              <w:rPr>
                <w:sz w:val="20"/>
                <w:szCs w:val="20"/>
                <w:color w:val="auto"/>
              </w:rPr>
            </w:pPr>
            <w:r>
              <w:rPr>
                <w:rFonts w:ascii="MS PGothic" w:cs="MS PGothic" w:eastAsia="MS PGothic" w:hAnsi="MS PGothic"/>
                <w:sz w:val="22"/>
                <w:szCs w:val="22"/>
                <w:color w:val="auto"/>
              </w:rPr>
              <w:t>☐</w:t>
            </w:r>
          </w:p>
        </w:tc>
        <w:tc>
          <w:tcPr>
            <w:tcW w:w="640" w:type="dxa"/>
            <w:vAlign w:val="bottom"/>
          </w:tcPr>
          <w:p>
            <w:pPr>
              <w:ind w:left="180"/>
              <w:spacing w:after="0" w:line="221" w:lineRule="exact"/>
              <w:rPr>
                <w:sz w:val="20"/>
                <w:szCs w:val="20"/>
                <w:color w:val="auto"/>
              </w:rPr>
            </w:pPr>
            <w:r>
              <w:rPr>
                <w:rFonts w:ascii="MS PGothic" w:cs="MS PGothic" w:eastAsia="MS PGothic" w:hAnsi="MS PGothic"/>
                <w:sz w:val="22"/>
                <w:szCs w:val="22"/>
                <w:color w:val="auto"/>
              </w:rPr>
              <w:t>☐</w:t>
            </w:r>
          </w:p>
        </w:tc>
        <w:tc>
          <w:tcPr>
            <w:tcW w:w="720" w:type="dxa"/>
            <w:vAlign w:val="bottom"/>
          </w:tcPr>
          <w:p>
            <w:pPr>
              <w:ind w:left="260"/>
              <w:spacing w:after="0" w:line="221" w:lineRule="exact"/>
              <w:rPr>
                <w:sz w:val="20"/>
                <w:szCs w:val="20"/>
                <w:color w:val="auto"/>
              </w:rPr>
            </w:pPr>
            <w:r>
              <w:rPr>
                <w:rFonts w:ascii="MS PGothic" w:cs="MS PGothic" w:eastAsia="MS PGothic" w:hAnsi="MS PGothic"/>
                <w:sz w:val="22"/>
                <w:szCs w:val="22"/>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9"/>
              </w:rPr>
              <w:t>13</w:t>
            </w:r>
          </w:p>
        </w:tc>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Susan C. Schwab</w:t>
            </w:r>
          </w:p>
        </w:tc>
        <w:tc>
          <w:tcPr>
            <w:tcW w:w="700" w:type="dxa"/>
            <w:vAlign w:val="bottom"/>
          </w:tcPr>
          <w:p>
            <w:pPr>
              <w:ind w:left="320"/>
              <w:spacing w:after="0" w:line="221" w:lineRule="exact"/>
              <w:rPr>
                <w:sz w:val="20"/>
                <w:szCs w:val="20"/>
                <w:color w:val="auto"/>
              </w:rPr>
            </w:pPr>
            <w:r>
              <w:rPr>
                <w:rFonts w:ascii="MS PGothic" w:cs="MS PGothic" w:eastAsia="MS PGothic" w:hAnsi="MS PGothic"/>
                <w:sz w:val="22"/>
                <w:szCs w:val="22"/>
                <w:color w:val="auto"/>
              </w:rPr>
              <w:t>☐</w:t>
            </w:r>
          </w:p>
        </w:tc>
        <w:tc>
          <w:tcPr>
            <w:tcW w:w="640" w:type="dxa"/>
            <w:vAlign w:val="bottom"/>
          </w:tcPr>
          <w:p>
            <w:pPr>
              <w:ind w:left="180"/>
              <w:spacing w:after="0" w:line="221" w:lineRule="exact"/>
              <w:rPr>
                <w:sz w:val="20"/>
                <w:szCs w:val="20"/>
                <w:color w:val="auto"/>
              </w:rPr>
            </w:pPr>
            <w:r>
              <w:rPr>
                <w:rFonts w:ascii="MS PGothic" w:cs="MS PGothic" w:eastAsia="MS PGothic" w:hAnsi="MS PGothic"/>
                <w:sz w:val="22"/>
                <w:szCs w:val="22"/>
                <w:color w:val="auto"/>
              </w:rPr>
              <w:t>☐</w:t>
            </w:r>
          </w:p>
        </w:tc>
        <w:tc>
          <w:tcPr>
            <w:tcW w:w="660" w:type="dxa"/>
            <w:vAlign w:val="bottom"/>
          </w:tcPr>
          <w:p>
            <w:pPr>
              <w:ind w:left="260"/>
              <w:spacing w:after="0" w:line="221" w:lineRule="exact"/>
              <w:rPr>
                <w:sz w:val="20"/>
                <w:szCs w:val="20"/>
                <w:color w:val="auto"/>
              </w:rPr>
            </w:pPr>
            <w:r>
              <w:rPr>
                <w:rFonts w:ascii="MS PGothic" w:cs="MS PGothic" w:eastAsia="MS PGothic" w:hAnsi="MS PGothic"/>
                <w:sz w:val="22"/>
                <w:szCs w:val="22"/>
                <w:color w:val="auto"/>
              </w:rPr>
              <w:t>☐</w:t>
            </w:r>
          </w:p>
        </w:tc>
      </w:tr>
      <w:tr>
        <w:trPr>
          <w:trHeight w:val="174"/>
        </w:trPr>
        <w:tc>
          <w:tcPr>
            <w:tcW w:w="1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FOR  AGAINST  ABSTAIN</w:t>
            </w:r>
          </w:p>
        </w:tc>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10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FOR  AGAINST  ABSTAIN</w:t>
            </w: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0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FOR  AGAINST  ABSTAIN</w:t>
            </w:r>
          </w:p>
        </w:tc>
      </w:tr>
      <w:tr>
        <w:trPr>
          <w:trHeight w:val="338"/>
        </w:trPr>
        <w:tc>
          <w:tcPr>
            <w:tcW w:w="420" w:type="dxa"/>
            <w:vAlign w:val="bottom"/>
          </w:tcPr>
          <w:p>
            <w:pPr>
              <w:ind w:left="40"/>
              <w:spacing w:after="0" w:line="221" w:lineRule="exact"/>
              <w:rPr>
                <w:sz w:val="20"/>
                <w:szCs w:val="20"/>
                <w:color w:val="auto"/>
              </w:rPr>
            </w:pPr>
            <w:r>
              <w:rPr>
                <w:rFonts w:ascii="MS PGothic" w:cs="MS PGothic" w:eastAsia="MS PGothic" w:hAnsi="MS PGothic"/>
                <w:sz w:val="22"/>
                <w:szCs w:val="22"/>
                <w:color w:val="auto"/>
              </w:rPr>
              <w:t>☐</w:t>
            </w:r>
          </w:p>
        </w:tc>
        <w:tc>
          <w:tcPr>
            <w:tcW w:w="640" w:type="dxa"/>
            <w:vAlign w:val="bottom"/>
          </w:tcPr>
          <w:p>
            <w:pPr>
              <w:ind w:left="180"/>
              <w:spacing w:after="0" w:line="221" w:lineRule="exact"/>
              <w:rPr>
                <w:sz w:val="20"/>
                <w:szCs w:val="20"/>
                <w:color w:val="auto"/>
              </w:rPr>
            </w:pPr>
            <w:r>
              <w:rPr>
                <w:rFonts w:ascii="MS PGothic" w:cs="MS PGothic" w:eastAsia="MS PGothic" w:hAnsi="MS PGothic"/>
                <w:sz w:val="22"/>
                <w:szCs w:val="22"/>
                <w:color w:val="auto"/>
              </w:rPr>
              <w:t>☐</w:t>
            </w:r>
          </w:p>
        </w:tc>
        <w:tc>
          <w:tcPr>
            <w:tcW w:w="720" w:type="dxa"/>
            <w:vAlign w:val="bottom"/>
          </w:tcPr>
          <w:p>
            <w:pPr>
              <w:ind w:left="260"/>
              <w:spacing w:after="0" w:line="221" w:lineRule="exact"/>
              <w:rPr>
                <w:sz w:val="20"/>
                <w:szCs w:val="20"/>
                <w:color w:val="auto"/>
              </w:rPr>
            </w:pPr>
            <w:r>
              <w:rPr>
                <w:rFonts w:ascii="MS PGothic" w:cs="MS PGothic" w:eastAsia="MS PGothic" w:hAnsi="MS PGothic"/>
                <w:sz w:val="22"/>
                <w:szCs w:val="22"/>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9"/>
              </w:rPr>
              <w:t>09</w:t>
            </w:r>
          </w:p>
        </w:tc>
        <w:tc>
          <w:tcPr>
            <w:tcW w:w="1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Aylwin B. Lewis</w:t>
            </w:r>
          </w:p>
        </w:tc>
        <w:tc>
          <w:tcPr>
            <w:tcW w:w="740" w:type="dxa"/>
            <w:vAlign w:val="bottom"/>
          </w:tcPr>
          <w:p>
            <w:pPr>
              <w:ind w:left="360"/>
              <w:spacing w:after="0" w:line="221" w:lineRule="exact"/>
              <w:rPr>
                <w:sz w:val="20"/>
                <w:szCs w:val="20"/>
                <w:color w:val="auto"/>
              </w:rPr>
            </w:pPr>
            <w:r>
              <w:rPr>
                <w:rFonts w:ascii="MS PGothic" w:cs="MS PGothic" w:eastAsia="MS PGothic" w:hAnsi="MS PGothic"/>
                <w:sz w:val="22"/>
                <w:szCs w:val="22"/>
                <w:color w:val="auto"/>
              </w:rPr>
              <w:t>☐</w:t>
            </w:r>
          </w:p>
        </w:tc>
        <w:tc>
          <w:tcPr>
            <w:tcW w:w="640" w:type="dxa"/>
            <w:vAlign w:val="bottom"/>
          </w:tcPr>
          <w:p>
            <w:pPr>
              <w:ind w:left="180"/>
              <w:spacing w:after="0" w:line="221" w:lineRule="exact"/>
              <w:rPr>
                <w:sz w:val="20"/>
                <w:szCs w:val="20"/>
                <w:color w:val="auto"/>
              </w:rPr>
            </w:pPr>
            <w:r>
              <w:rPr>
                <w:rFonts w:ascii="MS PGothic" w:cs="MS PGothic" w:eastAsia="MS PGothic" w:hAnsi="MS PGothic"/>
                <w:sz w:val="22"/>
                <w:szCs w:val="22"/>
                <w:color w:val="auto"/>
              </w:rPr>
              <w:t>☐</w:t>
            </w:r>
          </w:p>
        </w:tc>
        <w:tc>
          <w:tcPr>
            <w:tcW w:w="720" w:type="dxa"/>
            <w:vAlign w:val="bottom"/>
          </w:tcPr>
          <w:p>
            <w:pPr>
              <w:ind w:left="260"/>
              <w:spacing w:after="0" w:line="221" w:lineRule="exact"/>
              <w:rPr>
                <w:sz w:val="20"/>
                <w:szCs w:val="20"/>
                <w:color w:val="auto"/>
              </w:rPr>
            </w:pPr>
            <w:r>
              <w:rPr>
                <w:rFonts w:ascii="MS PGothic" w:cs="MS PGothic" w:eastAsia="MS PGothic" w:hAnsi="MS PGothic"/>
                <w:sz w:val="22"/>
                <w:szCs w:val="22"/>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9"/>
              </w:rPr>
              <w:t>14</w:t>
            </w:r>
          </w:p>
        </w:tc>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Arne M. Sorenson</w:t>
            </w:r>
          </w:p>
        </w:tc>
        <w:tc>
          <w:tcPr>
            <w:tcW w:w="700" w:type="dxa"/>
            <w:vAlign w:val="bottom"/>
          </w:tcPr>
          <w:p>
            <w:pPr>
              <w:ind w:left="320"/>
              <w:spacing w:after="0" w:line="221" w:lineRule="exact"/>
              <w:rPr>
                <w:sz w:val="20"/>
                <w:szCs w:val="20"/>
                <w:color w:val="auto"/>
              </w:rPr>
            </w:pPr>
            <w:r>
              <w:rPr>
                <w:rFonts w:ascii="MS PGothic" w:cs="MS PGothic" w:eastAsia="MS PGothic" w:hAnsi="MS PGothic"/>
                <w:sz w:val="22"/>
                <w:szCs w:val="22"/>
                <w:color w:val="auto"/>
              </w:rPr>
              <w:t>☐</w:t>
            </w:r>
          </w:p>
        </w:tc>
        <w:tc>
          <w:tcPr>
            <w:tcW w:w="640" w:type="dxa"/>
            <w:vAlign w:val="bottom"/>
          </w:tcPr>
          <w:p>
            <w:pPr>
              <w:ind w:left="180"/>
              <w:spacing w:after="0" w:line="221" w:lineRule="exact"/>
              <w:rPr>
                <w:sz w:val="20"/>
                <w:szCs w:val="20"/>
                <w:color w:val="auto"/>
              </w:rPr>
            </w:pPr>
            <w:r>
              <w:rPr>
                <w:rFonts w:ascii="MS PGothic" w:cs="MS PGothic" w:eastAsia="MS PGothic" w:hAnsi="MS PGothic"/>
                <w:sz w:val="22"/>
                <w:szCs w:val="22"/>
                <w:color w:val="auto"/>
              </w:rPr>
              <w:t>☐</w:t>
            </w:r>
          </w:p>
        </w:tc>
        <w:tc>
          <w:tcPr>
            <w:tcW w:w="660" w:type="dxa"/>
            <w:vAlign w:val="bottom"/>
          </w:tcPr>
          <w:p>
            <w:pPr>
              <w:ind w:left="260"/>
              <w:spacing w:after="0" w:line="221" w:lineRule="exact"/>
              <w:rPr>
                <w:sz w:val="20"/>
                <w:szCs w:val="20"/>
                <w:color w:val="auto"/>
              </w:rPr>
            </w:pPr>
            <w:r>
              <w:rPr>
                <w:rFonts w:ascii="MS PGothic" w:cs="MS PGothic" w:eastAsia="MS PGothic" w:hAnsi="MS PGothic"/>
                <w:sz w:val="22"/>
                <w:szCs w:val="22"/>
                <w:color w:val="auto"/>
              </w:rPr>
              <w:t>☐</w:t>
            </w:r>
          </w:p>
        </w:tc>
      </w:tr>
      <w:tr>
        <w:trPr>
          <w:trHeight w:val="174"/>
        </w:trPr>
        <w:tc>
          <w:tcPr>
            <w:tcW w:w="1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FOR  AGAINST  ABSTAIN</w:t>
            </w:r>
          </w:p>
        </w:tc>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10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FOR  AGAINST  ABSTAIN</w:t>
            </w: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338"/>
        </w:trPr>
        <w:tc>
          <w:tcPr>
            <w:tcW w:w="420" w:type="dxa"/>
            <w:vAlign w:val="bottom"/>
          </w:tcPr>
          <w:p>
            <w:pPr>
              <w:ind w:left="40"/>
              <w:spacing w:after="0" w:line="221" w:lineRule="exact"/>
              <w:rPr>
                <w:sz w:val="20"/>
                <w:szCs w:val="20"/>
                <w:color w:val="auto"/>
              </w:rPr>
            </w:pPr>
            <w:r>
              <w:rPr>
                <w:rFonts w:ascii="MS PGothic" w:cs="MS PGothic" w:eastAsia="MS PGothic" w:hAnsi="MS PGothic"/>
                <w:sz w:val="22"/>
                <w:szCs w:val="22"/>
                <w:color w:val="auto"/>
              </w:rPr>
              <w:t>☐</w:t>
            </w:r>
          </w:p>
        </w:tc>
        <w:tc>
          <w:tcPr>
            <w:tcW w:w="640" w:type="dxa"/>
            <w:vAlign w:val="bottom"/>
          </w:tcPr>
          <w:p>
            <w:pPr>
              <w:ind w:left="180"/>
              <w:spacing w:after="0" w:line="221" w:lineRule="exact"/>
              <w:rPr>
                <w:sz w:val="20"/>
                <w:szCs w:val="20"/>
                <w:color w:val="auto"/>
              </w:rPr>
            </w:pPr>
            <w:r>
              <w:rPr>
                <w:rFonts w:ascii="MS PGothic" w:cs="MS PGothic" w:eastAsia="MS PGothic" w:hAnsi="MS PGothic"/>
                <w:sz w:val="22"/>
                <w:szCs w:val="22"/>
                <w:color w:val="auto"/>
              </w:rPr>
              <w:t>☐</w:t>
            </w:r>
          </w:p>
        </w:tc>
        <w:tc>
          <w:tcPr>
            <w:tcW w:w="720" w:type="dxa"/>
            <w:vAlign w:val="bottom"/>
          </w:tcPr>
          <w:p>
            <w:pPr>
              <w:ind w:left="260"/>
              <w:spacing w:after="0" w:line="221" w:lineRule="exact"/>
              <w:rPr>
                <w:sz w:val="20"/>
                <w:szCs w:val="20"/>
                <w:color w:val="auto"/>
              </w:rPr>
            </w:pPr>
            <w:r>
              <w:rPr>
                <w:rFonts w:ascii="MS PGothic" w:cs="MS PGothic" w:eastAsia="MS PGothic" w:hAnsi="MS PGothic"/>
                <w:sz w:val="22"/>
                <w:szCs w:val="22"/>
                <w:color w:val="auto"/>
              </w:rPr>
              <w:t>☐</w:t>
            </w:r>
          </w:p>
        </w:tc>
        <w:tc>
          <w:tcPr>
            <w:tcW w:w="17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10 George Muñoz</w:t>
            </w:r>
          </w:p>
        </w:tc>
        <w:tc>
          <w:tcPr>
            <w:tcW w:w="740" w:type="dxa"/>
            <w:vAlign w:val="bottom"/>
          </w:tcPr>
          <w:p>
            <w:pPr>
              <w:ind w:left="360"/>
              <w:spacing w:after="0" w:line="221" w:lineRule="exact"/>
              <w:rPr>
                <w:sz w:val="20"/>
                <w:szCs w:val="20"/>
                <w:color w:val="auto"/>
              </w:rPr>
            </w:pPr>
            <w:r>
              <w:rPr>
                <w:rFonts w:ascii="MS PGothic" w:cs="MS PGothic" w:eastAsia="MS PGothic" w:hAnsi="MS PGothic"/>
                <w:sz w:val="22"/>
                <w:szCs w:val="22"/>
                <w:color w:val="auto"/>
              </w:rPr>
              <w:t>☐</w:t>
            </w:r>
          </w:p>
        </w:tc>
        <w:tc>
          <w:tcPr>
            <w:tcW w:w="640" w:type="dxa"/>
            <w:vAlign w:val="bottom"/>
          </w:tcPr>
          <w:p>
            <w:pPr>
              <w:ind w:left="180"/>
              <w:spacing w:after="0" w:line="221" w:lineRule="exact"/>
              <w:rPr>
                <w:sz w:val="20"/>
                <w:szCs w:val="20"/>
                <w:color w:val="auto"/>
              </w:rPr>
            </w:pPr>
            <w:r>
              <w:rPr>
                <w:rFonts w:ascii="MS PGothic" w:cs="MS PGothic" w:eastAsia="MS PGothic" w:hAnsi="MS PGothic"/>
                <w:sz w:val="22"/>
                <w:szCs w:val="22"/>
                <w:color w:val="auto"/>
              </w:rPr>
              <w:t>☐</w:t>
            </w:r>
          </w:p>
        </w:tc>
        <w:tc>
          <w:tcPr>
            <w:tcW w:w="720" w:type="dxa"/>
            <w:vAlign w:val="bottom"/>
          </w:tcPr>
          <w:p>
            <w:pPr>
              <w:ind w:left="260"/>
              <w:spacing w:after="0" w:line="221" w:lineRule="exact"/>
              <w:rPr>
                <w:sz w:val="20"/>
                <w:szCs w:val="20"/>
                <w:color w:val="auto"/>
              </w:rPr>
            </w:pPr>
            <w:r>
              <w:rPr>
                <w:rFonts w:ascii="MS PGothic" w:cs="MS PGothic" w:eastAsia="MS PGothic" w:hAnsi="MS PGothic"/>
                <w:sz w:val="22"/>
                <w:szCs w:val="22"/>
                <w:color w:val="auto"/>
              </w:rPr>
              <w:t>☐</w:t>
            </w: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169" w:lineRule="exact"/>
        <w:rPr>
          <w:sz w:val="20"/>
          <w:szCs w:val="20"/>
          <w:color w:val="auto"/>
        </w:rPr>
      </w:pPr>
    </w:p>
    <w:p>
      <w:pPr>
        <w:ind w:left="2660" w:right="420" w:hanging="816"/>
        <w:spacing w:after="0" w:line="266" w:lineRule="auto"/>
        <w:rPr>
          <w:sz w:val="20"/>
          <w:szCs w:val="20"/>
          <w:color w:val="auto"/>
        </w:rPr>
      </w:pPr>
      <w:r>
        <w:rPr>
          <w:rFonts w:ascii="Times New Roman" w:cs="Times New Roman" w:eastAsia="Times New Roman" w:hAnsi="Times New Roman"/>
          <w:sz w:val="18"/>
          <w:szCs w:val="18"/>
          <w:color w:val="auto"/>
        </w:rPr>
        <w:t>ITEM 2 – RATIFICATION OF THE APPOINTMENT OF ERNST &amp; YOUNG AS THE COMPANY’S INDEPENDENT REGISTERED PUBLIC ACCOUNTING FIRM FOR FISCAL 2018</w:t>
      </w:r>
    </w:p>
    <w:p>
      <w:pPr>
        <w:spacing w:after="0" w:line="46" w:lineRule="exact"/>
        <w:rPr>
          <w:sz w:val="20"/>
          <w:szCs w:val="20"/>
          <w:color w:val="auto"/>
        </w:rPr>
      </w:pPr>
    </w:p>
    <w:p>
      <w:pPr>
        <w:sectPr>
          <w:pgSz w:w="11900" w:h="16838" w:orient="portrait"/>
          <w:cols w:equalWidth="0" w:num="2">
            <w:col w:w="1580" w:space="480"/>
            <w:col w:w="9360"/>
          </w:cols>
          <w:pgMar w:left="240" w:top="455" w:right="239" w:bottom="1440" w:gutter="0" w:footer="0" w:header="0"/>
          <w:type w:val="continuous"/>
        </w:sectPr>
      </w:pPr>
    </w:p>
    <w:tbl>
      <w:tblPr>
        <w:tblLayout w:type="fixed"/>
        <w:tblInd w:w="2660" w:type="dxa"/>
        <w:tblCellMar>
          <w:top w:w="0" w:type="dxa"/>
          <w:left w:w="0" w:type="dxa"/>
          <w:bottom w:w="0" w:type="dxa"/>
          <w:right w:w="0" w:type="dxa"/>
        </w:tblCellMar>
      </w:tblPr>
      <w:tr>
        <w:trPr>
          <w:trHeight w:val="161"/>
        </w:trPr>
        <w:tc>
          <w:tcPr>
            <w:tcW w:w="2280" w:type="dxa"/>
            <w:vAlign w:val="bottom"/>
          </w:tcPr>
          <w:p>
            <w:pPr>
              <w:spacing w:after="0"/>
              <w:rPr>
                <w:sz w:val="13"/>
                <w:szCs w:val="13"/>
                <w:color w:val="auto"/>
              </w:rPr>
            </w:pPr>
          </w:p>
        </w:tc>
        <w:tc>
          <w:tcPr>
            <w:tcW w:w="1340" w:type="dxa"/>
            <w:vAlign w:val="bottom"/>
          </w:tcPr>
          <w:p>
            <w:pPr>
              <w:jc w:val="center"/>
              <w:ind w:right="90"/>
              <w:spacing w:after="0"/>
              <w:rPr>
                <w:sz w:val="20"/>
                <w:szCs w:val="20"/>
                <w:color w:val="auto"/>
              </w:rPr>
            </w:pPr>
            <w:r>
              <w:rPr>
                <w:rFonts w:ascii="Times New Roman" w:cs="Times New Roman" w:eastAsia="Times New Roman" w:hAnsi="Times New Roman"/>
                <w:sz w:val="14"/>
                <w:szCs w:val="14"/>
                <w:color w:val="auto"/>
              </w:rPr>
              <w:t>FOR</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AGAINST</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ABSTAIN</w:t>
            </w:r>
          </w:p>
        </w:tc>
      </w:tr>
      <w:tr>
        <w:trPr>
          <w:trHeight w:val="229"/>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Board of Directors</w:t>
            </w:r>
          </w:p>
        </w:tc>
        <w:tc>
          <w:tcPr>
            <w:tcW w:w="1340" w:type="dxa"/>
            <w:vAlign w:val="bottom"/>
          </w:tcPr>
          <w:p>
            <w:pPr>
              <w:jc w:val="center"/>
              <w:ind w:right="70"/>
              <w:spacing w:after="0" w:line="221" w:lineRule="exact"/>
              <w:rPr>
                <w:sz w:val="20"/>
                <w:szCs w:val="20"/>
                <w:color w:val="auto"/>
              </w:rPr>
            </w:pPr>
            <w:r>
              <w:rPr>
                <w:rFonts w:ascii="MS PGothic" w:cs="MS PGothic" w:eastAsia="MS PGothic" w:hAnsi="MS PGothic"/>
                <w:sz w:val="22"/>
                <w:szCs w:val="22"/>
                <w:color w:val="auto"/>
                <w:w w:val="81"/>
              </w:rPr>
              <w:t>☐</w:t>
            </w:r>
          </w:p>
        </w:tc>
        <w:tc>
          <w:tcPr>
            <w:tcW w:w="1800" w:type="dxa"/>
            <w:vAlign w:val="bottom"/>
          </w:tcPr>
          <w:p>
            <w:pPr>
              <w:jc w:val="center"/>
              <w:ind w:left="10"/>
              <w:spacing w:after="0" w:line="221" w:lineRule="exact"/>
              <w:rPr>
                <w:sz w:val="20"/>
                <w:szCs w:val="20"/>
                <w:color w:val="auto"/>
              </w:rPr>
            </w:pPr>
            <w:r>
              <w:rPr>
                <w:rFonts w:ascii="MS PGothic" w:cs="MS PGothic" w:eastAsia="MS PGothic" w:hAnsi="MS PGothic"/>
                <w:sz w:val="22"/>
                <w:szCs w:val="22"/>
                <w:color w:val="auto"/>
                <w:w w:val="81"/>
              </w:rPr>
              <w:t>☐</w:t>
            </w:r>
          </w:p>
        </w:tc>
        <w:tc>
          <w:tcPr>
            <w:tcW w:w="172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rPr>
              <w:t>☐</w:t>
            </w:r>
          </w:p>
        </w:tc>
      </w:tr>
      <w:tr>
        <w:trPr>
          <w:trHeight w:val="207"/>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recommends a</w:t>
            </w:r>
          </w:p>
        </w:tc>
        <w:tc>
          <w:tcPr>
            <w:tcW w:w="13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38"/>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vote FOR Item 2)</w:t>
            </w:r>
          </w:p>
        </w:tc>
        <w:tc>
          <w:tcPr>
            <w:tcW w:w="13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37"/>
        </w:trPr>
        <w:tc>
          <w:tcPr>
            <w:tcW w:w="7140" w:type="dxa"/>
            <w:vAlign w:val="bottom"/>
            <w:gridSpan w:val="4"/>
          </w:tcPr>
          <w:p>
            <w:pPr>
              <w:ind w:left="1260"/>
              <w:spacing w:after="0"/>
              <w:rPr>
                <w:sz w:val="20"/>
                <w:szCs w:val="20"/>
                <w:color w:val="auto"/>
              </w:rPr>
            </w:pPr>
            <w:r>
              <w:rPr>
                <w:rFonts w:ascii="Times New Roman" w:cs="Times New Roman" w:eastAsia="Times New Roman" w:hAnsi="Times New Roman"/>
                <w:sz w:val="18"/>
                <w:szCs w:val="18"/>
                <w:color w:val="auto"/>
                <w:w w:val="99"/>
              </w:rPr>
              <w:t>ITEM 3 – ADVISORY VOTE TO APPROVE EXECUTIVE COMPENSATION</w:t>
            </w:r>
          </w:p>
        </w:tc>
      </w:tr>
      <w:tr>
        <w:trPr>
          <w:trHeight w:val="229"/>
        </w:trPr>
        <w:tc>
          <w:tcPr>
            <w:tcW w:w="2280" w:type="dxa"/>
            <w:vAlign w:val="bottom"/>
          </w:tcPr>
          <w:p>
            <w:pPr>
              <w:spacing w:after="0"/>
              <w:rPr>
                <w:sz w:val="19"/>
                <w:szCs w:val="19"/>
                <w:color w:val="auto"/>
              </w:rPr>
            </w:pPr>
          </w:p>
        </w:tc>
        <w:tc>
          <w:tcPr>
            <w:tcW w:w="1340" w:type="dxa"/>
            <w:vAlign w:val="bottom"/>
          </w:tcPr>
          <w:p>
            <w:pPr>
              <w:jc w:val="center"/>
              <w:ind w:right="90"/>
              <w:spacing w:after="0"/>
              <w:rPr>
                <w:sz w:val="20"/>
                <w:szCs w:val="20"/>
                <w:color w:val="auto"/>
              </w:rPr>
            </w:pPr>
            <w:r>
              <w:rPr>
                <w:rFonts w:ascii="Times New Roman" w:cs="Times New Roman" w:eastAsia="Times New Roman" w:hAnsi="Times New Roman"/>
                <w:sz w:val="14"/>
                <w:szCs w:val="14"/>
                <w:color w:val="auto"/>
              </w:rPr>
              <w:t>FOR</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AGAINST</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ABSTAIN</w:t>
            </w:r>
          </w:p>
        </w:tc>
      </w:tr>
      <w:tr>
        <w:trPr>
          <w:trHeight w:val="229"/>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Board of Directors</w:t>
            </w:r>
          </w:p>
        </w:tc>
        <w:tc>
          <w:tcPr>
            <w:tcW w:w="1340" w:type="dxa"/>
            <w:vAlign w:val="bottom"/>
          </w:tcPr>
          <w:p>
            <w:pPr>
              <w:jc w:val="center"/>
              <w:ind w:right="70"/>
              <w:spacing w:after="0" w:line="221" w:lineRule="exact"/>
              <w:rPr>
                <w:sz w:val="20"/>
                <w:szCs w:val="20"/>
                <w:color w:val="auto"/>
              </w:rPr>
            </w:pPr>
            <w:r>
              <w:rPr>
                <w:rFonts w:ascii="MS PGothic" w:cs="MS PGothic" w:eastAsia="MS PGothic" w:hAnsi="MS PGothic"/>
                <w:sz w:val="22"/>
                <w:szCs w:val="22"/>
                <w:color w:val="auto"/>
                <w:w w:val="81"/>
              </w:rPr>
              <w:t>☐</w:t>
            </w:r>
          </w:p>
        </w:tc>
        <w:tc>
          <w:tcPr>
            <w:tcW w:w="1800" w:type="dxa"/>
            <w:vAlign w:val="bottom"/>
          </w:tcPr>
          <w:p>
            <w:pPr>
              <w:jc w:val="center"/>
              <w:ind w:left="10"/>
              <w:spacing w:after="0" w:line="221" w:lineRule="exact"/>
              <w:rPr>
                <w:sz w:val="20"/>
                <w:szCs w:val="20"/>
                <w:color w:val="auto"/>
              </w:rPr>
            </w:pPr>
            <w:r>
              <w:rPr>
                <w:rFonts w:ascii="MS PGothic" w:cs="MS PGothic" w:eastAsia="MS PGothic" w:hAnsi="MS PGothic"/>
                <w:sz w:val="22"/>
                <w:szCs w:val="22"/>
                <w:color w:val="auto"/>
                <w:w w:val="81"/>
              </w:rPr>
              <w:t>☐</w:t>
            </w:r>
          </w:p>
        </w:tc>
        <w:tc>
          <w:tcPr>
            <w:tcW w:w="172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rPr>
              <w:t>☐</w:t>
            </w:r>
          </w:p>
        </w:tc>
      </w:tr>
      <w:tr>
        <w:trPr>
          <w:trHeight w:val="231"/>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recommends a</w:t>
            </w:r>
          </w:p>
        </w:tc>
        <w:tc>
          <w:tcPr>
            <w:tcW w:w="13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720" w:type="dxa"/>
            <w:vAlign w:val="bottom"/>
          </w:tcPr>
          <w:p>
            <w:pPr>
              <w:spacing w:after="0"/>
              <w:rPr>
                <w:sz w:val="20"/>
                <w:szCs w:val="20"/>
                <w:color w:val="auto"/>
              </w:rPr>
            </w:pPr>
          </w:p>
        </w:tc>
      </w:tr>
    </w:tbl>
    <w:p>
      <w:pPr>
        <w:ind w:left="2660"/>
        <w:spacing w:after="0"/>
        <w:rPr>
          <w:sz w:val="20"/>
          <w:szCs w:val="20"/>
          <w:color w:val="auto"/>
        </w:rPr>
      </w:pPr>
      <w:r>
        <w:rPr>
          <w:rFonts w:ascii="Times New Roman" w:cs="Times New Roman" w:eastAsia="Times New Roman" w:hAnsi="Times New Roman"/>
          <w:sz w:val="18"/>
          <w:szCs w:val="18"/>
          <w:b w:val="1"/>
          <w:bCs w:val="1"/>
          <w:color w:val="auto"/>
        </w:rPr>
        <w:t>vote FOR Item 3)</w:t>
      </w:r>
    </w:p>
    <w:p>
      <w:pPr>
        <w:spacing w:after="0" w:line="110"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ITEM 4 – AMEND THE COMPANY’S CERTIFICATE OF INCORPORATION AND BYLAWS TO</w:t>
      </w:r>
    </w:p>
    <w:p>
      <w:pPr>
        <w:spacing w:after="0" w:line="27" w:lineRule="exact"/>
        <w:rPr>
          <w:sz w:val="20"/>
          <w:szCs w:val="20"/>
          <w:color w:val="auto"/>
        </w:rPr>
      </w:pPr>
    </w:p>
    <w:p>
      <w:pPr>
        <w:ind w:left="4720" w:right="780"/>
        <w:spacing w:after="0" w:line="260" w:lineRule="auto"/>
        <w:rPr>
          <w:sz w:val="20"/>
          <w:szCs w:val="20"/>
          <w:color w:val="auto"/>
        </w:rPr>
      </w:pPr>
      <w:r>
        <w:rPr>
          <w:rFonts w:ascii="Times New Roman" w:cs="Times New Roman" w:eastAsia="Times New Roman" w:hAnsi="Times New Roman"/>
          <w:sz w:val="18"/>
          <w:szCs w:val="18"/>
          <w:color w:val="auto"/>
        </w:rPr>
        <w:t>PROVIDE HOLDERS OF 25% OF COMPANY STOCK THE RIGHT TO CALL SPECIAL MEETINGS</w:t>
      </w:r>
    </w:p>
    <w:p>
      <w:pPr>
        <w:spacing w:after="0" w:line="51" w:lineRule="exact"/>
        <w:rPr>
          <w:sz w:val="20"/>
          <w:szCs w:val="20"/>
          <w:color w:val="auto"/>
        </w:rPr>
      </w:pPr>
    </w:p>
    <w:tbl>
      <w:tblPr>
        <w:tblLayout w:type="fixed"/>
        <w:tblInd w:w="2660" w:type="dxa"/>
        <w:tblCellMar>
          <w:top w:w="0" w:type="dxa"/>
          <w:left w:w="0" w:type="dxa"/>
          <w:bottom w:w="0" w:type="dxa"/>
          <w:right w:w="0" w:type="dxa"/>
        </w:tblCellMar>
      </w:tblPr>
      <w:tr>
        <w:trPr>
          <w:trHeight w:val="161"/>
        </w:trPr>
        <w:tc>
          <w:tcPr>
            <w:tcW w:w="2300" w:type="dxa"/>
            <w:vAlign w:val="bottom"/>
          </w:tcPr>
          <w:p>
            <w:pPr>
              <w:spacing w:after="0"/>
              <w:rPr>
                <w:sz w:val="13"/>
                <w:szCs w:val="13"/>
                <w:color w:val="auto"/>
              </w:rPr>
            </w:pPr>
          </w:p>
        </w:tc>
        <w:tc>
          <w:tcPr>
            <w:tcW w:w="1320" w:type="dxa"/>
            <w:vAlign w:val="bottom"/>
          </w:tcPr>
          <w:p>
            <w:pPr>
              <w:jc w:val="center"/>
              <w:ind w:right="110"/>
              <w:spacing w:after="0"/>
              <w:rPr>
                <w:sz w:val="20"/>
                <w:szCs w:val="20"/>
                <w:color w:val="auto"/>
              </w:rPr>
            </w:pPr>
            <w:r>
              <w:rPr>
                <w:rFonts w:ascii="Times New Roman" w:cs="Times New Roman" w:eastAsia="Times New Roman" w:hAnsi="Times New Roman"/>
                <w:sz w:val="14"/>
                <w:szCs w:val="14"/>
                <w:color w:val="auto"/>
              </w:rPr>
              <w:t>FOR</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AGAINST</w:t>
            </w:r>
          </w:p>
        </w:tc>
        <w:tc>
          <w:tcPr>
            <w:tcW w:w="1160" w:type="dxa"/>
            <w:vAlign w:val="bottom"/>
          </w:tcPr>
          <w:p>
            <w:pPr>
              <w:jc w:val="center"/>
              <w:ind w:left="450"/>
              <w:spacing w:after="0"/>
              <w:rPr>
                <w:sz w:val="20"/>
                <w:szCs w:val="20"/>
                <w:color w:val="auto"/>
              </w:rPr>
            </w:pPr>
            <w:r>
              <w:rPr>
                <w:rFonts w:ascii="Times New Roman" w:cs="Times New Roman" w:eastAsia="Times New Roman" w:hAnsi="Times New Roman"/>
                <w:sz w:val="14"/>
                <w:szCs w:val="14"/>
                <w:color w:val="auto"/>
              </w:rPr>
              <w:t>ABSTAIN</w:t>
            </w:r>
          </w:p>
        </w:tc>
      </w:tr>
      <w:tr>
        <w:trPr>
          <w:trHeight w:val="229"/>
        </w:trPr>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Board of Directors</w:t>
            </w:r>
          </w:p>
        </w:tc>
        <w:tc>
          <w:tcPr>
            <w:tcW w:w="1320" w:type="dxa"/>
            <w:vAlign w:val="bottom"/>
          </w:tcPr>
          <w:p>
            <w:pPr>
              <w:jc w:val="center"/>
              <w:ind w:right="90"/>
              <w:spacing w:after="0" w:line="221" w:lineRule="exact"/>
              <w:rPr>
                <w:sz w:val="20"/>
                <w:szCs w:val="20"/>
                <w:color w:val="auto"/>
              </w:rPr>
            </w:pPr>
            <w:r>
              <w:rPr>
                <w:rFonts w:ascii="MS PGothic" w:cs="MS PGothic" w:eastAsia="MS PGothic" w:hAnsi="MS PGothic"/>
                <w:sz w:val="22"/>
                <w:szCs w:val="22"/>
                <w:color w:val="auto"/>
                <w:w w:val="81"/>
              </w:rPr>
              <w:t>☐</w:t>
            </w:r>
          </w:p>
        </w:tc>
        <w:tc>
          <w:tcPr>
            <w:tcW w:w="1800" w:type="dxa"/>
            <w:vAlign w:val="bottom"/>
          </w:tcPr>
          <w:p>
            <w:pPr>
              <w:jc w:val="center"/>
              <w:ind w:left="10"/>
              <w:spacing w:after="0" w:line="221" w:lineRule="exact"/>
              <w:rPr>
                <w:sz w:val="20"/>
                <w:szCs w:val="20"/>
                <w:color w:val="auto"/>
              </w:rPr>
            </w:pPr>
            <w:r>
              <w:rPr>
                <w:rFonts w:ascii="MS PGothic" w:cs="MS PGothic" w:eastAsia="MS PGothic" w:hAnsi="MS PGothic"/>
                <w:sz w:val="22"/>
                <w:szCs w:val="22"/>
                <w:color w:val="auto"/>
                <w:w w:val="81"/>
              </w:rPr>
              <w:t>☐</w:t>
            </w:r>
          </w:p>
        </w:tc>
        <w:tc>
          <w:tcPr>
            <w:tcW w:w="1160" w:type="dxa"/>
            <w:vAlign w:val="bottom"/>
          </w:tcPr>
          <w:p>
            <w:pPr>
              <w:jc w:val="center"/>
              <w:ind w:left="45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207"/>
        </w:trPr>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recommends a vote FOR</w:t>
            </w:r>
          </w:p>
        </w:tc>
        <w:tc>
          <w:tcPr>
            <w:tcW w:w="13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8"/>
        </w:trPr>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3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160" w:type="dxa"/>
            <w:vAlign w:val="bottom"/>
          </w:tcPr>
          <w:p>
            <w:pPr>
              <w:spacing w:after="0"/>
              <w:rPr>
                <w:sz w:val="20"/>
                <w:szCs w:val="20"/>
                <w:color w:val="auto"/>
              </w:rPr>
            </w:pPr>
          </w:p>
        </w:tc>
      </w:tr>
    </w:tbl>
    <w:p>
      <w:pPr>
        <w:spacing w:after="0" w:line="10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ITEM 5 – STOCKHOLDER RESOLUTION TO ALLOW HOLDERS OF 15% OF COMPANY</w:t>
      </w:r>
    </w:p>
    <w:p>
      <w:pPr>
        <w:spacing w:after="0" w:line="2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STOCK TO CALL SPECIAL MEETINGS IF PROPERLY PRESENTED AT THE</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MEETING</w:t>
      </w:r>
    </w:p>
    <w:p>
      <w:pPr>
        <w:spacing w:after="0" w:line="77" w:lineRule="exact"/>
        <w:rPr>
          <w:sz w:val="20"/>
          <w:szCs w:val="20"/>
          <w:color w:val="auto"/>
        </w:rPr>
      </w:pPr>
    </w:p>
    <w:tbl>
      <w:tblPr>
        <w:tblLayout w:type="fixed"/>
        <w:tblInd w:w="2660" w:type="dxa"/>
        <w:tblCellMar>
          <w:top w:w="0" w:type="dxa"/>
          <w:left w:w="0" w:type="dxa"/>
          <w:bottom w:w="0" w:type="dxa"/>
          <w:right w:w="0" w:type="dxa"/>
        </w:tblCellMar>
      </w:tblPr>
      <w:tr>
        <w:trPr>
          <w:trHeight w:val="161"/>
        </w:trPr>
        <w:tc>
          <w:tcPr>
            <w:tcW w:w="2280" w:type="dxa"/>
            <w:vAlign w:val="bottom"/>
          </w:tcPr>
          <w:p>
            <w:pPr>
              <w:spacing w:after="0"/>
              <w:rPr>
                <w:sz w:val="13"/>
                <w:szCs w:val="13"/>
                <w:color w:val="auto"/>
              </w:rPr>
            </w:pPr>
          </w:p>
        </w:tc>
        <w:tc>
          <w:tcPr>
            <w:tcW w:w="1340" w:type="dxa"/>
            <w:vAlign w:val="bottom"/>
          </w:tcPr>
          <w:p>
            <w:pPr>
              <w:jc w:val="center"/>
              <w:ind w:right="90"/>
              <w:spacing w:after="0"/>
              <w:rPr>
                <w:sz w:val="20"/>
                <w:szCs w:val="20"/>
                <w:color w:val="auto"/>
              </w:rPr>
            </w:pPr>
            <w:r>
              <w:rPr>
                <w:rFonts w:ascii="Times New Roman" w:cs="Times New Roman" w:eastAsia="Times New Roman" w:hAnsi="Times New Roman"/>
                <w:sz w:val="14"/>
                <w:szCs w:val="14"/>
                <w:color w:val="auto"/>
              </w:rPr>
              <w:t>FOR</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AGAINST</w:t>
            </w:r>
          </w:p>
        </w:tc>
        <w:tc>
          <w:tcPr>
            <w:tcW w:w="1160" w:type="dxa"/>
            <w:vAlign w:val="bottom"/>
          </w:tcPr>
          <w:p>
            <w:pPr>
              <w:jc w:val="center"/>
              <w:ind w:left="450"/>
              <w:spacing w:after="0"/>
              <w:rPr>
                <w:sz w:val="20"/>
                <w:szCs w:val="20"/>
                <w:color w:val="auto"/>
              </w:rPr>
            </w:pPr>
            <w:r>
              <w:rPr>
                <w:rFonts w:ascii="Times New Roman" w:cs="Times New Roman" w:eastAsia="Times New Roman" w:hAnsi="Times New Roman"/>
                <w:sz w:val="14"/>
                <w:szCs w:val="14"/>
                <w:color w:val="auto"/>
              </w:rPr>
              <w:t>ABSTAIN</w:t>
            </w:r>
          </w:p>
        </w:tc>
      </w:tr>
      <w:tr>
        <w:trPr>
          <w:trHeight w:val="229"/>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Board of Directors</w:t>
            </w:r>
          </w:p>
        </w:tc>
        <w:tc>
          <w:tcPr>
            <w:tcW w:w="1340" w:type="dxa"/>
            <w:vAlign w:val="bottom"/>
          </w:tcPr>
          <w:p>
            <w:pPr>
              <w:jc w:val="center"/>
              <w:ind w:right="70"/>
              <w:spacing w:after="0" w:line="221" w:lineRule="exact"/>
              <w:rPr>
                <w:sz w:val="20"/>
                <w:szCs w:val="20"/>
                <w:color w:val="auto"/>
              </w:rPr>
            </w:pPr>
            <w:r>
              <w:rPr>
                <w:rFonts w:ascii="MS PGothic" w:cs="MS PGothic" w:eastAsia="MS PGothic" w:hAnsi="MS PGothic"/>
                <w:sz w:val="22"/>
                <w:szCs w:val="22"/>
                <w:color w:val="auto"/>
                <w:w w:val="81"/>
              </w:rPr>
              <w:t>☐</w:t>
            </w:r>
          </w:p>
        </w:tc>
        <w:tc>
          <w:tcPr>
            <w:tcW w:w="1800" w:type="dxa"/>
            <w:vAlign w:val="bottom"/>
          </w:tcPr>
          <w:p>
            <w:pPr>
              <w:jc w:val="center"/>
              <w:ind w:left="10"/>
              <w:spacing w:after="0" w:line="221" w:lineRule="exact"/>
              <w:rPr>
                <w:sz w:val="20"/>
                <w:szCs w:val="20"/>
                <w:color w:val="auto"/>
              </w:rPr>
            </w:pPr>
            <w:r>
              <w:rPr>
                <w:rFonts w:ascii="MS PGothic" w:cs="MS PGothic" w:eastAsia="MS PGothic" w:hAnsi="MS PGothic"/>
                <w:sz w:val="22"/>
                <w:szCs w:val="22"/>
                <w:color w:val="auto"/>
                <w:w w:val="81"/>
              </w:rPr>
              <w:t>☐</w:t>
            </w:r>
          </w:p>
        </w:tc>
        <w:tc>
          <w:tcPr>
            <w:tcW w:w="1160" w:type="dxa"/>
            <w:vAlign w:val="bottom"/>
          </w:tcPr>
          <w:p>
            <w:pPr>
              <w:jc w:val="center"/>
              <w:ind w:left="45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207"/>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recommends a</w:t>
            </w:r>
          </w:p>
        </w:tc>
        <w:tc>
          <w:tcPr>
            <w:tcW w:w="13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vote AGAINST</w:t>
            </w:r>
          </w:p>
        </w:tc>
        <w:tc>
          <w:tcPr>
            <w:tcW w:w="13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8"/>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3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160" w:type="dxa"/>
            <w:vAlign w:val="bottom"/>
          </w:tcPr>
          <w:p>
            <w:pPr>
              <w:spacing w:after="0"/>
              <w:rPr>
                <w:sz w:val="20"/>
                <w:szCs w:val="20"/>
                <w:color w:val="auto"/>
              </w:rPr>
            </w:pPr>
          </w:p>
        </w:tc>
      </w:tr>
    </w:tbl>
    <w:p>
      <w:pPr>
        <w:spacing w:after="0" w:line="10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ITEM 6 – STOCKHOLDER RESOLUTION TO IMPLEMENT A SIMPLE MAJORITY VOTING</w:t>
      </w:r>
    </w:p>
    <w:p>
      <w:pPr>
        <w:spacing w:after="0" w:line="2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STANDARD IN THE COMPANY’S GOVERNANCE DOCUMENTS IF PROPERLY</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PRESENTED AT THE MEETING</w:t>
      </w:r>
    </w:p>
    <w:p>
      <w:pPr>
        <w:spacing w:after="0" w:line="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6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FOR</w:t>
            </w:r>
          </w:p>
        </w:tc>
        <w:tc>
          <w:tcPr>
            <w:tcW w:w="2020" w:type="dxa"/>
            <w:vAlign w:val="bottom"/>
          </w:tcPr>
          <w:p>
            <w:pPr>
              <w:jc w:val="center"/>
              <w:ind w:left="210"/>
              <w:spacing w:after="0"/>
              <w:rPr>
                <w:sz w:val="20"/>
                <w:szCs w:val="20"/>
                <w:color w:val="auto"/>
              </w:rPr>
            </w:pPr>
            <w:r>
              <w:rPr>
                <w:rFonts w:ascii="Times New Roman" w:cs="Times New Roman" w:eastAsia="Times New Roman" w:hAnsi="Times New Roman"/>
                <w:sz w:val="14"/>
                <w:szCs w:val="14"/>
                <w:color w:val="auto"/>
              </w:rPr>
              <w:t>AGAINST</w:t>
            </w:r>
          </w:p>
        </w:tc>
        <w:tc>
          <w:tcPr>
            <w:tcW w:w="1900" w:type="dxa"/>
            <w:vAlign w:val="bottom"/>
            <w:gridSpan w:val="2"/>
          </w:tcPr>
          <w:p>
            <w:pPr>
              <w:jc w:val="center"/>
              <w:ind w:right="110"/>
              <w:spacing w:after="0"/>
              <w:rPr>
                <w:sz w:val="20"/>
                <w:szCs w:val="20"/>
                <w:color w:val="auto"/>
              </w:rPr>
            </w:pPr>
            <w:r>
              <w:rPr>
                <w:rFonts w:ascii="Times New Roman" w:cs="Times New Roman" w:eastAsia="Times New Roman" w:hAnsi="Times New Roman"/>
                <w:sz w:val="14"/>
                <w:szCs w:val="14"/>
                <w:color w:val="auto"/>
              </w:rPr>
              <w:t>ABSTAIN</w:t>
            </w:r>
          </w:p>
        </w:tc>
      </w:tr>
      <w:tr>
        <w:trPr>
          <w:trHeight w:val="229"/>
        </w:trPr>
        <w:tc>
          <w:tcPr>
            <w:tcW w:w="960" w:type="dxa"/>
            <w:vAlign w:val="bottom"/>
          </w:tcPr>
          <w:p>
            <w:pPr>
              <w:spacing w:after="0"/>
              <w:rPr>
                <w:sz w:val="19"/>
                <w:szCs w:val="19"/>
                <w:color w:val="auto"/>
              </w:rPr>
            </w:pPr>
          </w:p>
        </w:tc>
        <w:tc>
          <w:tcPr>
            <w:tcW w:w="3580" w:type="dxa"/>
            <w:vAlign w:val="bottom"/>
          </w:tcPr>
          <w:p>
            <w:pPr>
              <w:ind w:left="1240"/>
              <w:spacing w:after="0"/>
              <w:rPr>
                <w:sz w:val="20"/>
                <w:szCs w:val="20"/>
                <w:color w:val="auto"/>
              </w:rPr>
            </w:pPr>
            <w:r>
              <w:rPr>
                <w:rFonts w:ascii="Times New Roman" w:cs="Times New Roman" w:eastAsia="Times New Roman" w:hAnsi="Times New Roman"/>
                <w:sz w:val="18"/>
                <w:szCs w:val="18"/>
                <w:b w:val="1"/>
                <w:bCs w:val="1"/>
                <w:color w:val="auto"/>
              </w:rPr>
              <w:t>(The Board of Directors</w:t>
            </w:r>
          </w:p>
        </w:tc>
        <w:tc>
          <w:tcPr>
            <w:tcW w:w="106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rPr>
              <w:t>☐</w:t>
            </w:r>
          </w:p>
        </w:tc>
        <w:tc>
          <w:tcPr>
            <w:tcW w:w="2020" w:type="dxa"/>
            <w:vAlign w:val="bottom"/>
          </w:tcPr>
          <w:p>
            <w:pPr>
              <w:jc w:val="center"/>
              <w:ind w:left="230"/>
              <w:spacing w:after="0" w:line="221" w:lineRule="exact"/>
              <w:rPr>
                <w:sz w:val="20"/>
                <w:szCs w:val="20"/>
                <w:color w:val="auto"/>
              </w:rPr>
            </w:pPr>
            <w:r>
              <w:rPr>
                <w:rFonts w:ascii="MS PGothic" w:cs="MS PGothic" w:eastAsia="MS PGothic" w:hAnsi="MS PGothic"/>
                <w:sz w:val="22"/>
                <w:szCs w:val="22"/>
                <w:color w:val="auto"/>
                <w:w w:val="81"/>
              </w:rPr>
              <w:t>☐</w:t>
            </w:r>
          </w:p>
        </w:tc>
        <w:tc>
          <w:tcPr>
            <w:tcW w:w="1900" w:type="dxa"/>
            <w:vAlign w:val="bottom"/>
            <w:gridSpan w:val="2"/>
          </w:tcPr>
          <w:p>
            <w:pPr>
              <w:jc w:val="center"/>
              <w:ind w:right="11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207"/>
        </w:trPr>
        <w:tc>
          <w:tcPr>
            <w:tcW w:w="960" w:type="dxa"/>
            <w:vAlign w:val="bottom"/>
          </w:tcPr>
          <w:p>
            <w:pPr>
              <w:spacing w:after="0"/>
              <w:rPr>
                <w:sz w:val="17"/>
                <w:szCs w:val="17"/>
                <w:color w:val="auto"/>
              </w:rPr>
            </w:pPr>
          </w:p>
        </w:tc>
        <w:tc>
          <w:tcPr>
            <w:tcW w:w="3580" w:type="dxa"/>
            <w:vAlign w:val="bottom"/>
          </w:tcPr>
          <w:p>
            <w:pPr>
              <w:ind w:left="1240"/>
              <w:spacing w:after="0"/>
              <w:rPr>
                <w:sz w:val="20"/>
                <w:szCs w:val="20"/>
                <w:color w:val="auto"/>
              </w:rPr>
            </w:pPr>
            <w:r>
              <w:rPr>
                <w:rFonts w:ascii="Times New Roman" w:cs="Times New Roman" w:eastAsia="Times New Roman" w:hAnsi="Times New Roman"/>
                <w:sz w:val="18"/>
                <w:szCs w:val="18"/>
                <w:b w:val="1"/>
                <w:bCs w:val="1"/>
                <w:color w:val="auto"/>
              </w:rPr>
              <w:t>recommends a</w:t>
            </w:r>
          </w:p>
        </w:tc>
        <w:tc>
          <w:tcPr>
            <w:tcW w:w="10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16"/>
        </w:trPr>
        <w:tc>
          <w:tcPr>
            <w:tcW w:w="960" w:type="dxa"/>
            <w:vAlign w:val="bottom"/>
          </w:tcPr>
          <w:p>
            <w:pPr>
              <w:spacing w:after="0"/>
              <w:rPr>
                <w:sz w:val="18"/>
                <w:szCs w:val="18"/>
                <w:color w:val="auto"/>
              </w:rPr>
            </w:pPr>
          </w:p>
        </w:tc>
        <w:tc>
          <w:tcPr>
            <w:tcW w:w="3580" w:type="dxa"/>
            <w:vAlign w:val="bottom"/>
          </w:tcPr>
          <w:p>
            <w:pPr>
              <w:ind w:left="1240"/>
              <w:spacing w:after="0"/>
              <w:rPr>
                <w:sz w:val="20"/>
                <w:szCs w:val="20"/>
                <w:color w:val="auto"/>
              </w:rPr>
            </w:pPr>
            <w:r>
              <w:rPr>
                <w:rFonts w:ascii="Times New Roman" w:cs="Times New Roman" w:eastAsia="Times New Roman" w:hAnsi="Times New Roman"/>
                <w:sz w:val="18"/>
                <w:szCs w:val="18"/>
                <w:b w:val="1"/>
                <w:bCs w:val="1"/>
                <w:color w:val="auto"/>
              </w:rPr>
              <w:t>vote AGAINST</w:t>
            </w:r>
          </w:p>
        </w:tc>
        <w:tc>
          <w:tcPr>
            <w:tcW w:w="10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38"/>
        </w:trPr>
        <w:tc>
          <w:tcPr>
            <w:tcW w:w="960" w:type="dxa"/>
            <w:vAlign w:val="bottom"/>
          </w:tcPr>
          <w:p>
            <w:pPr>
              <w:spacing w:after="0"/>
              <w:rPr>
                <w:sz w:val="20"/>
                <w:szCs w:val="20"/>
                <w:color w:val="auto"/>
              </w:rPr>
            </w:pPr>
          </w:p>
        </w:tc>
        <w:tc>
          <w:tcPr>
            <w:tcW w:w="3580" w:type="dxa"/>
            <w:vAlign w:val="bottom"/>
          </w:tcPr>
          <w:p>
            <w:pPr>
              <w:ind w:left="124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472"/>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3580" w:type="dxa"/>
            <w:vAlign w:val="bottom"/>
            <w:tcBorders>
              <w:bottom w:val="single" w:sz="8" w:color="auto"/>
            </w:tcBorders>
          </w:tcPr>
          <w:p>
            <w:pPr>
              <w:spacing w:after="0"/>
              <w:rPr>
                <w:sz w:val="24"/>
                <w:szCs w:val="24"/>
                <w:color w:val="auto"/>
              </w:rPr>
            </w:pPr>
          </w:p>
        </w:tc>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0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w w:val="94"/>
              </w:rPr>
              <w:t>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6429375</wp:posOffset>
            </wp:positionH>
            <wp:positionV relativeFrom="paragraph">
              <wp:posOffset>-7620</wp:posOffset>
            </wp:positionV>
            <wp:extent cx="53086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30860" cy="8255"/>
                    </a:xfrm>
                    <a:prstGeom prst="rect">
                      <a:avLst/>
                    </a:prstGeom>
                    <a:noFill/>
                  </pic:spPr>
                </pic:pic>
              </a:graphicData>
            </a:graphic>
          </wp:anchor>
        </w:drawing>
      </w:r>
    </w:p>
    <w:p>
      <w:pPr>
        <w:spacing w:after="0" w:line="187" w:lineRule="exact"/>
        <w:rPr>
          <w:sz w:val="20"/>
          <w:szCs w:val="20"/>
          <w:color w:val="auto"/>
        </w:rPr>
      </w:pPr>
    </w:p>
    <w:p>
      <w:pPr>
        <w:ind w:left="460" w:right="500"/>
        <w:spacing w:after="0" w:line="286" w:lineRule="auto"/>
        <w:rPr>
          <w:sz w:val="20"/>
          <w:szCs w:val="20"/>
          <w:color w:val="auto"/>
        </w:rPr>
      </w:pPr>
      <w:r>
        <w:rPr>
          <w:rFonts w:ascii="Times New Roman" w:cs="Times New Roman" w:eastAsia="Times New Roman" w:hAnsi="Times New Roman"/>
          <w:sz w:val="18"/>
          <w:szCs w:val="18"/>
          <w:b w:val="1"/>
          <w:bCs w:val="1"/>
          <w:color w:val="auto"/>
        </w:rPr>
        <w:t>NOTE: Please sign as name appears hereon. Joint owners should each sign. When signing as attorney, executor, administrator, trustee or guardian, please give full title as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112395</wp:posOffset>
            </wp:positionV>
            <wp:extent cx="66643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664325" cy="825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type w:val="continuous"/>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200"/>
        <w:spacing w:after="0"/>
        <w:tabs>
          <w:tab w:leader="none" w:pos="160" w:val="left"/>
          <w:tab w:leader="none" w:pos="200" w:val="left"/>
        </w:tabs>
        <w:rPr>
          <w:sz w:val="20"/>
          <w:szCs w:val="20"/>
          <w:color w:val="auto"/>
        </w:rPr>
      </w:pPr>
      <w:r>
        <w:rPr>
          <w:rFonts w:ascii="Times New Roman" w:cs="Times New Roman" w:eastAsia="Times New Roman" w:hAnsi="Times New Roman"/>
          <w:sz w:val="18"/>
          <w:szCs w:val="18"/>
          <w:color w:val="auto"/>
        </w:rPr>
        <w:t>p</w:t>
      </w:r>
      <w:r>
        <w:rPr>
          <w:sz w:val="20"/>
          <w:szCs w:val="20"/>
          <w:color w:val="auto"/>
        </w:rPr>
        <w:tab/>
      </w:r>
      <w:r>
        <w:rPr>
          <w:rFonts w:ascii="Times New Roman" w:cs="Times New Roman" w:eastAsia="Times New Roman" w:hAnsi="Times New Roman"/>
          <w:sz w:val="18"/>
          <w:szCs w:val="18"/>
          <w:b w:val="1"/>
          <w:bCs w:val="1"/>
          <w:color w:val="auto"/>
        </w:rPr>
        <w:t>FOLD AND DETACH HERE</w:t>
      </w:r>
      <w:r>
        <w:rPr>
          <w:sz w:val="20"/>
          <w:szCs w:val="20"/>
          <w:color w:val="auto"/>
        </w:rPr>
        <w:tab/>
      </w:r>
      <w:r>
        <w:rPr>
          <w:rFonts w:ascii="Times New Roman" w:cs="Times New Roman" w:eastAsia="Times New Roman" w:hAnsi="Times New Roman"/>
          <w:sz w:val="16"/>
          <w:szCs w:val="16"/>
          <w:color w:val="auto"/>
        </w:rPr>
        <w:t>p</w:t>
      </w:r>
    </w:p>
    <w:p>
      <w:pPr>
        <w:spacing w:after="0" w:line="225"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WE ENCOURAGE YOU TO TAKE ADVANTAGE OF INTERNET OR TELEPHONE VOTING,</w:t>
      </w:r>
    </w:p>
    <w:p>
      <w:pPr>
        <w:spacing w:after="0" w:line="31"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BOTH ARE AVAILABLE 24 HOURS A DAY, 7 DAYS A WEEK.</w:t>
      </w:r>
    </w:p>
    <w:p>
      <w:pPr>
        <w:spacing w:after="0" w:line="202"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Internet and telephone voting is available through 11:59 PM Eastern Time</w:t>
      </w:r>
    </w:p>
    <w:p>
      <w:pPr>
        <w:spacing w:after="0" w:line="31"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on Thursday, May 3, 2018 the day before the meeting.</w:t>
      </w:r>
    </w:p>
    <w:p>
      <w:pPr>
        <w:spacing w:after="0" w:line="202"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7"/>
          <w:szCs w:val="17"/>
          <w:b w:val="1"/>
          <w:bCs w:val="1"/>
          <w:color w:val="auto"/>
        </w:rPr>
        <w:t>Your Internet or telephone vote authorizes the named proxies to vote your shares in the same manner</w:t>
      </w:r>
    </w:p>
    <w:p>
      <w:pPr>
        <w:spacing w:after="0" w:line="43"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as if you marked, signed and returned your proxy card.</w:t>
      </w:r>
    </w:p>
    <w:p>
      <w:pPr>
        <w:spacing w:after="0" w:line="202"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INTERNET</w:t>
      </w:r>
    </w:p>
    <w:p>
      <w:pPr>
        <w:spacing w:after="0" w:line="31"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http://www.envisionreports.com/Mar</w:t>
      </w:r>
    </w:p>
    <w:p>
      <w:pPr>
        <w:spacing w:after="0" w:line="9"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Use the Internet to vote. Have this card in hand when you access the website.</w:t>
      </w:r>
    </w:p>
    <w:p>
      <w:pPr>
        <w:spacing w:after="0" w:line="202"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TELEPHONE</w:t>
      </w:r>
    </w:p>
    <w:p>
      <w:pPr>
        <w:spacing w:after="0" w:line="31"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1-800-652-VOTE (8683)</w:t>
      </w:r>
    </w:p>
    <w:p>
      <w:pPr>
        <w:spacing w:after="0" w:line="9"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Use any touch-tone telephone to vote. Have this card in hand when you call.</w:t>
      </w:r>
    </w:p>
    <w:p>
      <w:pPr>
        <w:spacing w:after="0" w:line="206"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If you vote by Internet or telephone, you do NOT need to mail back your proxy card.</w:t>
      </w:r>
    </w:p>
    <w:p>
      <w:pPr>
        <w:spacing w:after="0" w:line="225"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To vote by mail, mark, sign and date your proxy card and return it in the enclosed postage-paid envelope.</w:t>
      </w:r>
    </w:p>
    <w:p>
      <w:pPr>
        <w:spacing w:after="0" w:line="225"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Your Internet and telephone vote authorizes the named proxies to vote your shares</w:t>
      </w:r>
    </w:p>
    <w:p>
      <w:pPr>
        <w:spacing w:after="0" w:line="27"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in the same manner as if you mark, signed and returned your proxy card.</w:t>
      </w:r>
    </w:p>
    <w:sectPr>
      <w:pgSz w:w="11900" w:h="16838" w:orient="portrait"/>
      <w:cols w:equalWidth="0" w:num="1">
        <w:col w:w="10219"/>
      </w:cols>
      <w:pgMar w:left="24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68E121F"/>
    <w:multiLevelType w:val="hybridMultilevel"/>
    <w:lvl w:ilvl="0">
      <w:lvlJc w:val="left"/>
      <w:lvlText w:val="☐"/>
      <w:numFmt w:val="bullet"/>
      <w:start w:val="1"/>
    </w:lvl>
  </w:abstractNum>
  <w:abstractNum w:abstractNumId="1">
    <w:nsid w:val="1EBA5D23"/>
    <w:multiLevelType w:val="hybridMultilevel"/>
    <w:lvl w:ilvl="0">
      <w:lvlJc w:val="left"/>
      <w:lvlText w:val="☒"/>
      <w:numFmt w:val="bullet"/>
      <w:start w:val="1"/>
    </w:lvl>
  </w:abstractNum>
  <w:abstractNum w:abstractNumId="2">
    <w:nsid w:val="661E3F1E"/>
    <w:multiLevelType w:val="hybridMultilevel"/>
    <w:lvl w:ilvl="0">
      <w:lvlJc w:val="left"/>
      <w:lvlText w:val="☐"/>
      <w:numFmt w:val="bullet"/>
      <w:start w:val="1"/>
    </w:lvl>
  </w:abstractNum>
  <w:abstractNum w:abstractNumId="3">
    <w:nsid w:val="5DC79EA8"/>
    <w:multiLevelType w:val="hybridMultilevel"/>
    <w:lvl w:ilvl="0">
      <w:lvlJc w:val="left"/>
      <w:lvlText w:val="☒"/>
      <w:numFmt w:val="bullet"/>
      <w:start w:val="1"/>
    </w:lvl>
  </w:abstractNum>
  <w:abstractNum w:abstractNumId="4">
    <w:nsid w:val="540A471C"/>
    <w:multiLevelType w:val="hybridMultilevel"/>
    <w:lvl w:ilvl="0">
      <w:lvlJc w:val="left"/>
      <w:lvlText w:val="☐"/>
      <w:numFmt w:val="bullet"/>
      <w:start w:val="1"/>
    </w:lvl>
    <w:lvl w:ilvl="1">
      <w:lvlJc w:val="left"/>
      <w:lvlText w:val="%2."/>
      <w:numFmt w:val="decimal"/>
      <w:start w:val="1"/>
    </w:lvl>
  </w:abstractNum>
  <w:abstractNum w:abstractNumId="5">
    <w:nsid w:val="7BD3EE7B"/>
    <w:multiLevelType w:val="hybridMultilevel"/>
    <w:lvl w:ilvl="0">
      <w:lvlJc w:val="left"/>
      <w:lvlText w:val="%1."/>
      <w:numFmt w:val="decimal"/>
      <w:start w:val="3"/>
    </w:lvl>
  </w:abstractNum>
  <w:abstractNum w:abstractNumId="6">
    <w:nsid w:val="51D9C564"/>
    <w:multiLevelType w:val="hybridMultilevel"/>
    <w:lvl w:ilvl="0">
      <w:lvlJc w:val="left"/>
      <w:lvlText w:val="•"/>
      <w:numFmt w:val="bullet"/>
      <w:start w:val="1"/>
    </w:lvl>
  </w:abstractNum>
  <w:abstractNum w:abstractNumId="7">
    <w:nsid w:val="613EFDC5"/>
    <w:multiLevelType w:val="hybridMultilevel"/>
    <w:lvl w:ilvl="0">
      <w:lvlJc w:val="left"/>
      <w:lvlText w:val="•"/>
      <w:numFmt w:val="bullet"/>
      <w:start w:val="1"/>
    </w:lvl>
  </w:abstractNum>
  <w:abstractNum w:abstractNumId="8">
    <w:nsid w:val="BF72B14"/>
    <w:multiLevelType w:val="hybridMultilevel"/>
    <w:lvl w:ilvl="0">
      <w:lvlJc w:val="left"/>
      <w:lvlText w:val="%1."/>
      <w:numFmt w:val="decimal"/>
      <w:start w:val="1"/>
    </w:lvl>
  </w:abstractNum>
  <w:abstractNum w:abstractNumId="9">
    <w:nsid w:val="11447B73"/>
    <w:multiLevelType w:val="hybridMultilevel"/>
    <w:lvl w:ilvl="0">
      <w:lvlJc w:val="left"/>
      <w:lvlText w:val="1"/>
      <w:numFmt w:val="bullet"/>
      <w:start w:val="1"/>
    </w:lvl>
  </w:abstractNum>
  <w:abstractNum w:abstractNumId="10">
    <w:nsid w:val="42963E5A"/>
    <w:multiLevelType w:val="hybridMultilevel"/>
    <w:lvl w:ilvl="0">
      <w:lvlJc w:val="left"/>
      <w:lvlText w:val="8"/>
      <w:numFmt w:val="bullet"/>
      <w:start w:val="1"/>
    </w:lvl>
  </w:abstractNum>
  <w:abstractNum w:abstractNumId="11">
    <w:nsid w:val="A0382C5"/>
    <w:multiLevelType w:val="hybridMultilevel"/>
    <w:lvl w:ilvl="0">
      <w:lvlJc w:val="left"/>
      <w:lvlText w:val="9"/>
      <w:numFmt w:val="bullet"/>
      <w:start w:val="1"/>
    </w:lvl>
  </w:abstractNum>
  <w:abstractNum w:abstractNumId="12">
    <w:nsid w:val="8F2B15E"/>
    <w:multiLevelType w:val="hybridMultilevel"/>
    <w:lvl w:ilvl="0">
      <w:lvlJc w:val="left"/>
      <w:lvlText w:val="%1"/>
      <w:numFmt w:val="decimal"/>
      <w:start w:val="12"/>
    </w:lvl>
  </w:abstractNum>
  <w:abstractNum w:abstractNumId="13">
    <w:nsid w:val="1A32234B"/>
    <w:multiLevelType w:val="hybridMultilevel"/>
    <w:lvl w:ilvl="0">
      <w:lvlJc w:val="left"/>
      <w:lvlText w:val="%1"/>
      <w:numFmt w:val="decimal"/>
      <w:start w:val="14"/>
    </w:lvl>
  </w:abstractNum>
  <w:abstractNum w:abstractNumId="14">
    <w:nsid w:val="3B0FD379"/>
    <w:multiLevelType w:val="hybridMultilevel"/>
    <w:lvl w:ilvl="0">
      <w:lvlJc w:val="left"/>
      <w:lvlText w:val="%1"/>
      <w:numFmt w:val="decimal"/>
      <w:start w:val="17"/>
    </w:lvl>
  </w:abstractNum>
  <w:abstractNum w:abstractNumId="15">
    <w:nsid w:val="68EB2F63"/>
    <w:multiLevelType w:val="hybridMultilevel"/>
    <w:lvl w:ilvl="0">
      <w:lvlJc w:val="left"/>
      <w:lvlText w:val="%1"/>
      <w:numFmt w:val="decimal"/>
      <w:start w:val="17"/>
    </w:lvl>
  </w:abstractNum>
  <w:abstractNum w:abstractNumId="16">
    <w:nsid w:val="4962813B"/>
    <w:multiLevelType w:val="hybridMultilevel"/>
    <w:lvl w:ilvl="0">
      <w:lvlJc w:val="left"/>
      <w:lvlText w:val="%1"/>
      <w:numFmt w:val="decimal"/>
      <w:start w:val="17"/>
    </w:lvl>
  </w:abstractNum>
  <w:abstractNum w:abstractNumId="17">
    <w:nsid w:val="60B6DF70"/>
    <w:multiLevelType w:val="hybridMultilevel"/>
    <w:lvl w:ilvl="0">
      <w:lvlJc w:val="left"/>
      <w:lvlText w:val="%1"/>
      <w:numFmt w:val="decimal"/>
      <w:start w:val="19"/>
    </w:lvl>
  </w:abstractNum>
  <w:abstractNum w:abstractNumId="18">
    <w:nsid w:val="6A5EE64"/>
    <w:multiLevelType w:val="hybridMultilevel"/>
    <w:lvl w:ilvl="0">
      <w:lvlJc w:val="left"/>
      <w:lvlText w:val="%1"/>
      <w:numFmt w:val="decimal"/>
      <w:start w:val="26"/>
    </w:lvl>
  </w:abstractNum>
  <w:abstractNum w:abstractNumId="19">
    <w:nsid w:val="14330624"/>
    <w:multiLevelType w:val="hybridMultilevel"/>
    <w:lvl w:ilvl="0">
      <w:lvlJc w:val="left"/>
      <w:lvlText w:val="%1"/>
      <w:numFmt w:val="decimal"/>
      <w:start w:val="26"/>
    </w:lvl>
  </w:abstractNum>
  <w:abstractNum w:abstractNumId="20">
    <w:nsid w:val="7FFFCA11"/>
    <w:multiLevelType w:val="hybridMultilevel"/>
    <w:lvl w:ilvl="0">
      <w:lvlJc w:val="left"/>
      <w:lvlText w:val="%1"/>
      <w:numFmt w:val="decimal"/>
      <w:start w:val="26"/>
    </w:lvl>
  </w:abstractNum>
  <w:abstractNum w:abstractNumId="21">
    <w:nsid w:val="1A27709E"/>
    <w:multiLevelType w:val="hybridMultilevel"/>
    <w:lvl w:ilvl="0">
      <w:lvlJc w:val="left"/>
      <w:lvlText w:val="%1"/>
      <w:numFmt w:val="decimal"/>
      <w:start w:val="30"/>
    </w:lvl>
  </w:abstractNum>
  <w:abstractNum w:abstractNumId="22">
    <w:nsid w:val="71EA1109"/>
    <w:multiLevelType w:val="hybridMultilevel"/>
    <w:lvl w:ilvl="0">
      <w:lvlJc w:val="left"/>
      <w:lvlText w:val="%1"/>
      <w:numFmt w:val="decimal"/>
      <w:start w:val="30"/>
    </w:lvl>
  </w:abstractNum>
  <w:abstractNum w:abstractNumId="23">
    <w:nsid w:val="100F59DC"/>
    <w:multiLevelType w:val="hybridMultilevel"/>
    <w:lvl w:ilvl="0">
      <w:lvlJc w:val="left"/>
      <w:lvlText w:val="%1"/>
      <w:numFmt w:val="decimal"/>
      <w:start w:val="30"/>
    </w:lvl>
  </w:abstractNum>
  <w:abstractNum w:abstractNumId="24">
    <w:nsid w:val="7FB7E0AA"/>
    <w:multiLevelType w:val="hybridMultilevel"/>
    <w:lvl w:ilvl="0">
      <w:lvlJc w:val="left"/>
      <w:lvlText w:val="%1"/>
      <w:numFmt w:val="decimal"/>
      <w:start w:val="30"/>
    </w:lvl>
  </w:abstractNum>
  <w:abstractNum w:abstractNumId="25">
    <w:nsid w:val="6EB5BD4"/>
    <w:multiLevelType w:val="hybridMultilevel"/>
    <w:lvl w:ilvl="0">
      <w:lvlJc w:val="left"/>
      <w:lvlText w:val="%1"/>
      <w:numFmt w:val="decimal"/>
      <w:start w:val="30"/>
    </w:lvl>
  </w:abstractNum>
  <w:abstractNum w:abstractNumId="26">
    <w:nsid w:val="6F6DD9AC"/>
    <w:multiLevelType w:val="hybridMultilevel"/>
    <w:lvl w:ilvl="0">
      <w:lvlJc w:val="left"/>
      <w:lvlText w:val="%1"/>
      <w:numFmt w:val="decimal"/>
      <w:start w:val="31"/>
    </w:lvl>
  </w:abstractNum>
  <w:abstractNum w:abstractNumId="27">
    <w:nsid w:val="94211F2"/>
    <w:multiLevelType w:val="hybridMultilevel"/>
    <w:lvl w:ilvl="0">
      <w:lvlJc w:val="left"/>
      <w:lvlText w:val="%1"/>
      <w:numFmt w:val="decimal"/>
      <w:start w:val="31"/>
    </w:lvl>
  </w:abstractNum>
  <w:abstractNum w:abstractNumId="28">
    <w:nsid w:val="885E1B"/>
    <w:multiLevelType w:val="hybridMultilevel"/>
    <w:lvl w:ilvl="0">
      <w:lvlJc w:val="left"/>
      <w:lvlText w:val="%1"/>
      <w:numFmt w:val="decimal"/>
      <w:start w:val="31"/>
    </w:lvl>
  </w:abstractNum>
  <w:abstractNum w:abstractNumId="29">
    <w:nsid w:val="76272110"/>
    <w:multiLevelType w:val="hybridMultilevel"/>
    <w:lvl w:ilvl="0">
      <w:lvlJc w:val="left"/>
      <w:lvlText w:val="%1"/>
      <w:numFmt w:val="decimal"/>
      <w:start w:val="33"/>
    </w:lvl>
  </w:abstractNum>
  <w:abstractNum w:abstractNumId="30">
    <w:nsid w:val="4C04A8AF"/>
    <w:multiLevelType w:val="hybridMultilevel"/>
    <w:lvl w:ilvl="0">
      <w:lvlJc w:val="left"/>
      <w:lvlText w:val="%1"/>
      <w:numFmt w:val="decimal"/>
      <w:start w:val="33"/>
    </w:lvl>
  </w:abstractNum>
  <w:abstractNum w:abstractNumId="31">
    <w:nsid w:val="1716703B"/>
    <w:multiLevelType w:val="hybridMultilevel"/>
    <w:lvl w:ilvl="0">
      <w:lvlJc w:val="left"/>
      <w:lvlText w:val="%1"/>
      <w:numFmt w:val="decimal"/>
      <w:start w:val="45"/>
    </w:lvl>
  </w:abstractNum>
  <w:abstractNum w:abstractNumId="32">
    <w:nsid w:val="14E17E33"/>
    <w:multiLevelType w:val="hybridMultilevel"/>
    <w:lvl w:ilvl="0">
      <w:lvlJc w:val="left"/>
      <w:lvlText w:val="%1"/>
      <w:numFmt w:val="decimal"/>
      <w:start w:val="57"/>
    </w:lvl>
  </w:abstractNum>
  <w:abstractNum w:abstractNumId="33">
    <w:nsid w:val="3222E7CD"/>
    <w:multiLevelType w:val="hybridMultilevel"/>
    <w:lvl w:ilvl="0">
      <w:lvlJc w:val="left"/>
      <w:lvlText w:val="%1"/>
      <w:numFmt w:val="decimal"/>
      <w:start w:val="60"/>
    </w:lvl>
  </w:abstractNum>
  <w:abstractNum w:abstractNumId="34">
    <w:nsid w:val="74DE0EE3"/>
    <w:multiLevelType w:val="hybridMultilevel"/>
    <w:lvl w:ilvl="0">
      <w:lvlJc w:val="left"/>
      <w:lvlText w:val="%1"/>
      <w:numFmt w:val="decimal"/>
      <w:start w:val="61"/>
    </w:lvl>
  </w:abstractNum>
  <w:abstractNum w:abstractNumId="35">
    <w:nsid w:val="68EBC550"/>
    <w:multiLevelType w:val="hybridMultilevel"/>
    <w:lvl w:ilvl="0">
      <w:lvlJc w:val="left"/>
      <w:lvlText w:val="%1"/>
      <w:numFmt w:val="decimal"/>
      <w:start w:val="63"/>
    </w:lvl>
  </w:abstractNum>
  <w:abstractNum w:abstractNumId="36">
    <w:nsid w:val="2DF6D648"/>
    <w:multiLevelType w:val="hybridMultilevel"/>
    <w:lvl w:ilvl="0">
      <w:lvlJc w:val="left"/>
      <w:lvlText w:val="%1"/>
      <w:numFmt w:val="decimal"/>
      <w:start w:val="71"/>
    </w:lvl>
  </w:abstractNum>
  <w:abstractNum w:abstractNumId="37">
    <w:nsid w:val="46B7D447"/>
    <w:multiLevelType w:val="hybridMultilevel"/>
    <w:lvl w:ilvl="0">
      <w:lvlJc w:val="left"/>
      <w:lvlText w:val="%1"/>
      <w:numFmt w:val="decimal"/>
      <w:start w:val="71"/>
    </w:lvl>
  </w:abstractNum>
  <w:abstractNum w:abstractNumId="38">
    <w:nsid w:val="4A2AC315"/>
    <w:multiLevelType w:val="hybridMultilevel"/>
    <w:lvl w:ilvl="0">
      <w:lvlJc w:val="left"/>
      <w:lvlText w:val="*"/>
      <w:numFmt w:val="bullet"/>
      <w:start w:val="1"/>
    </w:lvl>
  </w:abstractNum>
  <w:abstractNum w:abstractNumId="39">
    <w:nsid w:val="39EE015C"/>
    <w:multiLevelType w:val="hybridMultilevel"/>
    <w:lvl w:ilvl="0">
      <w:lvlJc w:val="left"/>
      <w:lvlText w:val="2"/>
      <w:numFmt w:val="bullet"/>
      <w:start w:val="1"/>
    </w:lvl>
  </w:abstractNum>
  <w:abstractNum w:abstractNumId="40">
    <w:nsid w:val="57FC4FBB"/>
    <w:multiLevelType w:val="hybridMultilevel"/>
    <w:lvl w:ilvl="0">
      <w:lvlJc w:val="left"/>
      <w:lvlText w:val="•"/>
      <w:numFmt w:val="bullet"/>
      <w:start w:val="1"/>
    </w:lvl>
  </w:abstractNum>
  <w:abstractNum w:abstractNumId="41">
    <w:nsid w:val="CC1016F"/>
    <w:multiLevelType w:val="hybridMultilevel"/>
    <w:lvl w:ilvl="0">
      <w:lvlJc w:val="left"/>
      <w:lvlText w:val="•"/>
      <w:numFmt w:val="bullet"/>
      <w:start w:val="1"/>
    </w:lvl>
  </w:abstractNum>
  <w:abstractNum w:abstractNumId="42">
    <w:nsid w:val="43F18422"/>
    <w:multiLevelType w:val="hybridMultilevel"/>
    <w:lvl w:ilvl="0">
      <w:lvlJc w:val="left"/>
      <w:lvlText w:val="4"/>
      <w:numFmt w:val="bullet"/>
      <w:start w:val="1"/>
    </w:lvl>
  </w:abstractNum>
  <w:abstractNum w:abstractNumId="43">
    <w:nsid w:val="60EF0119"/>
    <w:multiLevelType w:val="hybridMultilevel"/>
    <w:lvl w:ilvl="0">
      <w:lvlJc w:val="left"/>
      <w:lvlText w:val="1"/>
      <w:numFmt w:val="bullet"/>
      <w:start w:val="1"/>
    </w:lvl>
  </w:abstractNum>
  <w:abstractNum w:abstractNumId="44">
    <w:nsid w:val="26F324BA"/>
    <w:multiLevelType w:val="hybridMultilevel"/>
    <w:lvl w:ilvl="0">
      <w:lvlJc w:val="left"/>
      <w:lvlText w:val="*"/>
      <w:numFmt w:val="bullet"/>
      <w:start w:val="1"/>
    </w:lvl>
  </w:abstractNum>
  <w:abstractNum w:abstractNumId="45">
    <w:nsid w:val="7F01579B"/>
    <w:multiLevelType w:val="hybridMultilevel"/>
    <w:lvl w:ilvl="0">
      <w:lvlJc w:val="left"/>
      <w:lvlText w:val="6"/>
      <w:numFmt w:val="bullet"/>
      <w:start w:val="1"/>
    </w:lvl>
  </w:abstractNum>
  <w:abstractNum w:abstractNumId="46">
    <w:nsid w:val="49DA307D"/>
    <w:multiLevelType w:val="hybridMultilevel"/>
    <w:lvl w:ilvl="0">
      <w:lvlJc w:val="left"/>
      <w:lvlText w:val="•"/>
      <w:numFmt w:val="bullet"/>
      <w:start w:val="1"/>
    </w:lvl>
  </w:abstractNum>
  <w:abstractNum w:abstractNumId="47">
    <w:nsid w:val="7055A5F5"/>
    <w:multiLevelType w:val="hybridMultilevel"/>
    <w:lvl w:ilvl="0">
      <w:lvlJc w:val="left"/>
      <w:lvlText w:val="8"/>
      <w:numFmt w:val="bullet"/>
      <w:start w:val="1"/>
    </w:lvl>
  </w:abstractNum>
  <w:abstractNum w:abstractNumId="48">
    <w:nsid w:val="5FB8370B"/>
    <w:multiLevelType w:val="hybridMultilevel"/>
    <w:lvl w:ilvl="0">
      <w:lvlJc w:val="left"/>
      <w:lvlText w:val="•"/>
      <w:numFmt w:val="bullet"/>
      <w:start w:val="1"/>
    </w:lvl>
  </w:abstractNum>
  <w:abstractNum w:abstractNumId="49">
    <w:nsid w:val="50801EE1"/>
    <w:multiLevelType w:val="hybridMultilevel"/>
    <w:lvl w:ilvl="0">
      <w:lvlJc w:val="left"/>
      <w:lvlText w:val="%1"/>
      <w:numFmt w:val="decimal"/>
      <w:start w:val="10"/>
    </w:lvl>
  </w:abstractNum>
  <w:abstractNum w:abstractNumId="50">
    <w:nsid w:val="488AC1A"/>
    <w:multiLevelType w:val="hybridMultilevel"/>
    <w:lvl w:ilvl="0">
      <w:lvlJc w:val="left"/>
      <w:lvlText w:val="•"/>
      <w:numFmt w:val="bullet"/>
      <w:start w:val="1"/>
    </w:lvl>
  </w:abstractNum>
  <w:abstractNum w:abstractNumId="51">
    <w:nsid w:val="5FB8011C"/>
    <w:multiLevelType w:val="hybridMultilevel"/>
    <w:lvl w:ilvl="0">
      <w:lvlJc w:val="left"/>
      <w:lvlText w:val="•"/>
      <w:numFmt w:val="bullet"/>
      <w:start w:val="1"/>
    </w:lvl>
  </w:abstractNum>
  <w:abstractNum w:abstractNumId="52">
    <w:nsid w:val="6AA78F7F"/>
    <w:multiLevelType w:val="hybridMultilevel"/>
    <w:lvl w:ilvl="0">
      <w:lvlJc w:val="left"/>
      <w:lvlText w:val="%1"/>
      <w:numFmt w:val="decimal"/>
      <w:start w:val="12"/>
    </w:lvl>
  </w:abstractNum>
  <w:abstractNum w:abstractNumId="53">
    <w:nsid w:val="7672BD23"/>
    <w:multiLevelType w:val="hybridMultilevel"/>
    <w:lvl w:ilvl="0">
      <w:lvlJc w:val="left"/>
      <w:lvlText w:val="•"/>
      <w:numFmt w:val="bullet"/>
      <w:start w:val="1"/>
    </w:lvl>
  </w:abstractNum>
  <w:abstractNum w:abstractNumId="54">
    <w:nsid w:val="6FC75AF8"/>
    <w:multiLevelType w:val="hybridMultilevel"/>
    <w:lvl w:ilvl="0">
      <w:lvlJc w:val="left"/>
      <w:lvlText w:val="•"/>
      <w:numFmt w:val="bullet"/>
      <w:start w:val="1"/>
    </w:lvl>
  </w:abstractNum>
  <w:abstractNum w:abstractNumId="55">
    <w:nsid w:val="6A5F7029"/>
    <w:multiLevelType w:val="hybridMultilevel"/>
    <w:lvl w:ilvl="0">
      <w:lvlJc w:val="left"/>
      <w:lvlText w:val="•"/>
      <w:numFmt w:val="bullet"/>
      <w:start w:val="1"/>
    </w:lvl>
  </w:abstractNum>
  <w:abstractNum w:abstractNumId="56">
    <w:nsid w:val="7D5E18F8"/>
    <w:multiLevelType w:val="hybridMultilevel"/>
    <w:lvl w:ilvl="0">
      <w:lvlJc w:val="left"/>
      <w:lvlText w:val="%1"/>
      <w:numFmt w:val="decimal"/>
      <w:start w:val="14"/>
    </w:lvl>
  </w:abstractNum>
  <w:abstractNum w:abstractNumId="57">
    <w:nsid w:val="5F3534A4"/>
    <w:multiLevelType w:val="hybridMultilevel"/>
    <w:lvl w:ilvl="0">
      <w:lvlJc w:val="left"/>
      <w:lvlText w:val="•"/>
      <w:numFmt w:val="bullet"/>
      <w:start w:val="1"/>
    </w:lvl>
  </w:abstractNum>
  <w:abstractNum w:abstractNumId="58">
    <w:nsid w:val="73A1821B"/>
    <w:multiLevelType w:val="hybridMultilevel"/>
    <w:lvl w:ilvl="0">
      <w:lvlJc w:val="left"/>
      <w:lvlText w:val="%1"/>
      <w:numFmt w:val="decimal"/>
      <w:start w:val="16"/>
    </w:lvl>
  </w:abstractNum>
  <w:abstractNum w:abstractNumId="59">
    <w:nsid w:val="7DE67713"/>
    <w:multiLevelType w:val="hybridMultilevel"/>
    <w:lvl w:ilvl="0">
      <w:lvlJc w:val="left"/>
      <w:lvlText w:val="•"/>
      <w:numFmt w:val="bullet"/>
      <w:start w:val="1"/>
    </w:lvl>
  </w:abstractNum>
  <w:abstractNum w:abstractNumId="60">
    <w:nsid w:val="555C55B5"/>
    <w:multiLevelType w:val="hybridMultilevel"/>
    <w:lvl w:ilvl="0">
      <w:lvlJc w:val="left"/>
      <w:lvlText w:val="%1"/>
      <w:numFmt w:val="decimal"/>
      <w:start w:val="18"/>
    </w:lvl>
  </w:abstractNum>
  <w:abstractNum w:abstractNumId="61">
    <w:nsid w:val="3FA62ACA"/>
    <w:multiLevelType w:val="hybridMultilevel"/>
    <w:lvl w:ilvl="0">
      <w:lvlJc w:val="left"/>
      <w:lvlText w:val="%1"/>
      <w:numFmt w:val="decimal"/>
      <w:start w:val="20"/>
    </w:lvl>
  </w:abstractNum>
  <w:abstractNum w:abstractNumId="62">
    <w:nsid w:val="14FCE74E"/>
    <w:multiLevelType w:val="hybridMultilevel"/>
    <w:lvl w:ilvl="0">
      <w:lvlJc w:val="left"/>
      <w:lvlText w:val="%1"/>
      <w:numFmt w:val="decimal"/>
      <w:start w:val="22"/>
    </w:lvl>
  </w:abstractNum>
  <w:abstractNum w:abstractNumId="63">
    <w:nsid w:val="6A3DD3E8"/>
    <w:multiLevelType w:val="hybridMultilevel"/>
    <w:lvl w:ilvl="0">
      <w:lvlJc w:val="left"/>
      <w:lvlText w:val="%1"/>
      <w:numFmt w:val="decimal"/>
      <w:start w:val="24"/>
    </w:lvl>
  </w:abstractNum>
  <w:abstractNum w:abstractNumId="64">
    <w:nsid w:val="71C91298"/>
    <w:multiLevelType w:val="hybridMultilevel"/>
    <w:lvl w:ilvl="0">
      <w:lvlJc w:val="left"/>
      <w:lvlText w:val="%1."/>
      <w:numFmt w:val="decimal"/>
      <w:start w:val="5"/>
    </w:lvl>
    <w:lvl w:ilvl="1">
      <w:lvlJc w:val="left"/>
      <w:lvlText w:val="%2."/>
      <w:numFmt w:val="lowerLetter"/>
      <w:start w:val="1"/>
    </w:lvl>
  </w:abstractNum>
  <w:abstractNum w:abstractNumId="65">
    <w:nsid w:val="9DAF632"/>
    <w:multiLevelType w:val="hybridMultilevel"/>
    <w:lvl w:ilvl="0">
      <w:lvlJc w:val="left"/>
      <w:lvlText w:val="%1"/>
      <w:numFmt w:val="decimal"/>
      <w:start w:val="26"/>
    </w:lvl>
  </w:abstractNum>
  <w:abstractNum w:abstractNumId="66">
    <w:nsid w:val="53299938"/>
    <w:multiLevelType w:val="hybridMultilevel"/>
    <w:lvl w:ilvl="0">
      <w:lvlJc w:val="left"/>
      <w:lvlText w:val="(%1)"/>
      <w:numFmt w:val="lowerRoman"/>
      <w:start w:val="1"/>
    </w:lvl>
  </w:abstractNum>
  <w:abstractNum w:abstractNumId="67">
    <w:nsid w:val="1FBFE8E0"/>
    <w:multiLevelType w:val="hybridMultilevel"/>
    <w:lvl w:ilvl="0">
      <w:lvlJc w:val="left"/>
      <w:lvlText w:val="•"/>
      <w:numFmt w:val="bullet"/>
      <w:start w:val="1"/>
    </w:lvl>
  </w:abstractNum>
  <w:abstractNum w:abstractNumId="68">
    <w:nsid w:val="5092CA79"/>
    <w:multiLevelType w:val="hybridMultilevel"/>
    <w:lvl w:ilvl="0">
      <w:lvlJc w:val="left"/>
      <w:lvlText w:val="•"/>
      <w:numFmt w:val="bullet"/>
      <w:start w:val="1"/>
    </w:lvl>
  </w:abstractNum>
  <w:abstractNum w:abstractNumId="69">
    <w:nsid w:val="1D545C4D"/>
    <w:multiLevelType w:val="hybridMultilevel"/>
    <w:lvl w:ilvl="0">
      <w:lvlJc w:val="left"/>
      <w:lvlText w:val="•"/>
      <w:numFmt w:val="bullet"/>
      <w:start w:val="1"/>
    </w:lvl>
  </w:abstractNum>
  <w:abstractNum w:abstractNumId="70">
    <w:nsid w:val="59ADEA3D"/>
    <w:multiLevelType w:val="hybridMultilevel"/>
    <w:lvl w:ilvl="0">
      <w:lvlJc w:val="left"/>
      <w:lvlText w:val="•"/>
      <w:numFmt w:val="bullet"/>
      <w:start w:val="1"/>
    </w:lvl>
  </w:abstractNum>
  <w:abstractNum w:abstractNumId="71">
    <w:nsid w:val="288F1A34"/>
    <w:multiLevelType w:val="hybridMultilevel"/>
    <w:lvl w:ilvl="0">
      <w:lvlJc w:val="left"/>
      <w:lvlText w:val="•"/>
      <w:numFmt w:val="bullet"/>
      <w:start w:val="1"/>
    </w:lvl>
    <w:lvl w:ilvl="1">
      <w:lvlJc w:val="left"/>
      <w:lvlText w:val="•"/>
      <w:numFmt w:val="bullet"/>
      <w:start w:val="1"/>
    </w:lvl>
  </w:abstractNum>
  <w:abstractNum w:abstractNumId="72">
    <w:nsid w:val="2A155DBC"/>
    <w:multiLevelType w:val="hybridMultilevel"/>
    <w:lvl w:ilvl="0">
      <w:lvlJc w:val="left"/>
      <w:lvlText w:val="•"/>
      <w:numFmt w:val="bullet"/>
      <w:start w:val="1"/>
    </w:lvl>
  </w:abstractNum>
  <w:abstractNum w:abstractNumId="73">
    <w:nsid w:val="1D9F6E5F"/>
    <w:multiLevelType w:val="hybridMultilevel"/>
    <w:lvl w:ilvl="0">
      <w:lvlJc w:val="left"/>
      <w:lvlText w:val="•"/>
      <w:numFmt w:val="bullet"/>
      <w:start w:val="1"/>
    </w:lvl>
  </w:abstractNum>
  <w:abstractNum w:abstractNumId="74">
    <w:nsid w:val="97E1B4E"/>
    <w:multiLevelType w:val="hybridMultilevel"/>
    <w:lvl w:ilvl="0">
      <w:lvlJc w:val="left"/>
      <w:lvlText w:val="%1"/>
      <w:numFmt w:val="decimal"/>
      <w:start w:val="28"/>
    </w:lvl>
  </w:abstractNum>
  <w:abstractNum w:abstractNumId="75">
    <w:nsid w:val="51088277"/>
    <w:multiLevelType w:val="hybridMultilevel"/>
    <w:lvl w:ilvl="0">
      <w:lvlJc w:val="left"/>
      <w:lvlText w:val="•"/>
      <w:numFmt w:val="bullet"/>
      <w:start w:val="1"/>
    </w:lvl>
  </w:abstractNum>
  <w:abstractNum w:abstractNumId="76">
    <w:nsid w:val="1CA0C5FA"/>
    <w:multiLevelType w:val="hybridMultilevel"/>
    <w:lvl w:ilvl="0">
      <w:lvlJc w:val="left"/>
      <w:lvlText w:val="•"/>
      <w:numFmt w:val="bullet"/>
      <w:start w:val="1"/>
    </w:lvl>
  </w:abstractNum>
  <w:abstractNum w:abstractNumId="77">
    <w:nsid w:val="53584BCB"/>
    <w:multiLevelType w:val="hybridMultilevel"/>
    <w:lvl w:ilvl="0">
      <w:lvlJc w:val="left"/>
      <w:lvlText w:val="•"/>
      <w:numFmt w:val="bullet"/>
      <w:start w:val="1"/>
    </w:lvl>
  </w:abstractNum>
  <w:abstractNum w:abstractNumId="78">
    <w:nsid w:val="415E286C"/>
    <w:multiLevelType w:val="hybridMultilevel"/>
    <w:lvl w:ilvl="0">
      <w:lvlJc w:val="left"/>
      <w:lvlText w:val="•"/>
      <w:numFmt w:val="bullet"/>
      <w:start w:val="1"/>
    </w:lvl>
  </w:abstractNum>
  <w:abstractNum w:abstractNumId="79">
    <w:nsid w:val="7C58FD05"/>
    <w:multiLevelType w:val="hybridMultilevel"/>
    <w:lvl w:ilvl="0">
      <w:lvlJc w:val="left"/>
      <w:lvlText w:val="•"/>
      <w:numFmt w:val="bullet"/>
      <w:start w:val="1"/>
    </w:lvl>
  </w:abstractNum>
  <w:abstractNum w:abstractNumId="80">
    <w:nsid w:val="23D86AAC"/>
    <w:multiLevelType w:val="hybridMultilevel"/>
    <w:lvl w:ilvl="0">
      <w:lvlJc w:val="left"/>
      <w:lvlText w:val="•"/>
      <w:numFmt w:val="bullet"/>
      <w:start w:val="1"/>
    </w:lvl>
  </w:abstractNum>
  <w:abstractNum w:abstractNumId="81">
    <w:nsid w:val="45E6D486"/>
    <w:multiLevelType w:val="hybridMultilevel"/>
    <w:lvl w:ilvl="0">
      <w:lvlJc w:val="left"/>
      <w:lvlText w:val="%1"/>
      <w:numFmt w:val="decimal"/>
      <w:start w:val="30"/>
    </w:lvl>
  </w:abstractNum>
  <w:abstractNum w:abstractNumId="82">
    <w:nsid w:val="5C10FE21"/>
    <w:multiLevelType w:val="hybridMultilevel"/>
    <w:lvl w:ilvl="0">
      <w:lvlJc w:val="left"/>
      <w:lvlText w:val="(%1)"/>
      <w:numFmt w:val="decimal"/>
      <w:start w:val="1"/>
    </w:lvl>
  </w:abstractNum>
  <w:abstractNum w:abstractNumId="83">
    <w:nsid w:val="E7FFA2B"/>
    <w:multiLevelType w:val="hybridMultilevel"/>
    <w:lvl w:ilvl="0">
      <w:lvlJc w:val="left"/>
      <w:lvlText w:val="%1"/>
      <w:numFmt w:val="decimal"/>
      <w:start w:val="32"/>
    </w:lvl>
  </w:abstractNum>
  <w:abstractNum w:abstractNumId="84">
    <w:nsid w:val="3C5991AA"/>
    <w:multiLevelType w:val="hybridMultilevel"/>
    <w:lvl w:ilvl="0">
      <w:lvlJc w:val="left"/>
      <w:lvlText w:val="*"/>
      <w:numFmt w:val="bullet"/>
      <w:start w:val="1"/>
    </w:lvl>
  </w:abstractNum>
  <w:abstractNum w:abstractNumId="85">
    <w:nsid w:val="4BD8591A"/>
    <w:multiLevelType w:val="hybridMultilevel"/>
    <w:lvl w:ilvl="0">
      <w:lvlJc w:val="left"/>
      <w:lvlText w:val="•"/>
      <w:numFmt w:val="bullet"/>
      <w:start w:val="1"/>
    </w:lvl>
  </w:abstractNum>
  <w:abstractNum w:abstractNumId="86">
    <w:nsid w:val="78DF6A55"/>
    <w:multiLevelType w:val="hybridMultilevel"/>
    <w:lvl w:ilvl="0">
      <w:lvlJc w:val="left"/>
      <w:lvlText w:val="•"/>
      <w:numFmt w:val="bullet"/>
      <w:start w:val="1"/>
    </w:lvl>
  </w:abstractNum>
  <w:abstractNum w:abstractNumId="87">
    <w:nsid w:val="39B7AAA2"/>
    <w:multiLevelType w:val="hybridMultilevel"/>
    <w:lvl w:ilvl="0">
      <w:lvlJc w:val="left"/>
      <w:lvlText w:val="•"/>
      <w:numFmt w:val="bullet"/>
      <w:start w:val="1"/>
    </w:lvl>
  </w:abstractNum>
  <w:abstractNum w:abstractNumId="88">
    <w:nsid w:val="2B0D8DBE"/>
    <w:multiLevelType w:val="hybridMultilevel"/>
    <w:lvl w:ilvl="0">
      <w:lvlJc w:val="left"/>
      <w:lvlText w:val="%1"/>
      <w:numFmt w:val="decimal"/>
      <w:start w:val="34"/>
    </w:lvl>
  </w:abstractNum>
  <w:abstractNum w:abstractNumId="89">
    <w:nsid w:val="6C80EC70"/>
    <w:multiLevelType w:val="hybridMultilevel"/>
    <w:lvl w:ilvl="0">
      <w:lvlJc w:val="left"/>
      <w:lvlText w:val="(%1)"/>
      <w:numFmt w:val="decimal"/>
      <w:start w:val="1"/>
    </w:lvl>
  </w:abstractNum>
  <w:abstractNum w:abstractNumId="90">
    <w:nsid w:val="379E21B5"/>
    <w:multiLevelType w:val="hybridMultilevel"/>
    <w:lvl w:ilvl="0">
      <w:lvlJc w:val="left"/>
      <w:lvlText w:val="%1"/>
      <w:numFmt w:val="decimal"/>
      <w:start w:val="36"/>
    </w:lvl>
  </w:abstractNum>
  <w:abstractNum w:abstractNumId="91">
    <w:nsid w:val="69E373"/>
    <w:multiLevelType w:val="hybridMultilevel"/>
    <w:lvl w:ilvl="0">
      <w:lvlJc w:val="left"/>
      <w:lvlText w:val="*"/>
      <w:numFmt w:val="bullet"/>
      <w:start w:val="1"/>
    </w:lvl>
  </w:abstractNum>
  <w:abstractNum w:abstractNumId="92">
    <w:nsid w:val="2C27173B"/>
    <w:multiLevelType w:val="hybridMultilevel"/>
    <w:lvl w:ilvl="0">
      <w:lvlJc w:val="left"/>
      <w:lvlText w:val="*"/>
      <w:numFmt w:val="bullet"/>
      <w:start w:val="1"/>
    </w:lvl>
  </w:abstractNum>
  <w:abstractNum w:abstractNumId="93">
    <w:nsid w:val="4C9B0904"/>
    <w:multiLevelType w:val="hybridMultilevel"/>
    <w:lvl w:ilvl="0">
      <w:lvlJc w:val="left"/>
      <w:lvlText w:val="•"/>
      <w:numFmt w:val="bullet"/>
      <w:start w:val="1"/>
    </w:lvl>
  </w:abstractNum>
  <w:abstractNum w:abstractNumId="94">
    <w:nsid w:val="6AA7B75C"/>
    <w:multiLevelType w:val="hybridMultilevel"/>
    <w:lvl w:ilvl="0">
      <w:lvlJc w:val="left"/>
      <w:lvlText w:val="%1"/>
      <w:numFmt w:val="decimal"/>
      <w:start w:val="38"/>
    </w:lvl>
  </w:abstractNum>
  <w:abstractNum w:abstractNumId="95">
    <w:nsid w:val="1DF029D3"/>
    <w:multiLevelType w:val="hybridMultilevel"/>
    <w:lvl w:ilvl="0">
      <w:lvlJc w:val="left"/>
      <w:lvlText w:val="%1"/>
      <w:numFmt w:val="decimal"/>
      <w:start w:val="40"/>
    </w:lvl>
  </w:abstractNum>
  <w:abstractNum w:abstractNumId="96">
    <w:nsid w:val="5675FF36"/>
    <w:multiLevelType w:val="hybridMultilevel"/>
    <w:lvl w:ilvl="0">
      <w:lvlJc w:val="left"/>
      <w:lvlText w:val="•"/>
      <w:numFmt w:val="bullet"/>
      <w:start w:val="1"/>
    </w:lvl>
  </w:abstractNum>
  <w:abstractNum w:abstractNumId="97">
    <w:nsid w:val="3DD15094"/>
    <w:multiLevelType w:val="hybridMultilevel"/>
    <w:lvl w:ilvl="0">
      <w:lvlJc w:val="left"/>
      <w:lvlText w:val="%1"/>
      <w:numFmt w:val="decimal"/>
      <w:start w:val="42"/>
    </w:lvl>
  </w:abstractNum>
  <w:abstractNum w:abstractNumId="98">
    <w:nsid w:val="3DB012B3"/>
    <w:multiLevelType w:val="hybridMultilevel"/>
    <w:lvl w:ilvl="0">
      <w:lvlJc w:val="left"/>
      <w:lvlText w:val="(%1)"/>
      <w:numFmt w:val="decimal"/>
      <w:start w:val="1"/>
    </w:lvl>
  </w:abstractNum>
  <w:abstractNum w:abstractNumId="99">
    <w:nsid w:val="2708C9AF"/>
    <w:multiLevelType w:val="hybridMultilevel"/>
    <w:lvl w:ilvl="0">
      <w:lvlJc w:val="left"/>
      <w:lvlText w:val="•"/>
      <w:numFmt w:val="bullet"/>
      <w:start w:val="1"/>
    </w:lvl>
  </w:abstractNum>
  <w:abstractNum w:abstractNumId="100">
    <w:nsid w:val="5B25ACE2"/>
    <w:multiLevelType w:val="hybridMultilevel"/>
    <w:lvl w:ilvl="0">
      <w:lvlJc w:val="left"/>
      <w:lvlText w:val="%1"/>
      <w:numFmt w:val="decimal"/>
      <w:start w:val="44"/>
    </w:lvl>
  </w:abstractNum>
  <w:abstractNum w:abstractNumId="101">
    <w:nsid w:val="175DFCF0"/>
    <w:multiLevelType w:val="hybridMultilevel"/>
    <w:lvl w:ilvl="0">
      <w:lvlJc w:val="left"/>
      <w:lvlText w:val="•"/>
      <w:numFmt w:val="bullet"/>
      <w:start w:val="1"/>
    </w:lvl>
  </w:abstractNum>
  <w:abstractNum w:abstractNumId="102">
    <w:nsid w:val="4F97E3E4"/>
    <w:multiLevelType w:val="hybridMultilevel"/>
    <w:lvl w:ilvl="0">
      <w:lvlJc w:val="left"/>
      <w:lvlText w:val="(%1)"/>
      <w:numFmt w:val="decimal"/>
      <w:start w:val="1"/>
    </w:lvl>
  </w:abstractNum>
  <w:abstractNum w:abstractNumId="103">
    <w:nsid w:val="53B0A9E"/>
    <w:multiLevelType w:val="hybridMultilevel"/>
    <w:lvl w:ilvl="0">
      <w:lvlJc w:val="left"/>
      <w:lvlText w:val="(%1)"/>
      <w:numFmt w:val="decimal"/>
      <w:start w:val="4"/>
    </w:lvl>
  </w:abstractNum>
  <w:abstractNum w:abstractNumId="104">
    <w:nsid w:val="34FD6B4F"/>
    <w:multiLevelType w:val="hybridMultilevel"/>
    <w:lvl w:ilvl="0">
      <w:lvlJc w:val="left"/>
      <w:lvlText w:val="%1"/>
      <w:numFmt w:val="decimal"/>
      <w:start w:val="46"/>
    </w:lvl>
  </w:abstractNum>
  <w:abstractNum w:abstractNumId="105">
    <w:nsid w:val="5915FF32"/>
    <w:multiLevelType w:val="hybridMultilevel"/>
    <w:lvl w:ilvl="0">
      <w:lvlJc w:val="left"/>
      <w:lvlText w:val="(%1)"/>
      <w:numFmt w:val="decimal"/>
      <w:start w:val="1"/>
    </w:lvl>
  </w:abstractNum>
  <w:abstractNum w:abstractNumId="106">
    <w:nsid w:val="56438D15"/>
    <w:multiLevelType w:val="hybridMultilevel"/>
    <w:lvl w:ilvl="0">
      <w:lvlJc w:val="left"/>
      <w:lvlText w:val="•"/>
      <w:numFmt w:val="bullet"/>
      <w:start w:val="1"/>
    </w:lvl>
  </w:abstractNum>
  <w:abstractNum w:abstractNumId="107">
    <w:nsid w:val="519E3149"/>
    <w:multiLevelType w:val="hybridMultilevel"/>
    <w:lvl w:ilvl="0">
      <w:lvlJc w:val="left"/>
      <w:lvlText w:val="*"/>
      <w:numFmt w:val="bullet"/>
      <w:start w:val="1"/>
    </w:lvl>
  </w:abstractNum>
  <w:abstractNum w:abstractNumId="108">
    <w:nsid w:val="2C6E4AFD"/>
    <w:multiLevelType w:val="hybridMultilevel"/>
    <w:lvl w:ilvl="0">
      <w:lvlJc w:val="left"/>
      <w:lvlText w:val="•"/>
      <w:numFmt w:val="bullet"/>
      <w:start w:val="1"/>
    </w:lvl>
  </w:abstractNum>
  <w:abstractNum w:abstractNumId="109">
    <w:nsid w:val="17A1B582"/>
    <w:multiLevelType w:val="hybridMultilevel"/>
    <w:lvl w:ilvl="0">
      <w:lvlJc w:val="left"/>
      <w:lvlText w:val="%1"/>
      <w:numFmt w:val="decimal"/>
      <w:start w:val="48"/>
    </w:lvl>
  </w:abstractNum>
  <w:abstractNum w:abstractNumId="110">
    <w:nsid w:val="4DF72E4E"/>
    <w:multiLevelType w:val="hybridMultilevel"/>
    <w:lvl w:ilvl="0">
      <w:lvlJc w:val="left"/>
      <w:lvlText w:val="•"/>
      <w:numFmt w:val="bullet"/>
      <w:start w:val="1"/>
    </w:lvl>
  </w:abstractNum>
  <w:abstractNum w:abstractNumId="111">
    <w:nsid w:val="5046B5A9"/>
    <w:multiLevelType w:val="hybridMultilevel"/>
    <w:lvl w:ilvl="0">
      <w:lvlJc w:val="left"/>
      <w:lvlText w:val="%1"/>
      <w:numFmt w:val="decimal"/>
      <w:start w:val="50"/>
    </w:lvl>
  </w:abstractNum>
  <w:abstractNum w:abstractNumId="112">
    <w:nsid w:val="5D888A08"/>
    <w:multiLevelType w:val="hybridMultilevel"/>
    <w:lvl w:ilvl="0">
      <w:lvlJc w:val="left"/>
      <w:lvlText w:val="(%1)"/>
      <w:numFmt w:val="decimal"/>
      <w:start w:val="1"/>
    </w:lvl>
  </w:abstractNum>
  <w:abstractNum w:abstractNumId="113">
    <w:nsid w:val="2A082C70"/>
    <w:multiLevelType w:val="hybridMultilevel"/>
    <w:lvl w:ilvl="0">
      <w:lvlJc w:val="left"/>
      <w:lvlText w:val="(%1)"/>
      <w:numFmt w:val="decimal"/>
      <w:start w:val="1"/>
    </w:lvl>
  </w:abstractNum>
  <w:abstractNum w:abstractNumId="114">
    <w:nsid w:val="5EC6AFD4"/>
    <w:multiLevelType w:val="hybridMultilevel"/>
    <w:lvl w:ilvl="0">
      <w:lvlJc w:val="left"/>
      <w:lvlText w:val="%1"/>
      <w:numFmt w:val="decimal"/>
      <w:start w:val="52"/>
    </w:lvl>
  </w:abstractNum>
  <w:abstractNum w:abstractNumId="115">
    <w:nsid w:val="19E21BB2"/>
    <w:multiLevelType w:val="hybridMultilevel"/>
    <w:lvl w:ilvl="0">
      <w:lvlJc w:val="left"/>
      <w:lvlText w:val="(%1)"/>
      <w:numFmt w:val="decimal"/>
      <w:start w:val="1"/>
    </w:lvl>
  </w:abstractNum>
  <w:abstractNum w:abstractNumId="116">
    <w:nsid w:val="75E0858A"/>
    <w:multiLevelType w:val="hybridMultilevel"/>
    <w:lvl w:ilvl="0">
      <w:lvlJc w:val="left"/>
      <w:lvlText w:val="(%1)"/>
      <w:numFmt w:val="decimal"/>
      <w:start w:val="2"/>
    </w:lvl>
  </w:abstractNum>
  <w:abstractNum w:abstractNumId="117">
    <w:nsid w:val="57A61A29"/>
    <w:multiLevelType w:val="hybridMultilevel"/>
    <w:lvl w:ilvl="0">
      <w:lvlJc w:val="left"/>
      <w:lvlText w:val="(%1)"/>
      <w:numFmt w:val="decimal"/>
      <w:start w:val="3"/>
    </w:lvl>
  </w:abstractNum>
  <w:abstractNum w:abstractNumId="118">
    <w:nsid w:val="5399C654"/>
    <w:multiLevelType w:val="hybridMultilevel"/>
    <w:lvl w:ilvl="0">
      <w:lvlJc w:val="left"/>
      <w:lvlText w:val="%1"/>
      <w:numFmt w:val="decimal"/>
      <w:start w:val="54"/>
    </w:lvl>
  </w:abstractNum>
  <w:abstractNum w:abstractNumId="119">
    <w:nsid w:val="20EE1348"/>
    <w:multiLevelType w:val="hybridMultilevel"/>
    <w:lvl w:ilvl="0">
      <w:lvlJc w:val="left"/>
      <w:lvlText w:val="(%1)"/>
      <w:numFmt w:val="decimal"/>
      <w:start w:val="1"/>
    </w:lvl>
  </w:abstractNum>
  <w:abstractNum w:abstractNumId="120">
    <w:nsid w:val="4427069A"/>
    <w:multiLevelType w:val="hybridMultilevel"/>
    <w:lvl w:ilvl="0">
      <w:lvlJc w:val="left"/>
      <w:lvlText w:val="%1"/>
      <w:numFmt w:val="decimal"/>
      <w:start w:val="56"/>
    </w:lvl>
  </w:abstractNum>
  <w:abstractNum w:abstractNumId="121">
    <w:nsid w:val="B37E80A"/>
    <w:multiLevelType w:val="hybridMultilevel"/>
    <w:lvl w:ilvl="0">
      <w:lvlJc w:val="left"/>
      <w:lvlText w:val="(%1)"/>
      <w:numFmt w:val="decimal"/>
      <w:start w:val="1"/>
    </w:lvl>
  </w:abstractNum>
  <w:abstractNum w:abstractNumId="122">
    <w:nsid w:val="2157F6BC"/>
    <w:multiLevelType w:val="hybridMultilevel"/>
    <w:lvl w:ilvl="0">
      <w:lvlJc w:val="left"/>
      <w:lvlText w:val="%1"/>
      <w:numFmt w:val="decimal"/>
      <w:start w:val="58"/>
    </w:lvl>
  </w:abstractNum>
  <w:abstractNum w:abstractNumId="123">
    <w:nsid w:val="704E1DD5"/>
    <w:multiLevelType w:val="hybridMultilevel"/>
    <w:lvl w:ilvl="0">
      <w:lvlJc w:val="left"/>
      <w:lvlText w:val="(%1)"/>
      <w:numFmt w:val="decimal"/>
      <w:start w:val="2"/>
    </w:lvl>
  </w:abstractNum>
  <w:abstractNum w:abstractNumId="124">
    <w:nsid w:val="57D2F10E"/>
    <w:multiLevelType w:val="hybridMultilevel"/>
    <w:lvl w:ilvl="0">
      <w:lvlJc w:val="left"/>
      <w:lvlText w:val="(%1)"/>
      <w:numFmt w:val="decimal"/>
      <w:start w:val="4"/>
    </w:lvl>
  </w:abstractNum>
  <w:abstractNum w:abstractNumId="125">
    <w:nsid w:val="BFFAE18"/>
    <w:multiLevelType w:val="hybridMultilevel"/>
    <w:lvl w:ilvl="0">
      <w:lvlJc w:val="left"/>
      <w:lvlText w:val="(%1)"/>
      <w:numFmt w:val="decimal"/>
      <w:start w:val="1"/>
    </w:lvl>
  </w:abstractNum>
  <w:abstractNum w:abstractNumId="126">
    <w:nsid w:val="E3E47A8"/>
    <w:multiLevelType w:val="hybridMultilevel"/>
    <w:lvl w:ilvl="0">
      <w:lvlJc w:val="left"/>
      <w:lvlText w:val="%1"/>
      <w:numFmt w:val="decimal"/>
      <w:start w:val="60"/>
    </w:lvl>
  </w:abstractNum>
  <w:abstractNum w:abstractNumId="127">
    <w:nsid w:val="2E48F044"/>
    <w:multiLevelType w:val="hybridMultilevel"/>
    <w:lvl w:ilvl="0">
      <w:lvlJc w:val="left"/>
      <w:lvlText w:val="*"/>
      <w:numFmt w:val="bullet"/>
      <w:start w:val="1"/>
    </w:lvl>
  </w:abstractNum>
  <w:abstractNum w:abstractNumId="128">
    <w:nsid w:val="49D0FEAC"/>
    <w:multiLevelType w:val="hybridMultilevel"/>
    <w:lvl w:ilvl="0">
      <w:lvlJc w:val="left"/>
      <w:lvlText w:val="(%1)"/>
      <w:numFmt w:val="decimal"/>
      <w:start w:val="1"/>
    </w:lvl>
  </w:abstractNum>
  <w:abstractNum w:abstractNumId="129">
    <w:nsid w:val="4BEE5A5B"/>
    <w:multiLevelType w:val="hybridMultilevel"/>
    <w:lvl w:ilvl="0">
      <w:lvlJc w:val="left"/>
      <w:lvlText w:val="%1"/>
      <w:numFmt w:val="decimal"/>
      <w:start w:val="62"/>
    </w:lvl>
  </w:abstractNum>
  <w:abstractNum w:abstractNumId="130">
    <w:nsid w:val="5551B9F3"/>
    <w:multiLevelType w:val="hybridMultilevel"/>
    <w:lvl w:ilvl="0">
      <w:lvlJc w:val="left"/>
      <w:lvlText w:val="(%1)"/>
      <w:numFmt w:val="decimal"/>
      <w:start w:val="11"/>
    </w:lvl>
  </w:abstractNum>
  <w:abstractNum w:abstractNumId="131">
    <w:nsid w:val="24F6AB8E"/>
    <w:multiLevelType w:val="hybridMultilevel"/>
    <w:lvl w:ilvl="0">
      <w:lvlJc w:val="left"/>
      <w:lvlText w:val="%1"/>
      <w:numFmt w:val="decimal"/>
      <w:start w:val="64"/>
    </w:lvl>
  </w:abstractNum>
  <w:abstractNum w:abstractNumId="132">
    <w:nsid w:val="634C574C"/>
    <w:multiLevelType w:val="hybridMultilevel"/>
    <w:lvl w:ilvl="0">
      <w:lvlJc w:val="left"/>
      <w:lvlText w:val="•"/>
      <w:numFmt w:val="bullet"/>
      <w:start w:val="1"/>
    </w:lvl>
  </w:abstractNum>
  <w:abstractNum w:abstractNumId="133">
    <w:nsid w:val="24E99DD7"/>
    <w:multiLevelType w:val="hybridMultilevel"/>
    <w:lvl w:ilvl="0">
      <w:lvlJc w:val="left"/>
      <w:lvlText w:val="%1"/>
      <w:numFmt w:val="decimal"/>
      <w:start w:val="66"/>
    </w:lvl>
  </w:abstractNum>
  <w:abstractNum w:abstractNumId="134">
    <w:nsid w:val="2A31B62D"/>
    <w:multiLevelType w:val="hybridMultilevel"/>
    <w:lvl w:ilvl="0">
      <w:lvlJc w:val="left"/>
      <w:lvlText w:val="•"/>
      <w:numFmt w:val="bullet"/>
      <w:start w:val="1"/>
    </w:lvl>
  </w:abstractNum>
  <w:abstractNum w:abstractNumId="135">
    <w:nsid w:val="1849C29B"/>
    <w:multiLevelType w:val="hybridMultilevel"/>
    <w:lvl w:ilvl="0">
      <w:lvlJc w:val="left"/>
      <w:lvlText w:val="(%1)"/>
      <w:numFmt w:val="decimal"/>
      <w:start w:val="1"/>
    </w:lvl>
  </w:abstractNum>
  <w:abstractNum w:abstractNumId="136">
    <w:nsid w:val="7DFF9D09"/>
    <w:multiLevelType w:val="hybridMultilevel"/>
    <w:lvl w:ilvl="0">
      <w:lvlJc w:val="left"/>
      <w:lvlText w:val="%1"/>
      <w:numFmt w:val="decimal"/>
      <w:start w:val="68"/>
    </w:lvl>
  </w:abstractNum>
  <w:abstractNum w:abstractNumId="137">
    <w:nsid w:val="754342"/>
    <w:multiLevelType w:val="hybridMultilevel"/>
    <w:lvl w:ilvl="0">
      <w:lvlJc w:val="left"/>
      <w:lvlText w:val="•"/>
      <w:numFmt w:val="bullet"/>
      <w:start w:val="1"/>
    </w:lvl>
  </w:abstractNum>
  <w:abstractNum w:abstractNumId="138">
    <w:nsid w:val="69E7F3E5"/>
    <w:multiLevelType w:val="hybridMultilevel"/>
    <w:lvl w:ilvl="0">
      <w:lvlJc w:val="left"/>
      <w:lvlText w:val="%1"/>
      <w:numFmt w:val="decimal"/>
      <w:start w:val="70"/>
    </w:lvl>
  </w:abstractNum>
  <w:abstractNum w:abstractNumId="139">
    <w:nsid w:val="2A6DE806"/>
    <w:multiLevelType w:val="hybridMultilevel"/>
    <w:lvl w:ilvl="0">
      <w:lvlJc w:val="left"/>
      <w:lvlText w:val="%1."/>
      <w:numFmt w:val="upperLetter"/>
      <w:start w:val="9"/>
    </w:lvl>
  </w:abstractNum>
  <w:abstractNum w:abstractNumId="140">
    <w:nsid w:val="1816F8C4"/>
    <w:multiLevelType w:val="hybridMultilevel"/>
    <w:lvl w:ilvl="0">
      <w:lvlJc w:val="left"/>
      <w:lvlText w:val="%1."/>
      <w:numFmt w:val="upperLetter"/>
      <w:start w:val="35"/>
    </w:lvl>
  </w:abstractNum>
  <w:abstractNum w:abstractNumId="141">
    <w:nsid w:val="37DF2233"/>
    <w:multiLevelType w:val="hybridMultilevel"/>
    <w:lvl w:ilvl="0">
      <w:lvlJc w:val="left"/>
      <w:lvlText w:val="1"/>
      <w:numFmt w:val="bullet"/>
      <w:start w:val="1"/>
    </w:lvl>
  </w:abstractNum>
  <w:abstractNum w:abstractNumId="142">
    <w:nsid w:val="7AB49DAF"/>
    <w:multiLevelType w:val="hybridMultilevel"/>
    <w:lvl w:ilvl="0">
      <w:lvlJc w:val="left"/>
      <w:lvlText w:val="(%1)"/>
      <w:numFmt w:val="lowerRoman"/>
      <w:start w:val="5"/>
    </w:lvl>
  </w:abstractNum>
  <w:abstractNum w:abstractNumId="143">
    <w:nsid w:val="759F82CD"/>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2019-12-06T11:16:15Z</dcterms:created>
  <dcterms:modified xsi:type="dcterms:W3CDTF">2019-12-06T11:16:15Z</dcterms:modified>
</cp:coreProperties>
</file>