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Marriott Juliana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7750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INTERNATIONAL INC /MD/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Member of 10% Group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8"/>
        <w:gridCol w:w="915"/>
        <w:gridCol w:w="787"/>
        <w:gridCol w:w="607"/>
        <w:gridCol w:w="329"/>
        <w:gridCol w:w="1143"/>
        <w:gridCol w:w="390"/>
        <w:gridCol w:w="835"/>
        <w:gridCol w:w="1313"/>
        <w:gridCol w:w="926"/>
        <w:gridCol w:w="12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8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8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2,000,000</w:t>
            </w:r>
          </w:p>
        </w:tc>
        <w:tc>
          <w:tcPr>
            <w:tcW w:w="3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20,027,118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JWM Family Enterprises, Inc.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6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14,101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401,928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JBM Marital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transferred as a capital distribution to Mr. J.W. Marriott, Jr. in a transaction exempt as to the transferee under Rule 16a-13. JWM Family Enterprises, Inc. did not receive any consideration in exchange for this capital distribution.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disclaims beneficial ownership of the reported securities except to the extent of her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P.C.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4134" TargetMode="External"/><Relationship Id="rId5" Type="http://schemas.openxmlformats.org/officeDocument/2006/relationships/hyperlink" Target="http://www.sec.gov/cgi-bin/browse-edgar?action=getcompany&amp;CIK=0001048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3515</Characters>
  <CharactersWithSpaces>4083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