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w:t>
      </w:r>
    </w:p>
    <w:p>
      <w:pPr>
        <w:spacing w:after="0" w:line="23"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(RULE 14a-101)</w:t>
      </w:r>
    </w:p>
    <w:p>
      <w:pPr>
        <w:jc w:val="right"/>
        <w:ind w:right="53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964"/>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Securities Exchange Act of 1934</w:t>
      </w:r>
    </w:p>
    <w:p>
      <w:pPr>
        <w:jc w:val="center"/>
        <w:ind w:right="-984"/>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27"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984"/>
        <w:spacing w:after="0"/>
        <w:rPr>
          <w:sz w:val="20"/>
          <w:szCs w:val="20"/>
          <w:color w:val="auto"/>
        </w:rPr>
      </w:pPr>
      <w:r>
        <w:rPr>
          <w:rFonts w:ascii="Arial" w:cs="Arial" w:eastAsia="Arial" w:hAnsi="Arial"/>
          <w:sz w:val="40"/>
          <w:szCs w:val="40"/>
          <w:b w:val="1"/>
          <w:bCs w:val="1"/>
          <w:color w:val="auto"/>
        </w:rPr>
        <w:t>Marriott International, Inc.</w:t>
      </w:r>
    </w:p>
    <w:p>
      <w:pPr>
        <w:spacing w:after="0" w:line="35" w:lineRule="exact"/>
        <w:rPr>
          <w:sz w:val="24"/>
          <w:szCs w:val="24"/>
          <w:color w:val="auto"/>
        </w:rPr>
      </w:pPr>
    </w:p>
    <w:p>
      <w:pPr>
        <w:ind w:left="366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09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60"/>
        <w:spacing w:after="0"/>
        <w:rPr>
          <w:sz w:val="20"/>
          <w:szCs w:val="20"/>
          <w:color w:val="auto"/>
        </w:rPr>
      </w:pPr>
      <w:r>
        <w:rPr>
          <w:rFonts w:ascii="Arial" w:cs="Arial" w:eastAsia="Arial" w:hAnsi="Arial"/>
          <w:sz w:val="14"/>
          <w:szCs w:val="14"/>
          <w:color w:val="004878"/>
        </w:rPr>
        <w:t>MARRIOTT INTERNATIONAL, INC.</w:t>
      </w:r>
    </w:p>
    <w:p>
      <w:pPr>
        <w:ind w:left="1060"/>
        <w:spacing w:after="0" w:line="221" w:lineRule="auto"/>
        <w:rPr>
          <w:sz w:val="20"/>
          <w:szCs w:val="20"/>
          <w:color w:val="auto"/>
        </w:rPr>
      </w:pPr>
      <w:r>
        <w:rPr>
          <w:rFonts w:ascii="Arial" w:cs="Arial" w:eastAsia="Arial" w:hAnsi="Arial"/>
          <w:sz w:val="14"/>
          <w:szCs w:val="14"/>
          <w:color w:val="004878"/>
        </w:rPr>
        <w:t>ATTN: KELLY BLACKWELL</w:t>
      </w:r>
    </w:p>
    <w:p>
      <w:pPr>
        <w:ind w:left="1060"/>
        <w:spacing w:after="0" w:line="221" w:lineRule="auto"/>
        <w:rPr>
          <w:sz w:val="20"/>
          <w:szCs w:val="20"/>
          <w:color w:val="auto"/>
        </w:rPr>
      </w:pPr>
      <w:r>
        <w:rPr>
          <w:rFonts w:ascii="Arial" w:cs="Arial" w:eastAsia="Arial" w:hAnsi="Arial"/>
          <w:sz w:val="14"/>
          <w:szCs w:val="14"/>
          <w:color w:val="004878"/>
        </w:rPr>
        <w:t>10400 FERNWOOD RD.</w:t>
      </w:r>
    </w:p>
    <w:p>
      <w:pPr>
        <w:ind w:left="1060"/>
        <w:spacing w:after="0" w:line="222" w:lineRule="auto"/>
        <w:rPr>
          <w:sz w:val="20"/>
          <w:szCs w:val="20"/>
          <w:color w:val="auto"/>
        </w:rPr>
      </w:pPr>
      <w:r>
        <w:rPr>
          <w:rFonts w:ascii="Arial" w:cs="Arial" w:eastAsia="Arial" w:hAnsi="Arial"/>
          <w:sz w:val="14"/>
          <w:szCs w:val="14"/>
          <w:color w:val="004878"/>
        </w:rPr>
        <w:t>BETHESDA, MD 20817</w:t>
      </w:r>
    </w:p>
    <w:p>
      <w:pPr>
        <w:ind w:left="1060"/>
        <w:spacing w:after="0"/>
        <w:rPr>
          <w:sz w:val="20"/>
          <w:szCs w:val="20"/>
          <w:color w:val="auto"/>
        </w:rPr>
      </w:pPr>
      <w:r>
        <w:rPr>
          <w:rFonts w:ascii="Arial" w:cs="Arial" w:eastAsia="Arial" w:hAnsi="Arial"/>
          <w:sz w:val="14"/>
          <w:szCs w:val="14"/>
          <w:color w:val="004878"/>
        </w:rPr>
        <w:t>LAW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D70301-P68475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81280</wp:posOffset>
            </wp:positionV>
            <wp:extent cx="116586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000000"/>
                        </a:clrFrom>
                        <a:clrTo>
                          <a:srgbClr val="000000">
                            <a:alpha val="0"/>
                          </a:srgbClr>
                        </a:clrTo>
                      </a:clrChange>
                      <a:extLst>
                        <a:ext uri="{28A0092B-C50C-407E-A947-70E740481C1C}"/>
                      </a:extLst>
                    </a:blip>
                    <a:srcRect/>
                    <a:stretch>
                      <a:fillRect/>
                    </a:stretch>
                  </pic:blipFill>
                  <pic:spPr bwMode="auto">
                    <a:xfrm>
                      <a:off x="0" y="0"/>
                      <a:ext cx="1165860" cy="111760"/>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81280</wp:posOffset>
            </wp:positionV>
            <wp:extent cx="1165860"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29"/>
          <w:szCs w:val="29"/>
          <w:color w:val="004878"/>
        </w:rPr>
        <w:t>You invested in MARRIOTT INTERNATIONAL, INC. and it’s time to vote!</w:t>
      </w:r>
    </w:p>
    <w:p>
      <w:pPr>
        <w:spacing w:after="0" w:line="30" w:lineRule="exact"/>
        <w:rPr>
          <w:sz w:val="20"/>
          <w:szCs w:val="20"/>
          <w:color w:val="auto"/>
        </w:rPr>
      </w:pPr>
    </w:p>
    <w:p>
      <w:pPr>
        <w:ind w:left="60" w:right="260"/>
        <w:spacing w:after="0" w:line="258" w:lineRule="auto"/>
        <w:rPr>
          <w:sz w:val="20"/>
          <w:szCs w:val="20"/>
          <w:color w:val="auto"/>
        </w:rPr>
      </w:pPr>
      <w:r>
        <w:rPr>
          <w:rFonts w:ascii="Arial" w:cs="Arial" w:eastAsia="Arial" w:hAnsi="Arial"/>
          <w:sz w:val="18"/>
          <w:szCs w:val="18"/>
          <w:color w:val="004878"/>
        </w:rPr>
        <w:t xml:space="preserve">You have the right to vote on proposals being presented at the Annual Meeting. </w:t>
      </w:r>
      <w:r>
        <w:rPr>
          <w:rFonts w:ascii="Arial" w:cs="Arial" w:eastAsia="Arial" w:hAnsi="Arial"/>
          <w:sz w:val="18"/>
          <w:szCs w:val="18"/>
          <w:b w:val="1"/>
          <w:bCs w:val="1"/>
          <w:color w:val="004878"/>
        </w:rPr>
        <w:t>This is an important notice regarding the availability of proxy</w:t>
      </w:r>
      <w:r>
        <w:rPr>
          <w:rFonts w:ascii="Arial" w:cs="Arial" w:eastAsia="Arial" w:hAnsi="Arial"/>
          <w:sz w:val="18"/>
          <w:szCs w:val="18"/>
          <w:color w:val="004878"/>
        </w:rPr>
        <w:t xml:space="preserve"> </w:t>
      </w:r>
      <w:r>
        <w:rPr>
          <w:rFonts w:ascii="Arial" w:cs="Arial" w:eastAsia="Arial" w:hAnsi="Arial"/>
          <w:sz w:val="18"/>
          <w:szCs w:val="18"/>
          <w:b w:val="1"/>
          <w:bCs w:val="1"/>
          <w:color w:val="004878"/>
        </w:rPr>
        <w:t>materials for the stockholder meeting to be held on May 6, 2022.</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9"/>
          <w:szCs w:val="29"/>
          <w:color w:val="004878"/>
        </w:rPr>
        <w:t>Get informed before you vote</w:t>
      </w:r>
    </w:p>
    <w:p>
      <w:pPr>
        <w:spacing w:after="0" w:line="30" w:lineRule="exact"/>
        <w:rPr>
          <w:sz w:val="20"/>
          <w:szCs w:val="20"/>
          <w:color w:val="auto"/>
        </w:rPr>
      </w:pPr>
    </w:p>
    <w:p>
      <w:pPr>
        <w:ind w:left="60" w:right="200"/>
        <w:spacing w:after="0" w:line="252" w:lineRule="auto"/>
        <w:rPr>
          <w:sz w:val="20"/>
          <w:szCs w:val="20"/>
          <w:color w:val="auto"/>
        </w:rPr>
      </w:pPr>
      <w:r>
        <w:rPr>
          <w:rFonts w:ascii="Arial" w:cs="Arial" w:eastAsia="Arial" w:hAnsi="Arial"/>
          <w:sz w:val="18"/>
          <w:szCs w:val="18"/>
          <w:color w:val="004878"/>
        </w:rPr>
        <w:t>View the Notice and 2022 Proxy Statement and 2021 Form 10-K online at www.ProxyVote.com or scan the QR code below OR you can receive a free paper or email copy of the proxy materials by requesting prior to April 22, 2022. If you would like to request a copy of the proxy materials for this and/or future stockholder meetings, you may (1) visit www.ProxyVote.com, (2) call 1-800-579-1639 or (3) send an email to sendmaterial@proxyvote.com. If sending an email, please include your control number (indicated below) in the subject line. There is no charge to you for requesting a copy.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149225</wp:posOffset>
            </wp:positionV>
            <wp:extent cx="7029450" cy="2434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004878"/>
        </w:rPr>
        <w:t>*Marriott International, Inc. (the “Company”) will be hosting the meeting live via the Internet this year at the website address above. Please check the proxy materials for</w:t>
      </w:r>
    </w:p>
    <w:p>
      <w:pPr>
        <w:spacing w:after="0"/>
        <w:rPr>
          <w:sz w:val="20"/>
          <w:szCs w:val="20"/>
          <w:color w:val="auto"/>
        </w:rPr>
      </w:pPr>
      <w:r>
        <w:rPr>
          <w:rFonts w:ascii="Arial" w:cs="Arial" w:eastAsia="Arial" w:hAnsi="Arial"/>
          <w:sz w:val="13"/>
          <w:szCs w:val="13"/>
          <w:color w:val="004878"/>
        </w:rPr>
        <w:t xml:space="preserve">instructions on how to access the Company’s 2022 Annual Meeting of Stockholders as well as for information regarding how to vote online, by phone or by mail before the meeting.  </w:t>
      </w:r>
      <w:r>
        <w:rPr>
          <w:rFonts w:ascii="Arial" w:cs="Arial" w:eastAsia="Arial" w:hAnsi="Arial"/>
          <w:sz w:val="13"/>
          <w:szCs w:val="13"/>
          <w:color w:val="000000"/>
        </w:rPr>
        <w:t>V1.1</w:t>
      </w:r>
    </w:p>
    <w:p>
      <w:pPr>
        <w:sectPr>
          <w:pgSz w:w="11900" w:h="16838" w:orient="portrait"/>
          <w:cols w:equalWidth="0" w:num="1">
            <w:col w:w="10820"/>
          </w:cols>
          <w:pgMar w:left="600" w:top="1440" w:right="479" w:bottom="1440" w:gutter="0" w:footer="0" w:header="0"/>
        </w:sectPr>
      </w:pPr>
    </w:p>
    <w:bookmarkStart w:id="2" w:name="page3"/>
    <w:bookmarkEnd w:id="2"/>
    <w:p>
      <w:pPr>
        <w:ind w:left="20"/>
        <w:spacing w:after="0"/>
        <w:rPr>
          <w:sz w:val="20"/>
          <w:szCs w:val="20"/>
          <w:color w:val="auto"/>
        </w:rPr>
      </w:pPr>
      <w:r>
        <w:rPr>
          <w:rFonts w:ascii="Arial" w:cs="Arial" w:eastAsia="Arial" w:hAnsi="Arial"/>
          <w:sz w:val="29"/>
          <w:szCs w:val="29"/>
          <w:b w:val="1"/>
          <w:bCs w:val="1"/>
          <w:color w:val="007BB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194310</wp:posOffset>
            </wp:positionV>
            <wp:extent cx="699516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004878"/>
        </w:rPr>
        <w:t>THIS IS NOT A VOTABLE BALLOT</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004878"/>
        </w:rPr>
        <w:t>This is an overview of the more complete proxy materials that are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004878"/>
        </w:rPr>
        <w:t>available to you on the Internet. You may view the proxy materials at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4878"/>
        </w:rPr>
        <w:t>www.proxyvote.com or easily request a paper copy. We encourage you</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4878"/>
        </w:rPr>
        <w:t>to access and review all of the important information contained in the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4878"/>
        </w:rPr>
        <w:t>proxy materials before voting. Please follow the instructions on the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4878"/>
        </w:rPr>
        <w:t>reverse side to obtain the proxy materials and vote on these important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004878"/>
        </w:rPr>
        <w:t>matters.</w:t>
      </w:r>
    </w:p>
    <w:p>
      <w:pPr>
        <w:spacing w:after="0" w:line="382" w:lineRule="exact"/>
        <w:rPr>
          <w:sz w:val="20"/>
          <w:szCs w:val="20"/>
          <w:color w:val="auto"/>
        </w:rPr>
      </w:pPr>
    </w:p>
    <w:p>
      <w:pPr>
        <w:jc w:val="right"/>
        <w:ind w:right="260"/>
        <w:spacing w:after="0"/>
        <w:rPr>
          <w:sz w:val="20"/>
          <w:szCs w:val="20"/>
          <w:color w:val="auto"/>
        </w:rPr>
      </w:pPr>
      <w:r>
        <w:rPr>
          <w:rFonts w:ascii="Arial" w:cs="Arial" w:eastAsia="Arial" w:hAnsi="Arial"/>
          <w:sz w:val="18"/>
          <w:szCs w:val="18"/>
          <w:b w:val="1"/>
          <w:bCs w:val="1"/>
          <w:color w:val="004878"/>
        </w:rPr>
        <w:t>Board</w:t>
      </w:r>
    </w:p>
    <w:p>
      <w:pPr>
        <w:spacing w:after="0" w:line="27" w:lineRule="exact"/>
        <w:rPr>
          <w:sz w:val="20"/>
          <w:szCs w:val="20"/>
          <w:color w:val="auto"/>
        </w:rPr>
      </w:pPr>
    </w:p>
    <w:p>
      <w:pPr>
        <w:ind w:left="120"/>
        <w:spacing w:after="0"/>
        <w:tabs>
          <w:tab w:leader="none" w:pos="9700" w:val="left"/>
        </w:tabs>
        <w:rPr>
          <w:sz w:val="20"/>
          <w:szCs w:val="20"/>
          <w:color w:val="auto"/>
        </w:rPr>
      </w:pPr>
      <w:r>
        <w:rPr>
          <w:rFonts w:ascii="Arial" w:cs="Arial" w:eastAsia="Arial" w:hAnsi="Arial"/>
          <w:sz w:val="18"/>
          <w:szCs w:val="18"/>
          <w:b w:val="1"/>
          <w:bCs w:val="1"/>
          <w:color w:val="004878"/>
        </w:rPr>
        <w:t>Voting Items</w:t>
      </w:r>
      <w:r>
        <w:rPr>
          <w:sz w:val="20"/>
          <w:szCs w:val="20"/>
          <w:color w:val="auto"/>
        </w:rPr>
        <w:tab/>
      </w:r>
      <w:r>
        <w:rPr>
          <w:rFonts w:ascii="Arial" w:cs="Arial" w:eastAsia="Arial" w:hAnsi="Arial"/>
          <w:sz w:val="15"/>
          <w:szCs w:val="15"/>
          <w:b w:val="1"/>
          <w:bCs w:val="1"/>
          <w:color w:val="004878"/>
        </w:rPr>
        <w:t>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5715</wp:posOffset>
            </wp:positionV>
            <wp:extent cx="6849110" cy="5452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9110" cy="5452110"/>
                    </a:xfrm>
                    <a:prstGeom prst="rect">
                      <a:avLst/>
                    </a:prstGeom>
                    <a:noFill/>
                  </pic:spPr>
                </pic:pic>
              </a:graphicData>
            </a:graphic>
          </wp:anchor>
        </w:drawing>
      </w:r>
    </w:p>
    <w:p>
      <w:pPr>
        <w:spacing w:after="0" w:line="2" w:lineRule="exact"/>
        <w:rPr>
          <w:sz w:val="20"/>
          <w:szCs w:val="20"/>
          <w:color w:val="auto"/>
        </w:rPr>
      </w:pPr>
    </w:p>
    <w:p>
      <w:pPr>
        <w:ind w:left="480" w:hanging="359"/>
        <w:spacing w:after="0"/>
        <w:tabs>
          <w:tab w:leader="none" w:pos="480" w:val="left"/>
        </w:tabs>
        <w:numPr>
          <w:ilvl w:val="0"/>
          <w:numId w:val="6"/>
        </w:numPr>
        <w:rPr>
          <w:rFonts w:ascii="Arial" w:cs="Arial" w:eastAsia="Arial" w:hAnsi="Arial"/>
          <w:sz w:val="18"/>
          <w:szCs w:val="18"/>
          <w:color w:val="004878"/>
        </w:rPr>
      </w:pPr>
      <w:r>
        <w:rPr>
          <w:rFonts w:ascii="Arial" w:cs="Arial" w:eastAsia="Arial" w:hAnsi="Arial"/>
          <w:sz w:val="18"/>
          <w:szCs w:val="18"/>
          <w:color w:val="004878"/>
        </w:rPr>
        <w:t>ELECTION OF 12 DIRECTORS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004878"/>
        </w:rPr>
        <w:t>Nominees: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004878"/>
        </w:rPr>
        <w:t>1a.  Anthony G. Capuano</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004878"/>
        </w:rPr>
        <w:t>1b.  Isabella D. Goren</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004878"/>
        </w:rPr>
        <w:t>1c.  Deborah M. Harrison</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004878"/>
        </w:rPr>
        <w:t>1d.  Frederick A. Henderson</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004878"/>
        </w:rPr>
        <w:t>1e.  Eric Hippeau</w:t>
      </w:r>
    </w:p>
    <w:p>
      <w:pPr>
        <w:spacing w:after="0" w:line="90"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color w:val="004878"/>
        </w:rPr>
        <w:t>1f.</w:t>
      </w:r>
      <w:r>
        <w:rPr>
          <w:sz w:val="20"/>
          <w:szCs w:val="20"/>
          <w:color w:val="auto"/>
        </w:rPr>
        <w:tab/>
      </w:r>
      <w:r>
        <w:rPr>
          <w:rFonts w:ascii="Arial" w:cs="Arial" w:eastAsia="Arial" w:hAnsi="Arial"/>
          <w:sz w:val="16"/>
          <w:szCs w:val="16"/>
          <w:color w:val="004878"/>
        </w:rPr>
        <w:t>Debra L. Lee</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004878"/>
        </w:rPr>
        <w:t>1g.  Aylwin B. Lewis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004878"/>
        </w:rPr>
        <w:t>1h.  David S. Marriott</w:t>
      </w:r>
    </w:p>
    <w:p>
      <w:pPr>
        <w:spacing w:after="0" w:line="90"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004878"/>
        </w:rPr>
        <w:t>1i.</w:t>
      </w:r>
      <w:r>
        <w:rPr>
          <w:sz w:val="20"/>
          <w:szCs w:val="20"/>
          <w:color w:val="auto"/>
        </w:rPr>
        <w:tab/>
      </w:r>
      <w:r>
        <w:rPr>
          <w:rFonts w:ascii="Arial" w:cs="Arial" w:eastAsia="Arial" w:hAnsi="Arial"/>
          <w:sz w:val="16"/>
          <w:szCs w:val="16"/>
          <w:color w:val="004878"/>
        </w:rPr>
        <w:t>Margaret M. McCarthy</w:t>
      </w:r>
    </w:p>
    <w:p>
      <w:pPr>
        <w:spacing w:after="0" w:line="90"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004878"/>
        </w:rPr>
        <w:t>1j.</w:t>
      </w:r>
      <w:r>
        <w:rPr>
          <w:sz w:val="20"/>
          <w:szCs w:val="20"/>
          <w:color w:val="auto"/>
        </w:rPr>
        <w:tab/>
      </w:r>
      <w:r>
        <w:rPr>
          <w:rFonts w:ascii="Arial" w:cs="Arial" w:eastAsia="Arial" w:hAnsi="Arial"/>
          <w:sz w:val="16"/>
          <w:szCs w:val="16"/>
          <w:color w:val="004878"/>
        </w:rPr>
        <w:t>George Muñoz</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004878"/>
        </w:rPr>
        <w:t>1k.  Horacio D. Rozanski</w:t>
      </w:r>
    </w:p>
    <w:p>
      <w:pPr>
        <w:spacing w:after="0" w:line="90"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004878"/>
        </w:rPr>
        <w:t>1l.</w:t>
      </w:r>
      <w:r>
        <w:rPr>
          <w:sz w:val="20"/>
          <w:szCs w:val="20"/>
          <w:color w:val="auto"/>
        </w:rPr>
        <w:tab/>
      </w:r>
      <w:r>
        <w:rPr>
          <w:rFonts w:ascii="Arial" w:cs="Arial" w:eastAsia="Arial" w:hAnsi="Arial"/>
          <w:sz w:val="15"/>
          <w:szCs w:val="15"/>
          <w:color w:val="004878"/>
        </w:rPr>
        <w:t>Susan C. Schwab</w:t>
      </w:r>
    </w:p>
    <w:p>
      <w:pPr>
        <w:spacing w:after="0" w:line="117" w:lineRule="exact"/>
        <w:rPr>
          <w:sz w:val="20"/>
          <w:szCs w:val="20"/>
          <w:color w:val="auto"/>
        </w:rPr>
      </w:pPr>
    </w:p>
    <w:p>
      <w:pPr>
        <w:ind w:left="480" w:right="2260" w:hanging="359"/>
        <w:spacing w:after="0" w:line="277" w:lineRule="auto"/>
        <w:tabs>
          <w:tab w:leader="none" w:pos="471" w:val="left"/>
        </w:tabs>
        <w:numPr>
          <w:ilvl w:val="0"/>
          <w:numId w:val="7"/>
        </w:numPr>
        <w:rPr>
          <w:rFonts w:ascii="Arial" w:cs="Arial" w:eastAsia="Arial" w:hAnsi="Arial"/>
          <w:sz w:val="18"/>
          <w:szCs w:val="18"/>
          <w:color w:val="004878"/>
        </w:rPr>
      </w:pPr>
      <w:r>
        <w:rPr>
          <w:rFonts w:ascii="Arial" w:cs="Arial" w:eastAsia="Arial" w:hAnsi="Arial"/>
          <w:sz w:val="18"/>
          <w:szCs w:val="18"/>
          <w:color w:val="004878"/>
        </w:rPr>
        <w:t>RATIFICATION OF THE APPOINTMENT OF ERNST &amp; YOUNG AS THE COMPANY’S INDEPENDENT REGISTERED PUBLIC ACCOUNTING FIRM FOR FISCAL YEAR 2022</w:t>
      </w:r>
    </w:p>
    <w:p>
      <w:pPr>
        <w:spacing w:after="0" w:line="49"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004878"/>
        </w:rPr>
        <w:t>3.</w:t>
        <w:tab/>
        <w:t>ADVISORY VOTE TO APPROVE EXECUTIVE COMPENSATION</w:t>
      </w:r>
    </w:p>
    <w:p>
      <w:pPr>
        <w:spacing w:after="0" w:line="90"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004878"/>
        </w:rPr>
        <w:t>4.</w:t>
        <w:tab/>
        <w:t>APPROVAL OF THE MARRIOTT INTERNATIONAL, INC. EMPLOYEE STOCK PURCHASE PLAN</w:t>
      </w:r>
    </w:p>
    <w:p>
      <w:pPr>
        <w:spacing w:after="0" w:line="117" w:lineRule="exact"/>
        <w:rPr>
          <w:sz w:val="20"/>
          <w:szCs w:val="20"/>
          <w:color w:val="auto"/>
        </w:rPr>
      </w:pPr>
    </w:p>
    <w:p>
      <w:pPr>
        <w:ind w:left="480" w:hanging="359"/>
        <w:spacing w:after="0"/>
        <w:tabs>
          <w:tab w:leader="none" w:pos="480" w:val="left"/>
        </w:tabs>
        <w:numPr>
          <w:ilvl w:val="0"/>
          <w:numId w:val="8"/>
        </w:numPr>
        <w:rPr>
          <w:rFonts w:ascii="Arial" w:cs="Arial" w:eastAsia="Arial" w:hAnsi="Arial"/>
          <w:sz w:val="18"/>
          <w:szCs w:val="18"/>
          <w:color w:val="004878"/>
        </w:rPr>
      </w:pPr>
      <w:r>
        <w:rPr>
          <w:rFonts w:ascii="Arial" w:cs="Arial" w:eastAsia="Arial" w:hAnsi="Arial"/>
          <w:sz w:val="18"/>
          <w:szCs w:val="18"/>
          <w:color w:val="004878"/>
        </w:rPr>
        <w:t>STOCKHOLDER RESOLUTION REQUESTING THAT THE BOARD PREPARE A REPORT ON THE ECONOMIC</w:t>
      </w:r>
    </w:p>
    <w:p>
      <w:pPr>
        <w:spacing w:after="0" w:line="23" w:lineRule="exact"/>
        <w:rPr>
          <w:sz w:val="20"/>
          <w:szCs w:val="20"/>
          <w:color w:val="auto"/>
        </w:rPr>
      </w:pPr>
    </w:p>
    <w:p>
      <w:pPr>
        <w:ind w:left="480" w:right="1900"/>
        <w:spacing w:after="0" w:line="260" w:lineRule="auto"/>
        <w:rPr>
          <w:sz w:val="20"/>
          <w:szCs w:val="20"/>
          <w:color w:val="auto"/>
        </w:rPr>
      </w:pPr>
      <w:r>
        <w:rPr>
          <w:rFonts w:ascii="Arial" w:cs="Arial" w:eastAsia="Arial" w:hAnsi="Arial"/>
          <w:sz w:val="18"/>
          <w:szCs w:val="18"/>
          <w:color w:val="004878"/>
        </w:rPr>
        <w:t>AND SOCIAL COSTS AND RISKS CREATED BY THE COMPANY’S COMPENSATION AND WORKFORCE PRACTICES</w:t>
      </w:r>
    </w:p>
    <w:p>
      <w:pPr>
        <w:spacing w:after="0" w:line="91"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color w:val="004878"/>
        </w:rPr>
        <w:t>6.</w:t>
        <w:tab/>
        <w:t>STOCKHOLDER RESOLUTION REGARDING AN INDEPENDENT BOARD CHAIR POLICY</w:t>
      </w:r>
    </w:p>
    <w:p>
      <w:pPr>
        <w:spacing w:after="0" w:line="171" w:lineRule="exact"/>
        <w:rPr>
          <w:sz w:val="20"/>
          <w:szCs w:val="20"/>
          <w:color w:val="auto"/>
        </w:rPr>
      </w:pPr>
    </w:p>
    <w:p>
      <w:pPr>
        <w:jc w:val="both"/>
        <w:ind w:left="160" w:right="1600"/>
        <w:spacing w:after="0" w:line="263" w:lineRule="auto"/>
        <w:rPr>
          <w:sz w:val="20"/>
          <w:szCs w:val="20"/>
          <w:color w:val="auto"/>
        </w:rPr>
      </w:pPr>
      <w:r>
        <w:rPr>
          <w:rFonts w:ascii="Arial" w:cs="Arial" w:eastAsia="Arial" w:hAnsi="Arial"/>
          <w:sz w:val="18"/>
          <w:szCs w:val="18"/>
          <w:color w:val="004878"/>
        </w:rPr>
        <w:t>The Company will be hosting the meeting live via the Internet this year at the website address above. Please check the proxy materials for instructions on how to access the Company’s 2022 Annual Meeting of Stockholders as well as for information regarding how to vote online, by phone or by mail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1006475</wp:posOffset>
            </wp:positionV>
            <wp:extent cx="6861810" cy="209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1810" cy="20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FFFFFF"/>
        </w:rPr>
        <w:t>Prefer to receive an email instead? While voting on www.ProxyVote.com, be sure to click “Sign up for E-delivery”.</w:t>
      </w:r>
    </w:p>
    <w:p>
      <w:pPr>
        <w:sectPr>
          <w:pgSz w:w="11900" w:h="16838" w:orient="portrait"/>
          <w:cols w:equalWidth="0" w:num="1">
            <w:col w:w="10740"/>
          </w:cols>
          <w:pgMar w:left="520" w:top="256" w:right="6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D70302-P68475</w:t>
      </w:r>
    </w:p>
    <w:sectPr>
      <w:pgSz w:w="11900" w:h="16838" w:orient="portrait"/>
      <w:cols w:equalWidth="0" w:num="1">
        <w:col w:w="10740"/>
      </w:cols>
      <w:pgMar w:left="520" w:top="256"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2022-03-22T07:37:15Z</dcterms:created>
  <dcterms:modified xsi:type="dcterms:W3CDTF">2022-03-22T07:37:15Z</dcterms:modified>
</cp:coreProperties>
</file>