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3"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20"/>
          </w:cols>
          <w:pgMar w:left="320" w:top="229" w:right="459" w:bottom="1440" w:gutter="0" w:footer="0" w:header="0"/>
        </w:sectPr>
      </w:pPr>
    </w:p>
    <w:p>
      <w:pPr>
        <w:spacing w:after="0" w:line="6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5" w:lineRule="exact"/>
        <w:rPr>
          <w:sz w:val="24"/>
          <w:szCs w:val="24"/>
          <w:color w:val="auto"/>
        </w:rPr>
      </w:pPr>
    </w:p>
    <w:p>
      <w:pPr>
        <w:sectPr>
          <w:pgSz w:w="11900" w:h="16838" w:orient="portrait"/>
          <w:cols w:equalWidth="0" w:num="2">
            <w:col w:w="6260" w:space="560"/>
            <w:col w:w="4300"/>
          </w:cols>
          <w:pgMar w:left="320" w:top="229"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55880</wp:posOffset>
            </wp:positionV>
            <wp:extent cx="120015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8"/>
                <w:szCs w:val="18"/>
                <w:color w:val="auto"/>
              </w:rPr>
            </w:pPr>
          </w:p>
        </w:tc>
        <w:tc>
          <w:tcPr>
            <w:tcW w:w="4060" w:type="dxa"/>
            <w:vAlign w:val="bottom"/>
            <w:gridSpan w:val="3"/>
          </w:tcPr>
          <w:p>
            <w:pPr>
              <w:jc w:val="center"/>
              <w:ind w:left="234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gridSpan w:val="2"/>
          </w:tcPr>
          <w:p>
            <w:pPr>
              <w:jc w:val="right"/>
              <w:ind w:right="2499"/>
              <w:spacing w:after="0"/>
              <w:rPr>
                <w:sz w:val="20"/>
                <w:szCs w:val="20"/>
                <w:color w:val="auto"/>
              </w:rPr>
            </w:pPr>
            <w:r>
              <w:rPr>
                <w:rFonts w:ascii="Times New Roman" w:cs="Times New Roman" w:eastAsia="Times New Roman" w:hAnsi="Times New Roman"/>
                <w:sz w:val="16"/>
                <w:szCs w:val="16"/>
                <w:b w:val="1"/>
                <w:bCs w:val="1"/>
                <w:color w:val="auto"/>
              </w:rPr>
              <w:t>52-2055918</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5920" w:type="dxa"/>
            <w:vAlign w:val="bottom"/>
            <w:gridSpan w:val="5"/>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4080" w:type="dxa"/>
            <w:vAlign w:val="bottom"/>
            <w:gridSpan w:val="2"/>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4060" w:type="dxa"/>
            <w:vAlign w:val="bottom"/>
            <w:gridSpan w:val="3"/>
          </w:tcPr>
          <w:p>
            <w:pPr>
              <w:jc w:val="center"/>
              <w:ind w:left="2362"/>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620" w:type="dxa"/>
            <w:vAlign w:val="bottom"/>
          </w:tcPr>
          <w:p>
            <w:pPr>
              <w:spacing w:after="0"/>
              <w:rPr>
                <w:sz w:val="24"/>
                <w:szCs w:val="24"/>
                <w:color w:val="auto"/>
              </w:rPr>
            </w:pPr>
          </w:p>
        </w:tc>
        <w:tc>
          <w:tcPr>
            <w:tcW w:w="4060" w:type="dxa"/>
            <w:vAlign w:val="bottom"/>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7750 Wisconsin Avenue   Bethesda</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4080" w:type="dxa"/>
            <w:vAlign w:val="bottom"/>
            <w:gridSpan w:val="2"/>
          </w:tcPr>
          <w:p>
            <w:pPr>
              <w:jc w:val="right"/>
              <w:ind w:right="2679"/>
              <w:spacing w:after="0"/>
              <w:rPr>
                <w:sz w:val="20"/>
                <w:szCs w:val="20"/>
                <w:color w:val="auto"/>
              </w:rPr>
            </w:pPr>
            <w:r>
              <w:rPr>
                <w:rFonts w:ascii="Times New Roman" w:cs="Times New Roman" w:eastAsia="Times New Roman" w:hAnsi="Times New Roman"/>
                <w:sz w:val="16"/>
                <w:szCs w:val="16"/>
                <w:b w:val="1"/>
                <w:bCs w:val="1"/>
                <w:color w:val="auto"/>
              </w:rPr>
              <w:t>20814</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5920" w:type="dxa"/>
            <w:vAlign w:val="bottom"/>
            <w:gridSpan w:val="5"/>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80" w:type="dxa"/>
            <w:vAlign w:val="bottom"/>
            <w:gridSpan w:val="2"/>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100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380-3000</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7140" w:type="dxa"/>
            <w:vAlign w:val="bottom"/>
            <w:gridSpan w:val="6"/>
          </w:tcPr>
          <w:p>
            <w:pPr>
              <w:jc w:val="center"/>
              <w:ind w:left="278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0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$0.01 par value</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MAR</w:t>
            </w:r>
          </w:p>
        </w:tc>
        <w:tc>
          <w:tcPr>
            <w:tcW w:w="300" w:type="dxa"/>
            <w:vAlign w:val="bottom"/>
          </w:tcPr>
          <w:p>
            <w:pPr>
              <w:spacing w:after="0"/>
              <w:rPr>
                <w:sz w:val="18"/>
                <w:szCs w:val="18"/>
                <w:color w:val="auto"/>
              </w:rPr>
            </w:pPr>
          </w:p>
        </w:tc>
        <w:tc>
          <w:tcPr>
            <w:tcW w:w="4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349"/>
        </w:trPr>
        <w:tc>
          <w:tcPr>
            <w:tcW w:w="4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6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tc>
        <w:tc>
          <w:tcPr>
            <w:tcW w:w="0" w:type="dxa"/>
            <w:vAlign w:val="bottom"/>
          </w:tcPr>
          <w:p>
            <w:pPr>
              <w:spacing w:after="0"/>
              <w:rPr>
                <w:sz w:val="1"/>
                <w:szCs w:val="1"/>
                <w:color w:val="auto"/>
              </w:rPr>
            </w:pPr>
          </w:p>
        </w:tc>
      </w:tr>
      <w:tr>
        <w:trPr>
          <w:trHeight w:val="240"/>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28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1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1"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9" w:right="459" w:bottom="1440" w:gutter="0" w:footer="0" w:header="0"/>
          <w:type w:val="continuous"/>
        </w:sectPr>
      </w:pPr>
    </w:p>
    <w:p>
      <w:pPr>
        <w:spacing w:after="0" w:line="111" w:lineRule="exact"/>
        <w:rPr>
          <w:sz w:val="24"/>
          <w:szCs w:val="24"/>
          <w:color w:val="auto"/>
        </w:rPr>
      </w:pPr>
    </w:p>
    <w:p>
      <w:pPr>
        <w:ind w:left="20"/>
        <w:spacing w:after="0" w:line="281"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50"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48" w:lineRule="exact"/>
        <w:rPr>
          <w:sz w:val="24"/>
          <w:szCs w:val="24"/>
          <w:color w:val="auto"/>
        </w:rPr>
      </w:pPr>
    </w:p>
    <w:p>
      <w:pPr>
        <w:sectPr>
          <w:pgSz w:w="11900" w:h="16838" w:orient="portrait"/>
          <w:cols w:equalWidth="0" w:num="6">
            <w:col w:w="1480" w:space="400"/>
            <w:col w:w="1460" w:space="720"/>
            <w:col w:w="1780" w:space="500"/>
            <w:col w:w="1560" w:space="720"/>
            <w:col w:w="1780" w:space="500"/>
            <w:col w:w="220"/>
          </w:cols>
          <w:pgMar w:left="320" w:top="229" w:right="459" w:bottom="1440" w:gutter="0" w:footer="0" w:header="0"/>
          <w:type w:val="continuous"/>
        </w:sectPr>
      </w:pPr>
    </w:p>
    <w:p>
      <w:pPr>
        <w:ind w:left="20" w:right="440"/>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83"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200"/>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84" w:lineRule="exact"/>
        <w:tabs>
          <w:tab w:leader="none" w:pos="6820" w:val="left"/>
          <w:tab w:leader="none" w:pos="7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shares of common stock held by non-affiliates at June 30, 2023, was $45,768,892,728.</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289,485,338 shares of Class A Common Stock, par value $0.01 per share, outstanding at February 6, 2024.</w:t>
      </w:r>
    </w:p>
    <w:p>
      <w:pPr>
        <w:spacing w:after="0" w:line="2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Portions of the Proxy Statement prepared for the 2024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FF"/>
        </w:rPr>
        <w:t>Item 1A.</w:t>
      </w:r>
    </w:p>
    <w:p>
      <w:pPr>
        <w:spacing w:after="0" w:line="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1B.</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1C.</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1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5.</w:t>
      </w:r>
    </w:p>
    <w:p>
      <w:pPr>
        <w:spacing w:after="0" w:line="2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6.</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7.</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FF"/>
        </w:rPr>
        <w:t>Item 7A.</w:t>
      </w:r>
    </w:p>
    <w:p>
      <w:pPr>
        <w:spacing w:after="0" w:line="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8.</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9.</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FF"/>
        </w:rPr>
        <w:t>Item 9A.</w:t>
      </w:r>
    </w:p>
    <w:p>
      <w:pPr>
        <w:spacing w:after="0" w:line="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9B.</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9C.</w:t>
      </w:r>
    </w:p>
    <w:p>
      <w:pPr>
        <w:spacing w:after="0" w:line="1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10.</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11.</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12.</w:t>
      </w:r>
    </w:p>
    <w:p>
      <w:pPr>
        <w:spacing w:after="0" w:line="2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13.</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14.</w:t>
      </w:r>
    </w:p>
    <w:p>
      <w:pPr>
        <w:spacing w:after="0" w:line="1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15.</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0000FF"/>
        </w:rPr>
        <w:t>Item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6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FORM 10-K TABLE OF CONTENTS</w:t>
      </w:r>
    </w:p>
    <w:p>
      <w:pPr>
        <w:spacing w:after="0" w:line="6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6"/>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6420" w:type="dxa"/>
            <w:vAlign w:val="bottom"/>
            <w:gridSpan w:val="21"/>
          </w:tcPr>
          <w:p>
            <w:pPr>
              <w:spacing w:after="0"/>
              <w:rPr>
                <w:sz w:val="24"/>
                <w:szCs w:val="24"/>
                <w:color w:val="auto"/>
              </w:rPr>
            </w:pPr>
          </w:p>
        </w:tc>
        <w:tc>
          <w:tcPr>
            <w:tcW w:w="8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020" w:type="dxa"/>
            <w:vAlign w:val="bottom"/>
            <w:gridSpan w:val="11"/>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060" w:type="dxa"/>
            <w:vAlign w:val="bottom"/>
            <w:gridSpan w:val="17"/>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740" w:type="dxa"/>
            <w:vAlign w:val="bottom"/>
            <w:gridSpan w:val="15"/>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5300" w:type="dxa"/>
            <w:vAlign w:val="bottom"/>
            <w:gridSpan w:val="12"/>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9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155"/>
        </w:trPr>
        <w:tc>
          <w:tcPr>
            <w:tcW w:w="132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5520" w:type="dxa"/>
            <w:vAlign w:val="bottom"/>
            <w:tcBorders>
              <w:top w:val="single" w:sz="8" w:color="0000FF"/>
            </w:tcBorders>
            <w:gridSpan w:val="14"/>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0" w:type="dxa"/>
            <w:vAlign w:val="bottom"/>
            <w:tcBorders>
              <w:left w:val="single" w:sz="8" w:color="0000FF"/>
            </w:tcBorders>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Reserved</w:t>
            </w:r>
          </w:p>
        </w:tc>
        <w:tc>
          <w:tcPr>
            <w:tcW w:w="5740" w:type="dxa"/>
            <w:vAlign w:val="bottom"/>
            <w:gridSpan w:val="15"/>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600" w:type="dxa"/>
            <w:vAlign w:val="bottom"/>
            <w:gridSpan w:val="4"/>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0"/>
                <w:szCs w:val="20"/>
                <w:color w:val="auto"/>
              </w:rPr>
            </w:pPr>
          </w:p>
        </w:tc>
        <w:tc>
          <w:tcPr>
            <w:tcW w:w="600" w:type="dxa"/>
            <w:vAlign w:val="bottom"/>
            <w:gridSpan w:val="4"/>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700" w:type="dxa"/>
            <w:vAlign w:val="bottom"/>
            <w:gridSpan w:val="7"/>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580" w:type="dxa"/>
            <w:vAlign w:val="bottom"/>
            <w:gridSpan w:val="3"/>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gridSpan w:val="3"/>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0"/>
                <w:szCs w:val="20"/>
                <w:color w:val="auto"/>
              </w:rPr>
            </w:pPr>
          </w:p>
        </w:tc>
        <w:tc>
          <w:tcPr>
            <w:tcW w:w="5300" w:type="dxa"/>
            <w:vAlign w:val="bottom"/>
            <w:gridSpan w:val="12"/>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160" w:type="dxa"/>
            <w:vAlign w:val="bottom"/>
            <w:gridSpan w:val="6"/>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760" w:type="dxa"/>
            <w:vAlign w:val="bottom"/>
            <w:gridSpan w:val="2"/>
          </w:tcPr>
          <w:p>
            <w:pPr>
              <w:spacing w:after="0"/>
              <w:rPr>
                <w:sz w:val="24"/>
                <w:szCs w:val="24"/>
                <w:color w:val="auto"/>
              </w:rPr>
            </w:pPr>
          </w:p>
        </w:tc>
        <w:tc>
          <w:tcPr>
            <w:tcW w:w="2160" w:type="dxa"/>
            <w:vAlign w:val="bottom"/>
            <w:gridSpan w:val="6"/>
          </w:tcPr>
          <w:p>
            <w:pPr>
              <w:spacing w:after="0"/>
              <w:rPr>
                <w:sz w:val="24"/>
                <w:szCs w:val="24"/>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920" w:type="dxa"/>
            <w:vAlign w:val="bottom"/>
            <w:gridSpan w:val="8"/>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9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155"/>
        </w:trPr>
        <w:tc>
          <w:tcPr>
            <w:tcW w:w="72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980" w:type="dxa"/>
            <w:vAlign w:val="bottom"/>
            <w:tcBorders>
              <w:top w:val="single" w:sz="8" w:color="0000FF"/>
            </w:tcBorders>
            <w:gridSpan w:val="17"/>
          </w:tcPr>
          <w:p>
            <w:pPr>
              <w:spacing w:after="0"/>
              <w:rPr>
                <w:sz w:val="13"/>
                <w:szCs w:val="13"/>
                <w:color w:val="auto"/>
              </w:rPr>
            </w:pPr>
          </w:p>
        </w:tc>
        <w:tc>
          <w:tcPr>
            <w:tcW w:w="360" w:type="dxa"/>
            <w:vAlign w:val="bottom"/>
            <w:gridSpan w:val="2"/>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gridSpan w:val="4"/>
            <w:shd w:val="clear" w:color="auto" w:fill="0000FF"/>
          </w:tcPr>
          <w:p>
            <w:pPr>
              <w:spacing w:after="0"/>
              <w:rPr>
                <w:sz w:val="2"/>
                <w:szCs w:val="2"/>
                <w:color w:val="auto"/>
              </w:rPr>
            </w:pPr>
          </w:p>
        </w:tc>
        <w:tc>
          <w:tcPr>
            <w:tcW w:w="820" w:type="dxa"/>
            <w:vAlign w:val="bottom"/>
            <w:gridSpan w:val="6"/>
          </w:tcPr>
          <w:p>
            <w:pPr>
              <w:spacing w:after="0"/>
              <w:rPr>
                <w:sz w:val="2"/>
                <w:szCs w:val="2"/>
                <w:color w:val="auto"/>
              </w:rPr>
            </w:pPr>
          </w:p>
        </w:tc>
        <w:tc>
          <w:tcPr>
            <w:tcW w:w="13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gridSpan w:val="4"/>
          </w:tcPr>
          <w:p>
            <w:pPr>
              <w:spacing w:after="0"/>
              <w:rPr>
                <w:sz w:val="2"/>
                <w:szCs w:val="2"/>
                <w:color w:val="auto"/>
              </w:rPr>
            </w:pPr>
          </w:p>
        </w:tc>
        <w:tc>
          <w:tcPr>
            <w:tcW w:w="1620" w:type="dxa"/>
            <w:vAlign w:val="bottom"/>
            <w:gridSpan w:val="5"/>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5"/>
          </w:tcPr>
          <w:p>
            <w:pPr>
              <w:spacing w:after="0"/>
              <w:rPr>
                <w:sz w:val="20"/>
                <w:szCs w:val="20"/>
                <w:color w:val="auto"/>
              </w:rPr>
            </w:pPr>
          </w:p>
        </w:tc>
        <w:tc>
          <w:tcPr>
            <w:tcW w:w="1620" w:type="dxa"/>
            <w:vAlign w:val="bottom"/>
            <w:gridSpan w:val="5"/>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3900" w:type="dxa"/>
            <w:vAlign w:val="bottom"/>
            <w:gridSpan w:val="9"/>
          </w:tcPr>
          <w:p>
            <w:pPr>
              <w:spacing w:after="0"/>
              <w:rPr>
                <w:sz w:val="24"/>
                <w:szCs w:val="24"/>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3900" w:type="dxa"/>
            <w:vAlign w:val="bottom"/>
            <w:gridSpan w:val="9"/>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552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820" w:type="dxa"/>
            <w:vAlign w:val="bottom"/>
            <w:gridSpan w:val="6"/>
          </w:tcPr>
          <w:p>
            <w:pPr>
              <w:spacing w:after="0"/>
              <w:rPr>
                <w:sz w:val="20"/>
                <w:szCs w:val="20"/>
                <w:color w:val="auto"/>
              </w:rPr>
            </w:pPr>
          </w:p>
        </w:tc>
        <w:tc>
          <w:tcPr>
            <w:tcW w:w="5520" w:type="dxa"/>
            <w:vAlign w:val="bottom"/>
            <w:gridSpan w:val="13"/>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00" w:space="260"/>
            <w:col w:w="7980"/>
          </w:cols>
          <w:pgMar w:left="320" w:top="121"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Throughout this report, we refer to Marriott International, Inc., together with its consolidated subsidiaries, as “we,” “us,” “Marriott,” or the “Company.” In order to make this report easier to read, we also refer throughout to (1) our Consolidated Financial Statements as our “Financial Statements,” (2) our Consolidated Statements of Income as our “Income Statements,” (3) our Consolidated Balance Sheets as our “Balance Sheets,” (4) our Consolidated Statements of Cash Flows as our “Statements of Cash Flows,” (5) our properties, brands, or markets in the United States and Canada as “U.S.</w:t>
      </w:r>
    </w:p>
    <w:p>
      <w:pPr>
        <w:spacing w:after="0" w:line="3" w:lineRule="exact"/>
        <w:rPr>
          <w:sz w:val="20"/>
          <w:szCs w:val="20"/>
          <w:color w:val="auto"/>
        </w:rPr>
      </w:pPr>
    </w:p>
    <w:p>
      <w:pPr>
        <w:ind w:right="60" w:firstLine="8"/>
        <w:spacing w:after="0" w:line="255"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and (6) our properties, brands, or markets in our Caribbean and Latin America, Europe, Middle East and Africa, Greater China, and Asia Pacific excluding China regions, as “International.” In addition, references throughout to numbered “Notes” refer to the Notes to our Financial Statements, unless otherwise stated.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175"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All statements in this report are made as of the date this Form 10-K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10-K is filed with the SEC. Forward-looking statements include information related to future demand trends and expectations; our expectations regarding rooms growth; our expectations regarding our ability to meet our liquidity requirements; our capital expenditures and other investment spending expectations; our expectations regarding future dividends and share repurchases;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1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Part I, Item 1A, “Risk Factors,” of this report and other factors we describe from time to time in our periodic filings with the SEC.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Structure and Business</w:t>
      </w:r>
    </w:p>
    <w:p>
      <w:pPr>
        <w:spacing w:after="0" w:line="17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a worldwide operator, franchisor, and licensor of hotel, residential, timeshare, and other lodging properties under numerous brand names at different price and service points. Consistent with our focus on management, franchising, and licensing, we own or lease very few of our lodging properties (less than one percent of our system).</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our portfolio of brands at year-end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179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discuss our operations in the following two operating segments, both of which meet the applicable criteria for separate disclosure as a reportable business segment: (1) U.S. &amp; Canada and (2) International. In January 2024, we modified our segment structure as a result of a change in the way management intends to evaluate results and allocate resources within the Company. Beginning with the 2024 first quarter, we will report the following four operating segments: (1) U.S. &amp; Canada, (2) Europe, Middle East, and Africa, (3) Asia Pacific excluding China, and (4) Greater China. Our Caribbean and Latin America operating segment will not meet the applicable criteria for separate disclosure as a reportable business segment, and as such, we will include its results in “Unallocated corporate and other.” See Note 14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Company-Operated Properties</w:t>
      </w:r>
    </w:p>
    <w:p>
      <w:pPr>
        <w:spacing w:after="0" w:line="17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At year-end 2023, we had 2,096 company-operated properties (589,078 rooms), which included properties under long-term management or lease agreements with property owners (management and lease agreements together, the “Operating Agreements”) and properties that we own.</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 indirect). Such agreements are generally for initial periods of 20 to 30 years, with options for us to renew for up to 10 or more additional years. Our lease agreements also vary, but may include fixed annual rentals plus additional rentals based on a specified percentage of annual revenues that exceed a fixed amount. In many jurisdictions, our Operating Agreements may be subordinated to mortgages or other liens securing indebtedness of the owners. Many of our Operating Agreements also permit the owners to terminate the agreement if we do not meet certain performance metrics, financial returns fail to meet defined levels for a period of time, and we have not cured those deficiencies. In certain circumstances, some of our management agreements allow owners to convert company-operated properties to franchised properties under our brands.</w:t>
      </w:r>
    </w:p>
    <w:p>
      <w:pPr>
        <w:spacing w:after="0" w:line="13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the lodging properties we operate, we generally are responsible for hiring, training, and supervising the employees needed to operate the properties and for incurring operational and administrative costs related to the operation of the properties, and owners are required to reimburse us for those costs. We provide centralized programs and services, such as our Marriott Bonvoy loyalty program, reservations, and marketing, as well as various accounting and data processing services, and owners are required to reimburse us for those costs as well.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Franchised and Licensed Properties</w:t>
      </w:r>
    </w:p>
    <w:p>
      <w:pPr>
        <w:spacing w:after="0" w:line="173"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 have franchising and licensing arrangements that permit property owners and operators to use many of our lodging brand names and systems. Under our hotel franchising arrangements, we generally receive an initial application fee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continuing royalty fees, which typically range from four to seven percent of room revenues for all brands, plus up to four percent of food and beverage revenues for certain full-service brands. Franchisees contribute to our centralized programs and services, such as our Marriott Bonvoy loyalty program, reservations, and marketing.</w:t>
      </w:r>
    </w:p>
    <w:p>
      <w:pPr>
        <w:spacing w:after="0" w:line="12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also receive royalty fees under license agreements with Marriott Vacations Worldwide Corporation, our former timeshare subsidiary that we spun off in 2011, and its affiliates (collectively, “MVW”), for certain brands. The license fees we receive from MVW consist of a fixed annual fee, adjusted for inflation, plus certain variable fees based on sales volumes.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Finally, we receive royalty fees under agreements for The Ritz-Carlton Yacht Collection</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year-end 2023, we had 6,563 franchised and licensed properties (994,354 rooms and timeshare units).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17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use or license certain of our trademarks for the sale of residential real estate, often in conjunction with hotel development. We receive one-time branding fees upon the sale of each branded residential unit by the third-party developers who construct and sell the residences, with limited amounts, if any, of our capital at risk. We also typically receive continuing management fees for managing the related homeowners’ association. At year-end 2023, we had 126 branded residential communities (13,948 residential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and our brand names, trademarks, service marks, trade names, and logos are very important to the development, sales and marketing of our properties and services. We believe that our brand names and other intellectual property have come to represent outstanding quality, care, service, and value to our customers, guests, and the traveling public. Accordingly, we register and protect our intellectual property where we deem appropriate and otherwise protect against its unauthorized use.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Portfolio</w:t>
      </w:r>
    </w:p>
    <w:p>
      <w:pPr>
        <w:spacing w:after="0" w:line="173"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brand portfolio offers the most compelling range of brands and hotels in hospitality. Our brands are categorized by style of offering - Classic and Distinctive. Our Classic brands offer time-honored hospitality for the modern traveler, and our Distinctive brands offer memorable experiences with a unique perspective - each of which we group into four quality tiers: Luxury, Premium, Select, and Midscale.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Luxury </w:t>
      </w:r>
      <w:r>
        <w:rPr>
          <w:rFonts w:ascii="Times New Roman" w:cs="Times New Roman" w:eastAsia="Times New Roman" w:hAnsi="Times New Roman"/>
          <w:sz w:val="18"/>
          <w:szCs w:val="18"/>
          <w:color w:val="auto"/>
        </w:rPr>
        <w:t>offers bespoke and superb amenities and services. Our Classic Luxury brands include JW Marriott, The Ritz-Carlton, and St. Regis.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Distinctive Luxury brands in our portfolio include The Luxury Collection, W Hotels, EDITION, and Bvlgari.</w:t>
      </w:r>
    </w:p>
    <w:p>
      <w:pPr>
        <w:spacing w:after="0" w:line="149"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Premium </w:t>
      </w:r>
      <w:r>
        <w:rPr>
          <w:rFonts w:ascii="Times New Roman" w:cs="Times New Roman" w:eastAsia="Times New Roman" w:hAnsi="Times New Roman"/>
          <w:sz w:val="18"/>
          <w:szCs w:val="18"/>
          <w:color w:val="auto"/>
        </w:rPr>
        <w:t>offers sophisticated and thoughtful amenities and services. Our Classic Premium brands include Marriott Hotels, Sheraton, Delta Hotels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Marriott Executive Apartments, and Marriott Vacation Club. Our Distinctive Premium brands include Westin, Autograph Collection Hotels, Renaissance Hotels, Le Méridien, Tribute Portfolio, Gaylord Hotels, Design Hotels, and Apartments by Marriott Bonvoy.</w:t>
      </w:r>
    </w:p>
    <w:p>
      <w:pPr>
        <w:spacing w:after="0" w:line="117" w:lineRule="exact"/>
        <w:rPr>
          <w:sz w:val="20"/>
          <w:szCs w:val="20"/>
          <w:color w:val="auto"/>
        </w:rPr>
      </w:pPr>
    </w:p>
    <w:p>
      <w:pPr>
        <w:jc w:val="both"/>
        <w:ind w:right="38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 </w:t>
      </w:r>
      <w:r>
        <w:rPr>
          <w:rFonts w:ascii="Times New Roman" w:cs="Times New Roman" w:eastAsia="Times New Roman" w:hAnsi="Times New Roman"/>
          <w:sz w:val="18"/>
          <w:szCs w:val="18"/>
          <w:color w:val="auto"/>
        </w:rPr>
        <w:t>offers smart and easy amenities and services, with our longer stay brands offering amenities that mirror the comforts of home. Our Classic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hotel brands include Courtyard, Fairfield, Residence Inn, SpringHill Suites, Four Points, TownePlace Suites, and Protea Hotels. Our Distinctive Select hotel brands include Aloft Hotels, AC Hotels by Marriott, Moxy Hotels, and Element Hotels.</w:t>
      </w:r>
    </w:p>
    <w:p>
      <w:pPr>
        <w:spacing w:after="0" w:line="117"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Midscale </w:t>
      </w:r>
      <w:r>
        <w:rPr>
          <w:rFonts w:ascii="Times New Roman" w:cs="Times New Roman" w:eastAsia="Times New Roman" w:hAnsi="Times New Roman"/>
          <w:sz w:val="18"/>
          <w:szCs w:val="18"/>
          <w:color w:val="auto"/>
        </w:rPr>
        <w:t>offers limited services and essential amenities at a more affordable price point. Our Midscale brands, which are Classic brands, include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 by Marriott and Four Points Express by Sheraton, which opened its first hotel in the 2024 first quarter</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geographic distribution of our brands at year-end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Middle East &amp;</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Caribbean &amp;</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China</w:t>
            </w:r>
          </w:p>
        </w:tc>
        <w:tc>
          <w:tcPr>
            <w:tcW w:w="11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Luxury</w:t>
            </w:r>
          </w:p>
        </w:tc>
        <w:tc>
          <w:tcPr>
            <w:tcW w:w="9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JW Marriott</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35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16</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19,261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2,523</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4,299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8,832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9,219</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4,296</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48,430</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Ritz-Carlton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42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12,787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2,703</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3,979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4,544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5,159</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2,007</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31,179</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Luxury Collection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5,408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5,756</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2,493</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6,822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1,488</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1,461</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23,428</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71</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7,295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2,122</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2,316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2,754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3,905</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1,752</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20,144</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 Regis</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58</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2,169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768</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3,222</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3,462</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693</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12,382</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EDITION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19</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1,379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819</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638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646</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180</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4,158</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Bvlgari</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9</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332</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201</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Premium</w:t>
            </w: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Marriott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337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29</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32</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132,856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21,990</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9,083</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14,893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22,781</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8,461</w:t>
            </w: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210,064</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Sheraton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168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32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30</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64,923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14,279</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9,234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16,525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38,791</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8,442</w:t>
            </w: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152,194</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Westin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134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15</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54,820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5,787</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2,030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10,813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10,360</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4,347</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88,157</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Autograph Collection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153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37</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31,321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10,010</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2,402</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4,277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426</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12,448</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60,884</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Renaissance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88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28,041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6,491</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1,476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3,801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10,704</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2,745</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53,258</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Le Méridien</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23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5,489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5,156</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6,841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7,756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5,225</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562</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31,029</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Delta Hotels by Marriott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(Delta</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92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6</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4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Hotels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21,730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5,446</w:t>
            </w: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1,443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1,529</w:t>
            </w: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5"/>
              </w:rPr>
              <w:t>366</w:t>
            </w: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30,514</w:t>
            </w: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Tribute Portfolio</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66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10,725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3,096</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584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1,096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986</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640</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17,127</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Gaylord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85"/>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8"/>
              </w:rPr>
              <w:t>10,220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10,220</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Design Hotels</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8</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17</w:t>
            </w: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5"/>
              </w:rPr>
              <w:t>111</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1,605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4,782</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389</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783</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393</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8,702</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Marriott Executive Apartments</w:t>
            </w:r>
            <w:r>
              <w:rPr>
                <w:rFonts w:ascii="Times New Roman" w:cs="Times New Roman" w:eastAsia="Times New Roman" w:hAnsi="Times New Roman"/>
                <w:sz w:val="18"/>
                <w:szCs w:val="18"/>
                <w:color w:val="auto"/>
                <w:vertAlign w:val="superscript"/>
              </w:rPr>
              <w:t>®</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38</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212</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1,841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1,297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1,735</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240</w:t>
            </w: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5,325</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80" w:type="dxa"/>
            <w:vAlign w:val="bottom"/>
          </w:tcPr>
          <w:p>
            <w:pPr>
              <w:ind w:left="1880"/>
              <w:spacing w:after="0"/>
              <w:rPr>
                <w:sz w:val="20"/>
                <w:szCs w:val="20"/>
                <w:color w:val="auto"/>
              </w:rPr>
            </w:pPr>
            <w:r>
              <w:rPr>
                <w:rFonts w:ascii="Times New Roman" w:cs="Times New Roman" w:eastAsia="Times New Roman" w:hAnsi="Times New Roman"/>
                <w:sz w:val="9"/>
                <w:szCs w:val="9"/>
                <w:color w:val="auto"/>
              </w:rPr>
              <w:t>TM</w:t>
            </w: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Properties</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Apartments by Marriott Bonvoy</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Rooms</w:t>
            </w:r>
          </w:p>
        </w:tc>
        <w:tc>
          <w:tcPr>
            <w:tcW w:w="1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5"/>
              </w:rPr>
              <w:t>107</w:t>
            </w: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44"/>
        </w:trPr>
        <w:tc>
          <w:tcPr>
            <w:tcW w:w="20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Middle East &amp;</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Caribbean &amp;</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China</w:t>
            </w:r>
          </w:p>
        </w:tc>
        <w:tc>
          <w:tcPr>
            <w:tcW w:w="1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Select</w:t>
            </w: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Courtyard by Marriott</w:t>
            </w:r>
            <w:r>
              <w:rPr>
                <w:rFonts w:ascii="Times New Roman" w:cs="Times New Roman" w:eastAsia="Times New Roman" w:hAnsi="Times New Roman"/>
                <w:sz w:val="18"/>
                <w:szCs w:val="18"/>
                <w:color w:val="auto"/>
                <w:vertAlign w:val="superscript"/>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1,066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(Courtyard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147,091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13,984</w:t>
            </w: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2,304</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12,107</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13,865</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7,609</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196,960</w:t>
            </w: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Fairfield by Marriott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(Fairfield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1,153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193"/>
        </w:trPr>
        <w:tc>
          <w:tcPr>
            <w:tcW w:w="2060" w:type="dxa"/>
            <w:vAlign w:val="bottom"/>
            <w:vMerge w:val="continue"/>
          </w:tcPr>
          <w:p>
            <w:pPr>
              <w:spacing w:after="0"/>
              <w:rPr>
                <w:sz w:val="16"/>
                <w:szCs w:val="16"/>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109,445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9,527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7,834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2,576</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129,382</w:t>
            </w: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Residence Inn by Marriott</w:t>
            </w:r>
            <w:r>
              <w:rPr>
                <w:rFonts w:ascii="Times New Roman" w:cs="Times New Roman" w:eastAsia="Times New Roman" w:hAnsi="Times New Roman"/>
                <w:sz w:val="18"/>
                <w:szCs w:val="18"/>
                <w:color w:val="auto"/>
                <w:vertAlign w:val="superscript"/>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861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(Residence Inn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105,911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3,205</w:t>
            </w: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1,117</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1,213</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111,446</w:t>
            </w: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SpringHill Suites by Marriott</w:t>
            </w:r>
            <w:r>
              <w:rPr>
                <w:rFonts w:ascii="Times New Roman" w:cs="Times New Roman" w:eastAsia="Times New Roman" w:hAnsi="Times New Roman"/>
                <w:sz w:val="18"/>
                <w:szCs w:val="18"/>
                <w:color w:val="auto"/>
                <w:vertAlign w:val="superscript"/>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547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(SpringHill Suites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64,774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64,774</w:t>
            </w: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Four Points by Sheraton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(Four</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154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21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Points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22,965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3,284</w:t>
            </w: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5,136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10,796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14,459</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2,332</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58,972</w:t>
            </w:r>
          </w:p>
        </w:tc>
        <w:tc>
          <w:tcPr>
            <w:tcW w:w="0" w:type="dxa"/>
            <w:vAlign w:val="bottom"/>
          </w:tcPr>
          <w:p>
            <w:pPr>
              <w:spacing w:after="0"/>
              <w:rPr>
                <w:sz w:val="1"/>
                <w:szCs w:val="1"/>
                <w:color w:val="auto"/>
              </w:rPr>
            </w:pPr>
          </w:p>
        </w:tc>
      </w:tr>
      <w:tr>
        <w:trPr>
          <w:trHeight w:val="170"/>
        </w:trPr>
        <w:tc>
          <w:tcPr>
            <w:tcW w:w="206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TownePlace Suites by Marriott</w:t>
            </w:r>
            <w:r>
              <w:rPr>
                <w:rFonts w:ascii="Times New Roman" w:cs="Times New Roman" w:eastAsia="Times New Roman" w:hAnsi="Times New Roman"/>
                <w:sz w:val="18"/>
                <w:szCs w:val="18"/>
                <w:color w:val="auto"/>
                <w:vertAlign w:val="superscript"/>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503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42"/>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(TownePlace Suites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51,063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51,063</w:t>
            </w: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Aloft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162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8"/>
              </w:rPr>
              <w:t>23,457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1,669</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2,744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4,301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3,230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2,769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38,170</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 Hotels by Marriott</w:t>
            </w:r>
            <w:r>
              <w:rPr>
                <w:rFonts w:ascii="Times New Roman" w:cs="Times New Roman" w:eastAsia="Times New Roman" w:hAnsi="Times New Roman"/>
                <w:sz w:val="18"/>
                <w:szCs w:val="18"/>
                <w:color w:val="auto"/>
                <w:vertAlign w:val="superscript"/>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8"/>
              </w:rPr>
              <w:t>19,386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12,529</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286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1,775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2,867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36,978</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Moxy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35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6,572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16,416</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1,561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26,044</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Element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Hotels</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83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8"/>
              </w:rPr>
              <w:t>11,522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160</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1,189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1,151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Protea Hotels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by Marriott</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62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6,539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Midscale</w:t>
            </w: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City Express by Marriott </w:t>
            </w:r>
            <w:r>
              <w:rPr>
                <w:rFonts w:ascii="Times New Roman" w:cs="Times New Roman" w:eastAsia="Times New Roman" w:hAnsi="Times New Roman"/>
                <w:sz w:val="18"/>
                <w:szCs w:val="18"/>
                <w:color w:val="auto"/>
                <w:vertAlign w:val="superscript"/>
              </w:rPr>
              <w:t>TM</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150</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17,431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17,431</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Residences</w:t>
            </w: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Residences</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69</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14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99"/>
        </w:trPr>
        <w:tc>
          <w:tcPr>
            <w:tcW w:w="206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7,416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540</w:t>
            </w:r>
          </w:p>
        </w:tc>
        <w:tc>
          <w:tcPr>
            <w:tcW w:w="12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1,969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2,999</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722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13,948</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2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Subtotal</w:t>
            </w:r>
          </w:p>
        </w:tc>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5,965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799</w:t>
            </w:r>
          </w:p>
        </w:tc>
        <w:tc>
          <w:tcPr>
            <w:tcW w:w="12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343</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567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492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8,691</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Subtotal Rooms</w:t>
            </w: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979,631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144,131</w:t>
            </w:r>
          </w:p>
        </w:tc>
        <w:tc>
          <w:tcPr>
            <w:tcW w:w="1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74,036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130,158</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159,871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86,659</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1,574,486</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Timeshare </w:t>
            </w:r>
            <w:r>
              <w:rPr>
                <w:rFonts w:ascii="Times New Roman" w:cs="Times New Roman" w:eastAsia="Times New Roman" w:hAnsi="Times New Roman"/>
                <w:sz w:val="18"/>
                <w:szCs w:val="18"/>
                <w:color w:val="auto"/>
                <w:vertAlign w:val="superscript"/>
              </w:rPr>
              <w:t>(1)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22,745</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Yacht </w:t>
            </w:r>
            <w:r>
              <w:rPr>
                <w:rFonts w:ascii="Times New Roman" w:cs="Times New Roman" w:eastAsia="Times New Roman" w:hAnsi="Times New Roman"/>
                <w:sz w:val="18"/>
                <w:szCs w:val="18"/>
                <w:color w:val="auto"/>
                <w:vertAlign w:val="superscript"/>
              </w:rPr>
              <w:t>(1)</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Rooms</w:t>
            </w: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44"/>
        </w:trPr>
        <w:tc>
          <w:tcPr>
            <w:tcW w:w="20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6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Properties</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8,785</w:t>
            </w: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Rooms</w:t>
            </w: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1,597,380</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We exclude geographical data for Timeshare and Yacht as these offerings are captured within “Unallocated corporate and other.”</w:t>
      </w:r>
    </w:p>
    <w:p>
      <w:pPr>
        <w:spacing w:after="0" w:line="136"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In the above table, The Luxury Collection, Autograph Collection, and Tribute Portfolio include seven total properties that we acquired when we purchased Elegant Hotels Group plc in December 2019, which we currently intend to re-brand under such brands after the completion of planned renovations.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Loyalty and Credit Card Programs</w:t>
      </w:r>
    </w:p>
    <w:p>
      <w:pPr>
        <w:spacing w:after="0" w:line="168" w:lineRule="exact"/>
        <w:rPr>
          <w:sz w:val="20"/>
          <w:szCs w:val="20"/>
          <w:color w:val="auto"/>
        </w:rPr>
      </w:pPr>
    </w:p>
    <w:p>
      <w:pPr>
        <w:ind w:right="20" w:firstLine="405"/>
        <w:spacing w:after="0" w:line="233" w:lineRule="auto"/>
        <w:rPr>
          <w:sz w:val="20"/>
          <w:szCs w:val="20"/>
          <w:color w:val="auto"/>
        </w:rPr>
      </w:pPr>
      <w:r>
        <w:rPr>
          <w:rFonts w:ascii="Times New Roman" w:cs="Times New Roman" w:eastAsia="Times New Roman" w:hAnsi="Times New Roman"/>
          <w:sz w:val="18"/>
          <w:szCs w:val="18"/>
          <w:color w:val="auto"/>
        </w:rPr>
        <w:t>Marriott Bonvoy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is our travel loyalty program and marketplace through which members have access to our diverse brand portfolio, rich benefits, and travel experiences. Members can earn points for stays at our hotels and other lodging offerings, such as Homes &amp; Villas by Marriott Bonvoy</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a global offering focusing on the premium and luxury tiers of rental homes, as well as through purchases with co-branded credit cards and our travel partners. Members can redeem their points for stays at most of our properties, airline tickets, airline frequent flyer program miles, rental cars, products from Marriott Bonvoy Boutiques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and a variety of other awards, including experiences from Marriott Bonvoy Moments</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We refer to our Marriott Bonvoy loyalty program throughout this report as “Marriott Bonvoy” or our “Loyalty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believe that Marriott Bonvoy generates substantial repeat business that might otherwise go to competing hotels. In 2023, over 60% of our global room nights were booked by Marriott Bonvoy members. We strategically market to this large and growing guest base to generate revenue.</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co-branded credit cards associated with Marriott Bonvoy in 11 countries. In the U.S., we have multi-year agreements with JPMorgan Chase and American Express. We also license credit card programs internationally in Japan, Canada, the United Kingdom, United Arab Emirates, Saudi Arabia, South Korea, Mexico, China, India, and Qatar. We generally earn fixed amounts that are payable at contract inception and variable amounts that are paid to us monthly over the term of the agreements primarily based on card usage. We believe that our co-branded credit cards create a diverse revenue stream for the Company, reflect the quality and value of our portfolio of brands, and contribute to the strength of Marriott Bonvoy by creating value for our customers and property owners and franchisees. Payments received under our co-branded credit card agreements represent a significant funding source for the Loyalty Program.</w:t>
      </w:r>
    </w:p>
    <w:p>
      <w:pPr>
        <w:spacing w:after="0" w:line="135" w:lineRule="exact"/>
        <w:rPr>
          <w:sz w:val="20"/>
          <w:szCs w:val="20"/>
          <w:color w:val="auto"/>
        </w:rPr>
      </w:pPr>
    </w:p>
    <w:p>
      <w:pPr>
        <w:ind w:right="1940" w:firstLine="405"/>
        <w:spacing w:after="0" w:line="438" w:lineRule="auto"/>
        <w:rPr>
          <w:sz w:val="20"/>
          <w:szCs w:val="20"/>
          <w:color w:val="auto"/>
        </w:rPr>
      </w:pPr>
      <w:r>
        <w:rPr>
          <w:rFonts w:ascii="Times New Roman" w:cs="Times New Roman" w:eastAsia="Times New Roman" w:hAnsi="Times New Roman"/>
          <w:sz w:val="18"/>
          <w:szCs w:val="18"/>
          <w:color w:val="auto"/>
        </w:rPr>
        <w:t xml:space="preserve">See the “Loyalty Program” caption in Note 2 for more information about our Loyalty Program and co-branded credit cards. </w:t>
      </w:r>
      <w:r>
        <w:rPr>
          <w:rFonts w:ascii="Times New Roman" w:cs="Times New Roman" w:eastAsia="Times New Roman" w:hAnsi="Times New Roman"/>
          <w:sz w:val="18"/>
          <w:szCs w:val="18"/>
          <w:i w:val="1"/>
          <w:iCs w:val="1"/>
          <w:color w:val="auto"/>
        </w:rPr>
        <w:t>Sales and Marketing and Reservation Systems</w:t>
      </w:r>
    </w:p>
    <w:p>
      <w:pPr>
        <w:spacing w:after="0" w:line="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Marriott.com, the Marriott Bonvoy mobile app, and our other digital direct channels offer seamless digital experiences that complement the experience our customers enjoy at Marriott’s extensive portfolio of properties. We deliver customer-minded enhancements, including powerful in-stay capabilities through our mobile app, such as contactless check-in and check-out, Mobile Key, chat, service requests, mobile dining, and more. In addition, we are focused on strengthening the Loyalty Program by attracting more members and localizing our experiences to reach new customers around the world. Our focus on creating frictionless experiences throughout our digital direct channels is foundational to our long-term digital and technology transformation, which aims to grow our loyal customer base and drive more direct bookings and more business to our hotels.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year-end 2023, we operated 19 customer engagement centers, seven in the U.S. and 12 in other countries and territories. We own two of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and either lease the others or share space with a company-operated property.</w:t>
      </w:r>
    </w:p>
    <w:p>
      <w:pPr>
        <w:spacing w:after="0" w:line="15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believe our global sales and revenue management organizations are a key competitive advantage due to our focus on optimizing our investment in people, processes, and systems. Our above-property sales deployment strategy is designed around the way the customer wants to buy and the strategic priorities of our hotels globally. Our strategy is focused on driving efficiencies, profitable revenue, and customer loyalty by leveraging customer relationships and reducing duplication of efforts at the hotel level. We also utilize innovative and sophisticated revenue management systems, many of which are proprietary, which we believe provide a competitive advantage in pricing decisions, increasing efficiency and optimizing property-level revenue for hotels in our portfolio. Most of the hotels in our portfolio utilize web-based programs to effectively manage the rate set-up and modification processes. The use of these web-based programs provides for greater pricing flexibility, reduces time spent on rate program creation and maintenance, and increases the speed to market of new products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7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encounter strong competition in the short-term lodging market from large national and international chains that operate hotels or franchise their brands, unaffiliated hotels, and online platforms, including Airbnb and Vrbo, that allow travelers to book short-term rentals of homes and apartments as an alternative to hotel rooms. We compete for guests in many areas, including brand recognition and reputation, location, guest satisfaction, room rates, quality of service, amenities, quality of accommodations, safety and security, and the ability to earn and redeem loyalty program points.</w:t>
      </w:r>
    </w:p>
    <w:p>
      <w:pPr>
        <w:spacing w:after="0" w:line="126"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Our direct digital channels also compete for guests with online travel services platforms, such as Expedia.com, Priceline.com, Booking.com, Travelocity.com, Orbitz.com, and Ctrip.com, and search engines such as Google, Bing, Yahoo, and Baidu.</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Affiliation with a brand is common in the U.S. lodging industry. In 2023, approximately 72 percent of U.S. hotel rooms were brand-affiliated. Although we believe that our strong brand recognition assists us in attracting and retaining guests, owners, and franchisees, we compete against many other companies with strong brands and guest appeal, including Hilton, IHG Hotels &amp; Resorts, Hyatt, Wyndham Hotels &amp; Resorts, Accor, Choice Hotels, Best Western Hotels &amp; Resorts, and others.</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Outside the U.S., branding is less prevalent, and many markets are served primarily by independent operators, although branding is more common for new hotel development compared to the past. We believe that chain affiliation will continue to become more attractive in many overseas markets as local economies grow, trade barriers decline, international travel accelerates, and hotel owners seek the benefits of centralized reservation systems, marketing programs, and loyalty programs.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Based on lodging industry data, we have an approximately 16 percent share of the U.S. hotel market and a four percent share of the hotel market outside the U.S. (based on number of rooms). We believe that our hotel brands are attractive to hotel owners seeking a management company or franchise or other licensing affiliation because our hotels typically generate higher RevPAR than our direct competitors in most market areas. We attribute this performance premium to our success in achieving and maintaining strong guest preference. We believe that the location and quality of our lodging facilities, our marketing programs, our reservation systems, our Loyalty Program, and our emphasis on guest service and guest and associate satisfaction contribute to guest preference across all our brands.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73"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 general, business at our properties fluctuates moderately with the seasons. Business at some resort properties may be more seasonal depending on location.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17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Marriott’s long history of service, innovation, and growth is built on a culture of putting people first. We are committed to investing in our associates, with a focus on leadership development, competitive compensation, and creating a sense of well-being and belonging for all.</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At year-end 2023, Marriott managed the employment of approximately 411,000 associates. This number includes 148,000 associates employed by Marriott at properties, customer care centers, and above-property operations, as well as 263,000 associates who are employed by our property owners but whose employment is managed by Marriott (which is common outside the U.S.). Approximately 117,000 of the associates employed by Marriott are located in the U.S., of which approximately 19,000 belong to labor unions. Outside the U.S., some of our associates are represented by trade unions, works councils, or employee associations. These numbers do not include hotel personnel employed by our franchisees or management companies hired by our franchisees. Marriott is committed to conducting its business in accordance with high ethical and legal standards and expects our independent franchisees to develop responsible human capital management practices.</w:t>
      </w:r>
    </w:p>
    <w:p>
      <w:pPr>
        <w:spacing w:after="0" w:line="13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are focused on maintaining Marriott’s position as an employer of choice both for job seekers and our existing associates. To attract talent, we are targeting new labor pools, optimizing our recruiting practices, and sharing our story of long-term career potential. At our headquarters in Bethesda, Maryland, we utilize a hybrid work model to allow for flexibility and choice to meet the needs of our corporate workforce. For hotel-based associates, we are innovating the way hotel jobs are structured, introducing more flexibility and choice through our integrated jobs program, which allows associates to have more cross-training and engaging roles.</w:t>
      </w:r>
    </w:p>
    <w:p>
      <w:pPr>
        <w:spacing w:after="0" w:line="1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encourage continual feedback from our associates at all levels. We measure associate satisfaction through our Associate Engagement Survey, which gives all associates the opportunity to provide feedback about their work experience, providing valuable insights to drive improvements in our culture. Our associate engagement scores exceeded the “Best Employer” external benchmark in 2023, and we were recognized as a top 10 company on the Fortune Best Companies to Work for in 2023, a list we have been on for 26 consecutive years.</w:t>
      </w:r>
    </w:p>
    <w:p>
      <w:pPr>
        <w:spacing w:after="0" w:line="126" w:lineRule="exact"/>
        <w:rPr>
          <w:sz w:val="20"/>
          <w:szCs w:val="20"/>
          <w:color w:val="auto"/>
        </w:rPr>
      </w:pPr>
    </w:p>
    <w:p>
      <w:pPr>
        <w:ind w:right="560" w:firstLine="405"/>
        <w:spacing w:after="0" w:line="438" w:lineRule="auto"/>
        <w:rPr>
          <w:sz w:val="20"/>
          <w:szCs w:val="20"/>
          <w:color w:val="auto"/>
        </w:rPr>
      </w:pPr>
      <w:r>
        <w:rPr>
          <w:rFonts w:ascii="Times New Roman" w:cs="Times New Roman" w:eastAsia="Times New Roman" w:hAnsi="Times New Roman"/>
          <w:sz w:val="18"/>
          <w:szCs w:val="18"/>
          <w:color w:val="auto"/>
        </w:rPr>
        <w:t xml:space="preserve">Our human capital strategy is based on three signature elements – Growing Great Leaders, Investing in Associates, and Access to Opportunity. </w:t>
      </w:r>
      <w:r>
        <w:rPr>
          <w:rFonts w:ascii="Times New Roman" w:cs="Times New Roman" w:eastAsia="Times New Roman" w:hAnsi="Times New Roman"/>
          <w:sz w:val="18"/>
          <w:szCs w:val="18"/>
          <w:u w:val="single" w:color="auto"/>
          <w:color w:val="auto"/>
        </w:rPr>
        <w:t>Growing Great Leaders</w:t>
      </w:r>
    </w:p>
    <w:p>
      <w:pPr>
        <w:spacing w:after="0" w:line="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believe that associates at every level can inspire others through great leadership. In 2023, we launched our new Leadership Framework, designed to help us grow great leaders. It starts with leadership essentials that clearly define what great leadership means at Marriott, at all levels of the organization. We have also refreshed our leadership competencies, which have been integrated into our performance management process and leadership development programs. Our talent development strategy is designed to provide opportunities for our associates to develop and grow their careers with Marriott for the long term while driving the performance of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in Associates</w:t>
      </w:r>
    </w:p>
    <w:p>
      <w:pPr>
        <w:spacing w:after="0" w:line="171"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We are focused on providing our associates with the tools, resources, and support they need to thrive – both personally and professionally. We provide our eligible U.S. associates and their families with access to comprehensive compensation and benefits offerings, such as health care coverage, work/life support benefits, and other offerings, such as a retirement savings and employee stock purchase plan. Outside the U.S., we also offer comprehensive compensation and benefit programs that vary based on the geographic market and we regularly evaluate these programs for competitiveness against the external talent market. Our TakeCare program provides associates with tools and resources to support their physical, mental, and financial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well-being. In addition, pay equity is foundational to our compensation structures and practices. In the U.S., we conduct pay equity audits at least annually and make adjustments as needed.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Access to Opportunity</w:t>
      </w:r>
    </w:p>
    <w:p>
      <w:pPr>
        <w:spacing w:after="0" w:line="17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company-wide diversity, equity, and inclusion efforts include a range of initiatives and programs to support our goal to make all stakeholders (including associates, guests, owners, and suppliers) feel welcome and valued. The Inclusion and Social Impact Committee (“ISIC”) of our Board of Directors (“Board”), established over 20 years ago, helps drive accountability for these efforts across the Company. The ISIC assists the Board in providing oversight of the Company’s strategy, efforts, and commitments related to our people-first culture, associate well-being, inclusion, and other environmental, social and governance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and Social Impact</w:t>
      </w:r>
    </w:p>
    <w:p>
      <w:pPr>
        <w:spacing w:after="0" w:line="160"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Guided by our 2025 sustainability and social impact goals, as well as the United Nations Sustainable Development Goals, we are focused on creating a positive and sustainable impact wherever we do business. Our sustainability and social impact platform, Serve 360: Doing Good in Every Direction, is built around four focus areas: Nurture Our World; Sustain Responsible Operations; Empower Through Opportunity; and Welcome All and Advance Human Rights – each with targets to drive our efforts through 2025. These targets reflect our goals to (1) support the resiliency and sustainable development of the communities and environments where we do business, (2) work to reduce our environmental impacts, design and operate sustainable hotels, and source responsibly, while mitigating climate-related risk, (3) facilitate workplace readiness and access to opportunity in our business, and (4) create a safe, welcoming world, including by working with organizations to educate and advocate on issues related to human rights throughout and beyond our business.</w:t>
      </w:r>
    </w:p>
    <w:p>
      <w:pPr>
        <w:spacing w:after="0" w:line="11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sustainability strategy and initiatives focus on a wide range of issues, including designing resource-efficient hotels, implementing technologies to track and reduce energy and water consumption, as well as waste and food waste, increasing the use of renewable energy, managing water-related risks, focusing on third-party sustainability certifications at the hotel-level, supporting innovative ecosystem restoration initiatives, focusing on responsible and local sourcing, and driving climate action.</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climate action efforts include committing to set a near-term science-based emissions reduction target and a long-term science-based target to reach net-zero value chain greenhouse gas emissions by no later than 2050. In September 2023, we submitted our emissions reduction targets to the Science Based Targets initiative and are awaiting validation of the targets, which we expect later in 2024.</w:t>
      </w:r>
    </w:p>
    <w:p>
      <w:pPr>
        <w:spacing w:after="0" w:line="12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response to humanitarian crises, like war and natural disasters, our hotels often look to support their local communities in need by donating funds, hotel stays, food, supplies, and volunteer hours. We also deploy our Marriott Disaster Relief Fund to support associates and their families impacted by crises, such as the earthquakes in Türkiye and Syria and fires in Maui, as well as charitable organizations providing relief on the ground. We also continue to focus on our efforts to advance human rights, and we have trained 1.2 million associates in human trafficking awareness between 2016 and year-end 2023. We have also donated our training program to the broader lodging industry, and the training has been completed 1.6 million times by non-Marriott individuals between 2020 and year-end 2023. Additionally, in 2023, Marriott became a member of the Internet Watch Foundation and deployed technology to block websites with illegal child sexual abuse material from guest network access in most of its U.S. &amp; Canada hotels.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Regulations</w:t>
      </w:r>
    </w:p>
    <w:p>
      <w:pPr>
        <w:spacing w:after="0" w:line="173"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As a company with global operations, we are subject to a wide variety of laws, regulations, and government policies in the U.S. and in jurisdictions around the world. Some of the regulations that most affect us include those related to employment practices; marketing and advertising efforts; trade and economic sanctions; anti-bribery, anti-corruption, and anti-money laundering; intellectual property; cybersecurity, data privacy, data localization, data transfers, and the handling of personally identifiable information; competition; climate and the environment; health and safety; liquor sales; and the offer and sale of franchises.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Internet Address and Company SEC Filings</w:t>
      </w:r>
    </w:p>
    <w:p>
      <w:pPr>
        <w:spacing w:after="0" w:line="17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primary Internet address is Marriott.com. On the investor relations portion of our website, Marriott.com/investor, we provide a link to our electronic filings with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are subject to various risks that make an investment in our securities risky. The events and consequences discussed in these risk factors could, in circumstances we may or may not be able to accurately predict, recognize, or control, have a material adverse effect on our business, liquidity, financial condition, and results of operations. In addition, these risks could cause results to differ materially from those we express in forward-looking statements contained in this report or in other Company communications. These risk factors do not identify all risks that we face, and our business could also be affected by factors, events, or uncertainties that are not presently known to us or that we currently do not consider to present significant risks to our operations.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7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which may impact our ability to compete successfully for guests</w:t>
      </w:r>
      <w:r>
        <w:rPr>
          <w:rFonts w:ascii="Times New Roman" w:cs="Times New Roman" w:eastAsia="Times New Roman" w:hAnsi="Times New Roman"/>
          <w:sz w:val="18"/>
          <w:szCs w:val="18"/>
          <w:color w:val="auto"/>
        </w:rPr>
        <w:t>. We operate in markets that contain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competitors. Our hotel brands and other lodging offerings generally compete with major hotel chains, regional hotel chains, independent hotels, and home sharing and rental services across national and international venues. Our ability to remain competitive and attract and retain business, group and leisure travelers depends on our success in distinguishing and driving preference for our lodging products and services, including our Loyalty Program, direct booking channels, consumer-facing technology platforms and services, our co-branded credit cards, and other offerings. If we cannot compete successfully in these areas, our business, liquidity, financial condition, and results of operations could be materially adversely affected. Further, new lodging supply in individual markets could have a negative impact on the hotel industry and hamper our ability to maintain or increase room rates or occupancy in those markets.</w:t>
      </w:r>
    </w:p>
    <w:p>
      <w:pPr>
        <w:spacing w:after="0" w:line="131" w:lineRule="exact"/>
        <w:rPr>
          <w:sz w:val="20"/>
          <w:szCs w:val="20"/>
          <w:color w:val="auto"/>
        </w:rPr>
      </w:pPr>
    </w:p>
    <w:p>
      <w:pPr>
        <w:ind w:right="60" w:firstLine="405"/>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Economic and other global, national, and regional conditions and events have in the past impacted, and could in the future impact, our business, financial results and growth</w:t>
      </w:r>
      <w:r>
        <w:rPr>
          <w:rFonts w:ascii="Times New Roman" w:cs="Times New Roman" w:eastAsia="Times New Roman" w:hAnsi="Times New Roman"/>
          <w:sz w:val="18"/>
          <w:szCs w:val="18"/>
          <w:color w:val="auto"/>
        </w:rPr>
        <w:t>. Because we conduct our business on a global scale, we are affected by changes in global, national, or regional economies,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governmental policies (including in areas such as trade, travel, immigration, labor, healthcare, and related issues), and geopolitical, public health, social and other conditions and events. Our business, financial results and growth are impacted by weak or volatile economic conditions; pandemics and other outbreaks of disease; natural and man-made disasters; changes in energy prices, interest rates and currency values; political instability, geopolitical conflict, actual or threatened war, terrorist activity, civil unrest and other acts of violence; heightened travel security measures, travel advisories, and disruptions in air and ground travel; and concerns over the foregoing. These conditions and events have in the past materially negatively impacted, and could in the future materially negatively impact, our business, operations, and financial results in many ways, including, but not limited to, as follows:</w:t>
      </w:r>
    </w:p>
    <w:p>
      <w:pPr>
        <w:spacing w:after="0" w:line="136" w:lineRule="exact"/>
        <w:rPr>
          <w:sz w:val="20"/>
          <w:szCs w:val="20"/>
          <w:color w:val="auto"/>
        </w:rPr>
      </w:pPr>
    </w:p>
    <w:p>
      <w:pPr>
        <w:ind w:left="660" w:right="3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revenues at our managed and franchised hotels, owned and leased hotels, and properties in which we have an investment, potentially impacting their ability to meet expenses, including payment of amounts owed to us;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the value of our owned and leased properties or investments;</w:t>
      </w:r>
    </w:p>
    <w:p>
      <w:pPr>
        <w:ind w:left="660" w:right="420" w:hanging="328"/>
        <w:spacing w:after="0" w:line="21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the ability or willingness of hotel owners and franchisees to service, repay or refinance existing indebtedness or similar obligations, including loans or guaranty advances we have made to or for them;</w:t>
      </w:r>
    </w:p>
    <w:p>
      <w:pPr>
        <w:ind w:left="660" w:hanging="328"/>
        <w:spacing w:after="0" w:line="21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hotel owners and franchisees to obtain financing on commercially acceptable terms, or at all;</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hotel construction and opening delays;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rate at which new projects enter our pipeline;</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hotels to exit our system;</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operating costs;</w:t>
      </w:r>
    </w:p>
    <w:p>
      <w:pPr>
        <w:ind w:left="660" w:right="240" w:hanging="328"/>
        <w:spacing w:after="0" w:line="21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borrow or otherwise raise a significant amount of cash in order to preserve financial flexibility, repay maturing debt and manage debt maturities;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terms of our borrowing to be more expensive or more restrictive;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associate hiring and retention.</w:t>
      </w:r>
    </w:p>
    <w:p>
      <w:pPr>
        <w:spacing w:after="0" w:line="151" w:lineRule="exact"/>
        <w:rPr>
          <w:sz w:val="20"/>
          <w:szCs w:val="20"/>
          <w:color w:val="auto"/>
        </w:rPr>
      </w:pPr>
    </w:p>
    <w:p>
      <w:pPr>
        <w:ind w:right="240" w:firstLine="405"/>
        <w:spacing w:after="0" w:line="312" w:lineRule="auto"/>
        <w:rPr>
          <w:sz w:val="20"/>
          <w:szCs w:val="20"/>
          <w:color w:val="auto"/>
        </w:rPr>
      </w:pPr>
      <w:r>
        <w:rPr>
          <w:rFonts w:ascii="Times New Roman" w:cs="Times New Roman" w:eastAsia="Times New Roman" w:hAnsi="Times New Roman"/>
          <w:sz w:val="17"/>
          <w:szCs w:val="17"/>
          <w:color w:val="auto"/>
        </w:rPr>
        <w:t>The conditions and events discussed in this risk factor could also give rise to, aggravate, and impact our ability to allocate resources to mitigate the other risks that we identify below, which in turn could materially adversely affect our business, liquidity, financial condition, and results of operations.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Operational Risks</w:t>
      </w:r>
    </w:p>
    <w:p>
      <w:pPr>
        <w:spacing w:after="0" w:line="167"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Premature termination of our management or franchise agreements could hurt our financial performance</w:t>
      </w:r>
      <w:r>
        <w:rPr>
          <w:rFonts w:ascii="Times New Roman" w:cs="Times New Roman" w:eastAsia="Times New Roman" w:hAnsi="Times New Roman"/>
          <w:sz w:val="18"/>
          <w:szCs w:val="18"/>
          <w:color w:val="auto"/>
        </w:rPr>
        <w:t>. Our hotel management and franchise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may be subject to premature termination in certain circumstances, such as the bankruptcy of a hotel owner or franchisee, the failure of a hotel owner or franchisee to comply with its payment or other obligations under the agreement, a failure under some agreements to meet specified financial or performance criteria which we do not cure, or in certain limited cases, other negotiated contractual termination rights. Property owners may assert the right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terminate management agreements even where the agreements provide otherwise, and some courts have upheld such assertions about our management agreements and may do so in the future. When terminations occur for certain of these or other reasons, we may need to enforce our right to damages for breach of contract and related claims, which may cause us to incur significant legal fees and expenses. We may have difficulty collecting damages from the hotel owner or franchisee, and any damages we ultimately collect could be less than the projected future value of the fees and other amounts we would have otherwise collected under the management or franchise agreement. A significant loss of these agreements could hurt our financial performance or our ability to grow our business.</w:t>
      </w:r>
    </w:p>
    <w:p>
      <w:pPr>
        <w:spacing w:after="0" w:line="1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Disagreements with owners of hotels that we manage or franchise may result in arbitration or litigation or delay implementation of product or service initiatives</w:t>
      </w:r>
      <w:r>
        <w:rPr>
          <w:rFonts w:ascii="Times New Roman" w:cs="Times New Roman" w:eastAsia="Times New Roman" w:hAnsi="Times New Roman"/>
          <w:sz w:val="18"/>
          <w:szCs w:val="18"/>
          <w:color w:val="auto"/>
        </w:rPr>
        <w:t>. Consistent with our focus on management and franchising, we own very few of our lodging properties. The nature of our responsibilities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management agreements to manage each hotel and enforce the standards required for our brands under both management and franchise agreements may be subject to interpretation. This has from time to time given rise to disagreements with hotel owners and franchisees, and may give rise to such disagreements in the future, including over the need for or payment for new product, service, or systems initiatives, the timing and amount of capital investments, and reimbursement for operating costs, system costs, or other amounts. We have seen, and may in the future see, an increase in such disagreements with hotel owners and franchisees during periods when hotel returns are weaker. We seek to resolve any disagreements and to develop and maintain positive relations with current and potential hotel owners, franchisees, and real estate investment partners, but we cannot always do so. Failure to resolve such disagreements has resulted in arbitration or litigation, and could do so in the future. We could suffer significant losses, reduced profits, or constraints on our operations as the result of adverse dispute resolution outcomes.</w:t>
      </w:r>
    </w:p>
    <w:p>
      <w:pPr>
        <w:spacing w:after="0" w:line="13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An increase in the use of third-party Internet services to book online hotel reservations could adversely impact our business</w:t>
      </w:r>
      <w:r>
        <w:rPr>
          <w:rFonts w:ascii="Times New Roman" w:cs="Times New Roman" w:eastAsia="Times New Roman" w:hAnsi="Times New Roman"/>
          <w:sz w:val="18"/>
          <w:szCs w:val="18"/>
          <w:color w:val="auto"/>
        </w:rPr>
        <w:t>. Some of our hotel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rooms are booked through Internet travel intermediaries such as Expedia.com, Priceline.com, Booking.com, Travelocity.com, Orbitz.com, and Ctrip.com, and other online travel service providers. These intermediaries initially focused on leisure travel, but now also provide offerings for corporate travel and group meetings. Although our Best Rate Guarantee and Member Rate programs have helped limit guest preference shift to intermediaries and greatly reduced the ability of intermediaries to undercut the published rates at our hotels, intermediaries continue to use a variety of aggressive online marketing methods to attract guests, including the purchase by certain companies of trademarked online keywords such as “Marriott” from Internet search engines such as Google, Bing, Yahoo, and Baidu to steer guests toward their websites. Our business and profitability could be harmed to the extent that online intermediaries succeed in significantly shifting loyalties from our lodging brands to their travel services, diverting bookings away from our direct online channels, or through their fees, increasing the overall cost of Internet bookings for our hotels. At the same time, if we are not able to negotiate new agreements on satisfactory terms when our existing contracts with intermediaries (which generally have two- to three- year terms) come up for renewal, our business and prospects could be negatively impacted in a number of ways, including by reducing bookings or making our brands less attractive to hotel owners.</w:t>
      </w:r>
    </w:p>
    <w:p>
      <w:pPr>
        <w:spacing w:after="0" w:line="136" w:lineRule="exact"/>
        <w:rPr>
          <w:sz w:val="20"/>
          <w:szCs w:val="20"/>
          <w:color w:val="auto"/>
        </w:rPr>
      </w:pPr>
    </w:p>
    <w:p>
      <w:pPr>
        <w:ind w:right="30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upon attracting third-party owners and franchisees to our platform, and future arrangements with these third parties may be less favorable to us, depending on the terms offered by our competitors</w:t>
      </w:r>
      <w:r>
        <w:rPr>
          <w:rFonts w:ascii="Times New Roman" w:cs="Times New Roman" w:eastAsia="Times New Roman" w:hAnsi="Times New Roman"/>
          <w:sz w:val="18"/>
          <w:szCs w:val="18"/>
          <w:color w:val="auto"/>
        </w:rPr>
        <w:t>. Adding properties to our system entails entering into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various arrangements with property owners. Our ability to attract and retain owners and franchisees and the terms of our management and franchise agreements are influenced by the needs and preferences of owners and franchisees and the offerings otherwise available to owners and franchisees in the market, among other things. We cannot assure you that any of our current arrangements will continue or that we will be able to renew agreements or enter into new agreements in the future on terms that are as favorable to us as those that exist today.</w:t>
      </w:r>
    </w:p>
    <w:p>
      <w:pPr>
        <w:spacing w:after="0" w:line="12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effects of, or our failure to comply with, applicable laws, regulations and government policies may disrupt our business, lower our revenues, increase our costs, reduce our profits, limit our growth, or damage our reputation. </w:t>
      </w:r>
      <w:r>
        <w:rPr>
          <w:rFonts w:ascii="Times New Roman" w:cs="Times New Roman" w:eastAsia="Times New Roman" w:hAnsi="Times New Roman"/>
          <w:sz w:val="18"/>
          <w:szCs w:val="18"/>
          <w:color w:val="auto"/>
        </w:rPr>
        <w:t>We, the hotels that we franchise or manage, and the programs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are subject to or affected by a variety of laws, regulations and government policies around the globe, including, among others, those related to employment practices; marketing and advertising efforts; trade and economic sanctions; anti-bribery, anti-corruption, and anti-money laundering; intellectual property; cybersecurity, data privacy, data localization, data transfers, and the handling of personally identifiable information; competition; climate and the environment; health and safety; liquor sales; the offer and sale of franchises; and credit card products. These laws, regulations, and government policies may be complex and change frequently and could have a range of adverse effects on our business. The compliance programs, internal controls, and policies we maintain and enforce may need to be updated regularly to keep pace with changing laws, regulations and government policies and may not prevent our associates, contractors, or agents from materially violating applicable laws, regulations, and government policies. The requirements of applicable laws, regulations, and government policies, our failure to meet such requirements (including investigations and publicity resulting from actual or alleged failures), or actions we take to comply with such requirements or investigations could have significant adverse effects on our results of operations, reputation, or ability to grow our business.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Exchange rate fluctuations could result in significant foreign currency gains and losses and affect our business results</w:t>
      </w:r>
      <w:r>
        <w:rPr>
          <w:rFonts w:ascii="Times New Roman" w:cs="Times New Roman" w:eastAsia="Times New Roman" w:hAnsi="Times New Roman"/>
          <w:sz w:val="18"/>
          <w:szCs w:val="18"/>
          <w:color w:val="auto"/>
        </w:rPr>
        <w:t>. We earn revenues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 expenses in foreign currencies in connection with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exchange rate changes between foreign currencies and the U.S. dollar affect the amounts we record for our foreign assets, liabilities, revenues and expenses, and could have a material negative effect on our financial results. To the extent that our international operations continue to grow, our exposure to foreign currency exchange rate fluctuations will grow. Even though we enter into foreign exchange hedging arrangements for some of the currencies in which we do business, exchange rate fluctuations could result in significant foreign currency gains and losses and affect our results. Our hedging arrangements may also create their own costs and risks, in the form of transaction costs, credit requirements, and counterparty risk.</w:t>
      </w:r>
    </w:p>
    <w:p>
      <w:pPr>
        <w:spacing w:after="0" w:line="13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quality and reputation of our Company and our brands, and any deterioration could adversely impact our market share, reputation, business, financial condition, or results of operations</w:t>
      </w:r>
      <w:r>
        <w:rPr>
          <w:rFonts w:ascii="Times New Roman" w:cs="Times New Roman" w:eastAsia="Times New Roman" w:hAnsi="Times New Roman"/>
          <w:sz w:val="18"/>
          <w:szCs w:val="18"/>
          <w:color w:val="auto"/>
        </w:rPr>
        <w:t>. Many factors can affect the reputation and value of our Company or one or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properties or brands, including our ability to protect and use our brands and trademarks; our properties’ adherence to service and other brand standards; our approach to, or incidents involving, matters related to food quality and safety, guest and associate safety, health and cleanliness, sustainability and climate impact, supply chain management, inclusion and belonging, human rights, and support for local communities; and our compliance with applicable laws. Reputational value is also based on perceptions, and broad access to social media makes it easy for anyone to provide public feedback that can influence perceptions of us, our brands, and our properties, and it may be difficult to control or effectively manage negative publicity, regardless of whether it is accurate. While reputations may take decades to build, negative incidents can quickly erode trust and confidence, particularly if they result in adverse mainstream and social media publicity, governmental investigations, proceedings or penalties, or litigation. Negative incidents could lead to tangible adverse effects on our business, including lost sales, boycotts, reduced enrollment and/or participation in our Loyalty Program, loss of development opportunities, adverse government attention, adverse reaction from owners and franchisees, or associate retention and recruiting difficulties. Any material decline in the reputation or perceived quality of our brands or corporate image could affect our market share, reputation, business, financial condition, or results of operations.</w:t>
      </w:r>
    </w:p>
    <w:p>
      <w:pPr>
        <w:spacing w:after="0" w:line="133"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Actions by our franchisees and licensees or others could adversely affect our image and reputation</w:t>
      </w:r>
      <w:r>
        <w:rPr>
          <w:rFonts w:ascii="Times New Roman" w:cs="Times New Roman" w:eastAsia="Times New Roman" w:hAnsi="Times New Roman"/>
          <w:sz w:val="18"/>
          <w:szCs w:val="18"/>
          <w:color w:val="auto"/>
        </w:rPr>
        <w:t>. We franchise and license many of our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names and trademarks to third parties for lodging, timeshare, and residential properties, and with respect to our credit card programs and other offerings, and enter into marketing and other strategic collaborations with other companies. Under the terms of their agreements with us, these third parties interact directly with guests and others under or in connection with our brand and trade names. If these third parties fail to maintain or act in accordance with applicable brand standards; experience operational problems, including a data or privacy incident, or a circumstance involving guest or associate health or safety; or project a brand image inconsistent with ours, then our image and reputation could suffer. Although our agreements with these parties generally provide us with recourse and remedies in the event of a breach, including termination of the agreements under certain circumstances, it could be expensive or time-consuming for us to pursue such remedies and even if we are successful in pursuing such remedies, that may not be sufficient to mitigate reputational harm to us. We also cannot assure you that in every instance a court would ultimately enforce our contractual termination rights or that we could collect any awarded damages from the defaulting party.</w:t>
      </w:r>
    </w:p>
    <w:p>
      <w:pPr>
        <w:spacing w:after="0" w:line="131"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Collective bargaining activity and strikes could materially disrupt our operations, increase our labor costs, and interfere with the ability of our management to focus on executing our business strategies</w:t>
      </w:r>
      <w:r>
        <w:rPr>
          <w:rFonts w:ascii="Times New Roman" w:cs="Times New Roman" w:eastAsia="Times New Roman" w:hAnsi="Times New Roman"/>
          <w:sz w:val="18"/>
          <w:szCs w:val="18"/>
          <w:color w:val="auto"/>
        </w:rPr>
        <w:t>. A significant number of associates at our managed, leased, and owned hotels are covered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collective bargaining agreements. If relationships with our organized associates or the unions that represent them become adverse, then the properties we operate could experience labor disruptions such as strikes, lockouts, boycotts, and public demonstrations that cause a significant impact. Numerous collective bargaining agreements are typically subject to negotiation each year, and our ability in the past to resolve such negotiations does not mean that we will be able to resolve future negotiations without significant strikes or disruptions, or on terms that we consider reasonable. Labor disputes and disruptions sometimes result in adverse publicity or regulatory investigations and adversely affect operations and revenues at affected hotels. In addition, labor disputes and disruptions or increased demands from labor unions can sometimes harm our relationship with our associates, result in increased regulatory requirements or inquiries and enforcement by governmental authorities, harm our relationships with our guests and customers, divert management attention, and reduce customer demand for our services, all of which could have a significant adverse effect on our reputation, business, financial condition, or results of operations.</w:t>
      </w:r>
    </w:p>
    <w:p>
      <w:pPr>
        <w:spacing w:after="0" w:line="13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addition, labor regulation and the negotiation of new or existing collective bargaining agreements could lead to higher wage and benefit costs, changes in work rules that raise operating expenses and legal costs, and could impose limitations on our ability or the ability of our third-party property owners to take cost saving measures during economic downturns. We do not have the ability to control the negotiations of collective bargaining agreements covering unionized labor employed by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operators of our franchised properties. Increased unionization of our workforce, new labor legislation, or changes in regulations could disrupt our operations, reduce our profitability, or interfere with the ability of our management to focus on executing our business strategies.</w:t>
      </w:r>
    </w:p>
    <w:p>
      <w:pPr>
        <w:spacing w:after="0" w:line="10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suffer if we cannot attract and retain associates or as the result of the loss of the services of our senior executives</w:t>
      </w:r>
      <w:r>
        <w:rPr>
          <w:rFonts w:ascii="Times New Roman" w:cs="Times New Roman" w:eastAsia="Times New Roman" w:hAnsi="Times New Roman"/>
          <w:sz w:val="18"/>
          <w:szCs w:val="18"/>
          <w:color w:val="auto"/>
        </w:rPr>
        <w:t>. We compete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other companies both within and outside of our industry for personnel. We have in the past experienced, and could in the future experience, challenges hiring for certain positions due to various factors, such as increasing wage expectations or competition for labor from other industries, and these circumstances could continue or worsen in the future to an extent and for durations that we are not able to predict. If we cannot recruit, train, develop, and retain sufficient numbers of associates, we could experience significant negative impacts on our operations, associate morale and turnover, guest satisfaction, or our internal control environment. Insufficient numbers of associates could also limit our ability to grow and expand our business. Labor shortages have in the past resulted, and could in the future result, in higher wages and initial hiring costs, increasing our labor costs and labor costs at our hotels, which could reduce our revenues and profits. In addition, the efforts and abilities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3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Extreme weather, natural disasters, climate change, and sustainability-related concerns have impacted our business in the past and could in the future have a material adverse effect on our business and results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subject to the risks associated with extreme weather,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disasters, and climate change, including the impacts of the physical effects of climate change, changes in laws and regulations related to climate change and sustainability, and changing consumer preferences. We have seen a decline in travel and reduced demand for lodging as a result of natural disasters and extreme weather in some locations where we manage, franchise, own or lease properties or in areas of the world from which we draw guests, and the prevalence and impact of these events may increase or worsen in the future. Natural disasters, extreme weather, and other physical impacts of climate change (including rising sea levels, extreme hot or cold weather, flooding, water shortages, fires, and droughts) have in the past and could in the future result in increases in related insurance, energy or other operating costs, and physical damage to our hotels that might not be covered by insurance and might prevent or limit the operations of the property. Significant costs could be involved in improving the efficiency and climate resiliency of our hotels and otherwise preparing for, responding to, and mitigating the physical effects of climate change or sustainability-related concerns. Compliance with climate-related legislation and regulation, and our efforts to achieve science-based emissions reduction targets or other sustainability initiatives, could also be complex and costly. Growing public recognition of the dangers of climate change and other sustainability-related concerns may affect customers’ travel choices, including their frequency of travel. As a result of the foregoing, we may experience reduced demand, significant increased operating and compliance costs, operating disruptions or limitations, constraints on our room growth, and physical damage to our hotels, all of which could adversely affect our profits and growth, as we have seen in the past to some extent.</w:t>
      </w:r>
    </w:p>
    <w:p>
      <w:pPr>
        <w:spacing w:after="0" w:line="1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Insurance may not cover damage to, or losses involving, properties that we own, manage, or franchise, or other aspects of our business, and the cost of such insurance could increase</w:t>
      </w:r>
      <w:r>
        <w:rPr>
          <w:rFonts w:ascii="Times New Roman" w:cs="Times New Roman" w:eastAsia="Times New Roman" w:hAnsi="Times New Roman"/>
          <w:sz w:val="18"/>
          <w:szCs w:val="18"/>
          <w:color w:val="auto"/>
        </w:rPr>
        <w:t>. We require comprehensive property and liability insurance policies for our managed, leased, and owned properties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coverage features and insured limits that we believe are customary. We also require our franchisees to maintain similar levels of insurance. Market forces beyond our control may nonetheless limit the scope of the insurance coverage we, our hotel owners, or our franchisees can obtain, or our or their ability to obtain coverage at reasonable rates. Certain types of losses, generally of a catastrophic nature, such as earthquakes, hurricanes and floods, terrorist acts, pandemics, or liabilities that result from incidents involving the security of information systems, may result in high deductibles, low limits, or may be uninsurable, or the cost of obtaining insurance may be unacceptably high. As a result, we, our hotel owners, and our franchisees may not be successful in obtaining insurance without increases in cost or decreases in coverage levels, or may not be successful in obtaining insurance at all. For example, over the past several years following the severe and widespread damage caused by natural disasters, coupled with continued large global losses, the property, liability, and other insurance markets have seen significant cost increases. Further, in the event of a substantial loss, the insurance coverage we, our hotel owners, or our franchisees carry may not be sufficient to pay the full market value or replacement cost of any lost investment or in some cases could result in certain losses being totally uninsured. As a result, our revenues and profits could be adversely affected, and for properties we own or lease, we could lose some or all of the capital that we have invested in the property and we could remain obligated for guarantees, debt, or other financial obligations.</w:t>
      </w:r>
    </w:p>
    <w:p>
      <w:pPr>
        <w:spacing w:after="0" w:line="133"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our brands, goodwill, or other intangible assets become impaired, we may be required to record significant non-cash charges to earnings. </w:t>
      </w:r>
      <w:r>
        <w:rPr>
          <w:rFonts w:ascii="Times New Roman" w:cs="Times New Roman" w:eastAsia="Times New Roman" w:hAnsi="Times New Roman"/>
          <w:sz w:val="18"/>
          <w:szCs w:val="18"/>
          <w:color w:val="auto"/>
        </w:rPr>
        <w:t>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we had $18.1 billion of goodwill and other intangible assets. We review goodwill and indefinite-lived intangible assets for impairment annually or whenever events or circumstances indicate impairment may have occurred. Estimated fair values of our brands or reporting units could change if, for example, there are changes in the business climate, unanticipated changes in the competitive environment, adverse legal or regulatory actions or developments, changes in guests’ perception and the reputation of our brands, or changes in interest rates, operating cash flows, or market capitalization. Because of the significance of our goodwill and other intangible assets, any future impairment of these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assets could require material non-cash charges to our results of operations, which could have a material adverse effect on our reported financial condition and results of operations.</w:t>
      </w:r>
    </w:p>
    <w:p>
      <w:pPr>
        <w:spacing w:after="0" w:line="10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Loyalty Program plays a significant role in our business and unfavorable developments affecting the program could adversely affect our business and results of operations. </w:t>
      </w:r>
      <w:r>
        <w:rPr>
          <w:rFonts w:ascii="Times New Roman" w:cs="Times New Roman" w:eastAsia="Times New Roman" w:hAnsi="Times New Roman"/>
          <w:sz w:val="18"/>
          <w:szCs w:val="18"/>
          <w:color w:val="auto"/>
        </w:rPr>
        <w:t>Our Loyalty Program is an important aspect of our business. Our Loyalty Program faces significant competition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loyalty programs offered by other hospitality companies, as well as from loyalty programs offered by online travel platforms, bank travel programs, and others. There is significant competition among loyalty programs in terms of the value and utility of program currency, rewards ranges and values, and other terms and conditions. If we are not able to maintain a competitive and attractive loyalty program, whether because of changes we make to the program or changes that result from external factors (including changes in law or regulation), our ability to acquire, engage and retain members in our Loyalty Program and our ability to operate other programs (including our co-branded credit card program) may be adversely impacted, which could adversely affect our operating results and financial condition.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Development and Financing Risks</w:t>
      </w:r>
    </w:p>
    <w:p>
      <w:pPr>
        <w:spacing w:after="0" w:line="167" w:lineRule="exact"/>
        <w:rPr>
          <w:sz w:val="20"/>
          <w:szCs w:val="20"/>
          <w:color w:val="auto"/>
        </w:rPr>
      </w:pPr>
    </w:p>
    <w:p>
      <w:pPr>
        <w:ind w:right="20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hotel owners and franchisees depend on capital to buy, develop, and improve hotels, and they may be unable to access capital when necessary</w:t>
      </w:r>
      <w:r>
        <w:rPr>
          <w:rFonts w:ascii="Times New Roman" w:cs="Times New Roman" w:eastAsia="Times New Roman" w:hAnsi="Times New Roman"/>
          <w:sz w:val="18"/>
          <w:szCs w:val="18"/>
          <w:color w:val="auto"/>
        </w:rPr>
        <w:t>. Current and potential hotel owners and franchisees must periodically spend money to fund new hotel investments, as well as to refurbish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existing hotels. The availability of funds for new investments, and improvement of existing hotels by our current and potential hotel owners and franchisees depends in large measure on their ability to access the capital markets, over which we have little control. Obtaining financing on attractive terms has been, and may in the future be further, constrained by the capital markets for hotel and real estate investments.</w:t>
      </w:r>
    </w:p>
    <w:p>
      <w:pPr>
        <w:spacing w:after="0" w:line="12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our management and franchise systems is subject to the range of risks associated with real estate investments</w:t>
      </w:r>
      <w:r>
        <w:rPr>
          <w:rFonts w:ascii="Times New Roman" w:cs="Times New Roman" w:eastAsia="Times New Roman" w:hAnsi="Times New Roman"/>
          <w:sz w:val="18"/>
          <w:szCs w:val="18"/>
          <w:color w:val="auto"/>
        </w:rPr>
        <w:t>.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sustain 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availability, planning, zoning and other local approvals, and other limitations that may be imposed by market and submarket factors, such as projected room occupancy and rate, changes in growth in demand compared to projected supply, territorial restrictions in our management and franchise agreements, costs of construction, demand for and availability of construction resources, and other disruptive conditions in global, regional, or local markets.</w:t>
      </w:r>
    </w:p>
    <w:p>
      <w:pPr>
        <w:spacing w:after="0" w:line="1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owned properties and other real estate investments subject us to numerous risks</w:t>
      </w:r>
      <w:r>
        <w:rPr>
          <w:rFonts w:ascii="Times New Roman" w:cs="Times New Roman" w:eastAsia="Times New Roman" w:hAnsi="Times New Roman"/>
          <w:sz w:val="18"/>
          <w:szCs w:val="18"/>
          <w:color w:val="auto"/>
        </w:rPr>
        <w:t>. We have a number of owned and leased properties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joint ventures that own properties, which are each subject to the risks that generally relate to investments in real property. We may seek to sell some of these properties over time; however, equity real estate investments can be difficult to sell and we may not be able to complete assets sales at prices we find acceptable or at all. Moreover, the investment returns available from equity investments in real estate depend in large part on the amount of income earned and capital appreciation generated, if any, by the particular properties, and the expenses incurred. A variety of other factors also affect income from properties and real estate values, including local market conditions and new supply of hotels and other lodging products, availability and costs of staffing, governmental regulations, insurance, zoning, tax and eminent domain laws, interest rate levels, and the availability of financing. Our real estate investments have been, and could in the future be, impacted by any of these factors, resulting in a material adverse impact on our results of operations or financial condition. If our properties do not generate revenue sufficient to meet operating expenses and make needed capital expenditures, our income could be adversely affected, and we could be required to record additional significant non-cash impairment charges to our results of operations.</w:t>
      </w:r>
    </w:p>
    <w:p>
      <w:pPr>
        <w:spacing w:after="0" w:line="131"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development and sale of residential properties associated with our lodging properties or brands may reduce our profits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participate, through licensing agreements, in the development and sale of residential properties associated with many of our luxury and premium brands. Such projects pose further risks beyond those generally associated with our lodging business, which may reduce our profits or compromise our brand equity, including risks that: (1) changes in residential real estate demand generally may reduce our profits and could make it more difficult to convince future project developers of the value added by our brands; and (2) increases in interest rates, reductions in mortgage availability or the tax benefits of mortgage financing or residential ownership generally, or increases in the costs of residential ownership could prevent potential customers from buying residential products or reduce the prices they are willing to pay.</w:t>
      </w:r>
    </w:p>
    <w:p>
      <w:pPr>
        <w:spacing w:after="0" w:line="129"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More hotel projects in our development pipeline may be cancelled or delayed in opening, which could adversely affect our growth prospects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a significant number of hotels in our development pipeline, including hotels under construction, hotels subject to signed contracts, and hotels approved for development but not yet under contract. The eventual opening of such pipeline hotels and, in particular, the approved hotels that are not yet under contract, is subject to numerous risks, including the other risks described in this section. We have seen construction timelines for pipeline hotels lengthen due to various factors, including challenges related to financing, and these circumstances could continue or worsen in the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Accordingly, we cannot assure you that all of our development pipeline will result in new hotels entering our system, or that those hotels will open when we anticipate.</w:t>
      </w:r>
    </w:p>
    <w:p>
      <w:pPr>
        <w:spacing w:after="0" w:line="104"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Losses on loans or loan guarantees that we have made to third parties impact our profits</w:t>
      </w:r>
      <w:r>
        <w:rPr>
          <w:rFonts w:ascii="Times New Roman" w:cs="Times New Roman" w:eastAsia="Times New Roman" w:hAnsi="Times New Roman"/>
          <w:sz w:val="18"/>
          <w:szCs w:val="18"/>
          <w:color w:val="auto"/>
        </w:rPr>
        <w:t>. At times, we make loans for hotel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or renovation expenditures when we enter into or amend management or franchise agreements. From time to time we also provide third-party lenders with financial guarantees for the timely repayment of all or a portion of debt related to hotels that we manage or franchise, generally subject to an obligation that the owner reimburse us for any fundings. We have suffered losses, and could suffer losses in the future, when hotel owners or franchisees default on loans that we provide or fail to reimburse us for loan guarantees that we have funded.</w:t>
      </w:r>
    </w:p>
    <w:p>
      <w:pPr>
        <w:spacing w:after="0" w:line="1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owners of hotels that we manage or franchise cannot repay or refinance mortgage loans secured by their properties, our revenues and profits could decrease and our business could be harmed</w:t>
      </w:r>
      <w:r>
        <w:rPr>
          <w:rFonts w:ascii="Times New Roman" w:cs="Times New Roman" w:eastAsia="Times New Roman" w:hAnsi="Times New Roman"/>
          <w:sz w:val="18"/>
          <w:szCs w:val="18"/>
          <w:color w:val="auto"/>
        </w:rPr>
        <w:t>. The owners of many of our managed or franchised properties have pledged their hotels as collateral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loans that they entered into when those properties were purchased or refinanced. If those owners cannot meet required debt service payments or repay or refinance maturing indebtedness on favorable terms or at all, the lenders could declare a default, accelerate the related debt, and foreclose on the property, or the owners could declare bankruptcy, as we have seen in the past and could see in the future. In some cases, such foreclosures or bankruptcies have in the past resulted, and could in the future result, in the termination of our management or franchise agreements, eliminating our anticipated income and cash flows, which could have a significant negative effect on our results of operations.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Technology, Information Protection, and Privacy Risks</w:t>
      </w:r>
    </w:p>
    <w:p>
      <w:pPr>
        <w:spacing w:after="0" w:line="16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Any disruption in the functioning of our reservation, Loyalty Program, or other core operational systems could adversely affect our performance and results</w:t>
      </w:r>
      <w:r>
        <w:rPr>
          <w:rFonts w:ascii="Times New Roman" w:cs="Times New Roman" w:eastAsia="Times New Roman" w:hAnsi="Times New Roman"/>
          <w:sz w:val="18"/>
          <w:szCs w:val="18"/>
          <w:color w:val="auto"/>
        </w:rPr>
        <w:t>. In the operation of our business, we manage or use sophisticated technology and systems, including those used for our reservation,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 management, analytics, revenue management, property management, human resources and payroll systems, our Loyalty Program, and technologies we make available to our guests and for our associates. The cost, speed, accuracy, and efficiency of these technologies and systems are critical aspects of our business and are important considerations for hotel owners when choosing our brands. Our business may suffer if we or our third-party service providers fail to maintain, upgrade, or prevent disruption to these systems. Disruptions in or changes to these systems, including during upgrades or replacements, could result in a disruption to our business and the loss of important data.</w:t>
      </w:r>
    </w:p>
    <w:p>
      <w:pPr>
        <w:spacing w:after="0" w:line="1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r>
        <w:rPr>
          <w:rFonts w:ascii="Times New Roman" w:cs="Times New Roman" w:eastAsia="Times New Roman" w:hAnsi="Times New Roman"/>
          <w:sz w:val="18"/>
          <w:szCs w:val="18"/>
          <w:color w:val="auto"/>
        </w:rPr>
        <w:t>. The lodging industry continues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the use of sophisticated technology and systems, including those used for our reservation, customer relationship management, analytics, revenue management, property management, human resources and payroll systems, our Loyalty Program, and technologies we make available to our guests and for our associates. We have underway a multi-year initiative to upgrade certain of our core technologies and systems, as these and other technologies and systems described in this risk factor must be refined, updated, and/or replaced with more advanced systems on a regular basis. Our business could suffer if we cannot refine, update, and/or replace technologies and systems as quickly or effectively as our competitors, sufficiently in advance of obsolescence or performance failure or degradation, or within budgeted costs and time frames. We also may not achieve the benefits that we anticipate from any new or upgraded technology or system, and a failure to do so could result in higher than anticipated costs or lower guest satisfaction or could impair our operating results. Our business could also suffer if the use of technologies that provide alternatives to in-person meetings and events results in a decrease in demand for our lodging properties.</w:t>
      </w:r>
    </w:p>
    <w:p>
      <w:pPr>
        <w:spacing w:after="0" w:line="13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and costs associated with protecting the integrity and security of Company, associate, and guest data</w:t>
      </w:r>
      <w:r>
        <w:rPr>
          <w:rFonts w:ascii="Times New Roman" w:cs="Times New Roman" w:eastAsia="Times New Roman" w:hAnsi="Times New Roman"/>
          <w:sz w:val="18"/>
          <w:szCs w:val="18"/>
          <w:color w:val="auto"/>
        </w:rPr>
        <w:t>. In the operation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we collect, store, use, and transmit large volumes of personal data regarding associates, guests, customers, owners, licensees, franchisees, and our own business operations, including credit card numbers, reservation and loyalty data, and other personal data, in various information systems that we maintain and in systems maintained by third parties, including those of our owners, franchisees, licensees, service providers, and other third parties. The integrity and protection of this personal data is critical to our business. Our guests and associates also have a high expectation that we, as well as our owners, franchisees, licensees, service providers, and other third parties will adequately protect and appropriately use their personal data. The information, security, and privacy requirements imposed by global laws and governmental regulation, our contractual obligations, and the requirements of the payment card industry continue to become increasingly stringent in many jurisdictions in which we operate. Our systems and the systems maintained or used by our owners, franchisees, licensees, service providers, and other third parties may not be able to satisfy these changing legal and regulatory requirements and associate and guest expectations; we and/or these third parties may require significant additional investments or time to do so; and security controls that we and/or these third parties may implement sometimes do not operate effectively or as intended. We have incurred and may in the future incur significant additional costs to meet these requirements, obligations, and expectations, and in the event of alleged or actual noncompliance, we may experience increased operating costs, increased exposure to payment obligations and litigation, and increased risk of damage to our reputation and brand.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Data Security Incident, and other information security incidents, could have numerous adverse effects on our business</w:t>
      </w:r>
      <w:r>
        <w:rPr>
          <w:rFonts w:ascii="Times New Roman" w:cs="Times New Roman" w:eastAsia="Times New Roman" w:hAnsi="Times New Roman"/>
          <w:sz w:val="18"/>
          <w:szCs w:val="18"/>
          <w:color w:val="auto"/>
        </w:rPr>
        <w:t>. As a result of the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incident involving unauthorized access to the Starwood reservations database that we disclosed in November 2018 (the “Data Security Incident”), numerous lawsuits were filed against us, as described further in Note 7. We may be named as a party in additional lawsuits and other claims may be asserted by or on behalf of guests, customers, hotel owners, stockholders, or others seeking monetary damages or other relief related to the Data Security Incident. A number of federal, state, and foreign governmental authorities made inquiries, opened investigations, or requested information and/or documents related to the Data Security Incident, including under various data protection and privacy regulations. Responding to and resolving these lawsuits, claims, and/or investigations has resulted in payments and other expenses, such as the £18.4 million payment imposed by the Information Commissioner’s Office in the United Kingdom (the “ICO”) in connection with the ICO’s final decision issued in October 2020, and could result in material additional payments or remedial or other expenses. Other governmental authorities investigating or seeking information about the Data Security Incident have imposed and may further impose undertakings, injunctive relief, consent decrees, or other civil or criminal penalties, which could, among other things, materially increase our costs or otherwise require us to alter how we operate our business. Significant management time and Company resources have been, and will continue to be, devoted to matters related to the Data Security Incident. Future publicity or developments related to the Data Security Incident, including as a result of subsequent reports or regulatory actions or developments, could have a range of other adverse effects on our business or prospects, including causing or contributing to loss of consumer confidence, reduced consumer demand, reduced enrollment and/or participation in our Loyalty Program, and associate retention and recruiting difficulties. Insurance coverage designed to limit our exposure to losses such as those related to the Data Security Incident may be costly and may not be sufficient or available to cover all of our expenses or other losses (including the final payment imposed by the ICO and any other payments, fines or penalties) related to the Data Security Incident, and certain expenses by their nature (such as, for example, expenses related to enhancing our cybersecurity program) are not covered by our insurance program.</w:t>
      </w:r>
    </w:p>
    <w:p>
      <w:pPr>
        <w:spacing w:after="0" w:line="138"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cybersecurity incidents could have adverse effects on our business. </w:t>
      </w:r>
      <w:r>
        <w:rPr>
          <w:rFonts w:ascii="Times New Roman" w:cs="Times New Roman" w:eastAsia="Times New Roman" w:hAnsi="Times New Roman"/>
          <w:sz w:val="18"/>
          <w:szCs w:val="18"/>
          <w:color w:val="auto"/>
        </w:rPr>
        <w:t>We have implemented enhanced security measures to safeguard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and data, and we intend to continue implementing additional measures in the future, but, as we have seen in the past, our measures may not be sufficient to maintain the confidentiality, security, or availability of the data we collect, store, and use to operate our business. Security measures implemented by our service providers or our owners, franchisees, licensees, other third parties or their service providers also may not be sufficient, as we have seen in the past. Efforts to hack or circumvent security measures, efforts to gain unauthorized access to, exploit or disrupt the operation or integrity of our data or systems, failures of systems or software to operate as designed or intended, viruses, “ransomware” or other malware, “supply chain” attacks, “phishing” or other types of business communications compromises, operator error, or inadvertent releases of data have impacted, and may in the future impact, our information systems and records or those of our owners, franchisees, licensees, service providers, or other third parties. Security measures, no matter how well designed or implemented, may only mitigate and not fully eliminate risks, and security events, when detected by security tools or third parties, may not always be immediately understood or acted upon. Our reliance on computer, Internet-based, and mobile systems and communications, and the frequency and sophistication of efforts by third parties to gain unauthorized access or prevent authorized access to such systems, have greatly increased in recent years. Our increased reliance on cloud-based services and on remote access to information systems increases the Company’s exposure to potential cybersecurity incidents. We have experienced cyberattacks, attempts to disrupt access to our systems and data, and attempts to affect the operation or integrity of our data or systems, and the frequency and sophistication of such efforts could continue to increase. Any additional significant theft of, unauthorized access to, compromise or loss of, loss of access to, or fraudulent use of guest, associate, owner, franchisee, licensee, or Company data could adversely impact our reputation and could result in legal, regulatory and other consequences, including remedial and other expenses, fines, or litigation. Depending on the nature and scope of the event, future compromises in the security of our information systems or those of our owners, franchisees, licensees, service providers, or other third parties, or other future disruptions or compromises of data or systems, could lead to future interruptions in, or other adverse effects on, the operation of our systems or those of our owners, franchisees, licensees, service providers, or other third parties. This could result in operational interruptions and/or outages and a loss of profits, as well as negative publicity and other adverse effects on our business, including lost sales, loss of consumer confidence, boycotts, reduced enrollment and/or participation in our Loyalty Program, litigation, diminished associate satisfaction, and/or retention and recruiting difficulties, all of which could materially affect our market share, reputation, business, financial condition, or results of operations.</w:t>
      </w:r>
    </w:p>
    <w:p>
      <w:pPr>
        <w:spacing w:after="0" w:line="13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Because we have experienced cybersecurity incidents in the past, additional incidents or the failure to detect and appropriately respond to additional incidents could magnify the severity of the adverse effects on our business. The techniques used to obtain unauthorized access, disable or degrade service, or sabotage information systems change frequently, can be difficult to detect for long periods of time, and can involve difficult or prolonged assessment or remediation periods even once detected, which could also magnify the severity of these adverse effects. We cannot assure you that all potential causes of past significant incidents have been identified and remediated; additional measures may be needed to prevent significant incidents in the future. The steps we take may not be sufficient to prevent future significant incidents and as a result, such incidents may occur again. Although we carry cyber insurance that is designed to protect us against certain losses related to cyber risks, that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insurance coverage may not be sufficient or available to cover all expenses or other losses (including payments to regulatory authorities) or all types of claims that may arise in connection with cyberattacks, security compromises, and other related incidents. Furthermore, in the future such insurance may not be available on commercially reasonable terms, or at all.</w:t>
      </w:r>
    </w:p>
    <w:p>
      <w:pPr>
        <w:spacing w:after="0" w:line="118" w:lineRule="exact"/>
        <w:rPr>
          <w:sz w:val="20"/>
          <w:szCs w:val="20"/>
          <w:color w:val="auto"/>
        </w:rPr>
      </w:pPr>
    </w:p>
    <w:p>
      <w:pPr>
        <w:jc w:val="both"/>
        <w:ind w:right="20" w:firstLine="405"/>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Changes in privacy and data security laws could increase our operating costs and increase our exposure to payment obligations and litigation</w:t>
      </w:r>
      <w:r>
        <w:rPr>
          <w:rFonts w:ascii="Times New Roman" w:cs="Times New Roman" w:eastAsia="Times New Roman" w:hAnsi="Times New Roman"/>
          <w:sz w:val="17"/>
          <w:szCs w:val="17"/>
          <w:color w:val="auto"/>
        </w:rPr>
        <w:t>.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subject to numerous, complex, and frequently changing laws, regulations, and contractual obligations designed to protect personal information. Various U.S. federal and state laws, data privacy and data security laws outside of the U.S., payment card industry security standards, and other information privacy and security standards are all applicable to us. Significant legislative, judicial, or regulatory changes have been and could be issued in the future.</w:t>
      </w:r>
    </w:p>
    <w:p>
      <w:pPr>
        <w:ind w:right="140"/>
        <w:spacing w:after="0" w:line="255" w:lineRule="auto"/>
        <w:rPr>
          <w:sz w:val="20"/>
          <w:szCs w:val="20"/>
          <w:color w:val="auto"/>
        </w:rPr>
      </w:pPr>
      <w:r>
        <w:rPr>
          <w:rFonts w:ascii="Times New Roman" w:cs="Times New Roman" w:eastAsia="Times New Roman" w:hAnsi="Times New Roman"/>
          <w:sz w:val="18"/>
          <w:szCs w:val="18"/>
          <w:color w:val="auto"/>
        </w:rPr>
        <w:t>Compliance with changes in applicable data security and privacy laws and regulations and contractual obligations, including the need to respond to investigations into our compliance, has increased and may in the future increase our costs, and may restrict our business operations, increase our exposure to payment obligations and litigation in the event of alleged noncompliance, and adversely affect our reputation.</w:t>
      </w:r>
    </w:p>
    <w:p>
      <w:pPr>
        <w:spacing w:after="0" w:line="12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Changes in laws could adversely affect our ability to market our products effectively</w:t>
      </w:r>
      <w:r>
        <w:rPr>
          <w:rFonts w:ascii="Times New Roman" w:cs="Times New Roman" w:eastAsia="Times New Roman" w:hAnsi="Times New Roman"/>
          <w:sz w:val="18"/>
          <w:szCs w:val="18"/>
          <w:color w:val="auto"/>
        </w:rPr>
        <w:t>. We rely on a variety of direct marketing techniques,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email marketing, online advertising (including through social media), and postal mailings. Any further legal restrictions under various U.S. federal, state, or international laws, or new international, federal, or state laws on marketing and solicitation or international privacy, e-privacy, and anti-spam laws that govern these activities could adversely affect the continuing effectiveness of email, online advertising (including through social media), and postal mailing techniques and could require changes in our marketing strategy. If this occurs, we may not be able to develop adequate alternative marketing strategies, which could impact the amount and timing of our sales of certain products. We also obtain access to potential guests and customers from travel service providers or other companies with whom we have substantial relationships, and we market to some individuals on these lists directly or by including our marketing message in the other companies’ marketing materials. If access to these lists were to be prohibited or otherwise restricted, our ability to develop new guests and customers and introduce them to our products could be impaired.</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Governance Risk</w:t>
      </w:r>
    </w:p>
    <w:p>
      <w:pPr>
        <w:spacing w:after="0" w:line="167" w:lineRule="exact"/>
        <w:rPr>
          <w:sz w:val="20"/>
          <w:szCs w:val="20"/>
          <w:color w:val="auto"/>
        </w:rPr>
      </w:pPr>
    </w:p>
    <w:p>
      <w:pPr>
        <w:jc w:val="both"/>
        <w:ind w:right="80" w:firstLine="40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Delaware law and our governing corporate documents contain, and our Board of Directors could implement, anti-takeover provisions that could deter takeover attempts. </w:t>
      </w:r>
      <w:r>
        <w:rPr>
          <w:rFonts w:ascii="Times New Roman" w:cs="Times New Roman" w:eastAsia="Times New Roman" w:hAnsi="Times New Roman"/>
          <w:sz w:val="17"/>
          <w:szCs w:val="17"/>
          <w:color w:val="auto"/>
        </w:rPr>
        <w:t>Under the Delaware business combination statute, a stockholder holding 15 percent or more of our outstanding voting stock could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acquire us without Board of Directors’ consent for at least three years after the date the stockholder first held 15 percent or more of the voting stock.</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governing corporate documents also, among other things, require supermajority votes for mergers and similar transactions. In addition, our Board of Directors could, without stockholder approval, implement other anti-takeover defenses, such as a stockholder rights plan.</w:t>
      </w:r>
    </w:p>
    <w:p>
      <w:pPr>
        <w:spacing w:after="0" w:line="1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which is overseen by our Board. Management has created a global information security program, which encompasses a dedicated global information security team and policies, procedures, and processes for assessing, identifying, and managing risks from cybersecurity threats. Marriott’s policies, procedures, and processes follow recognized frameworks established by the National Institute of Standards and Technology (“NIST”) and the International Organization for Standardization, as well as other relevant standards. Our program is designed to maintain the confidentiality, integrity, security, and availability of the data that is created, collected, stored, and used to operate our business.</w:t>
      </w:r>
    </w:p>
    <w:p>
      <w:pPr>
        <w:spacing w:after="0" w:line="13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assess, identify, and manage risks from cybersecurity threats through various mechanisms, which from time to time may include tabletop exercises, business unit assessments, control gap analyses, threat modeling, impact analyses, internal audits, external audits, vulnerability scans, penetration tests, and engagement of third parties to conduct analyses of our information security program. We obtain cybersecurity threat intelligence from recognized forums, third parties, and other sources as part of our risk assessment process. We also maintain a risk-based approach for assessing, identifying, and managing risks from cybersecurity threats associated with third party service providers, owners, franchisees, and other companies with whom we do business.</w:t>
      </w:r>
    </w:p>
    <w:p>
      <w:pPr>
        <w:spacing w:after="0" w:line="133"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With respect to incident response, we maintain a Global Information Security &amp; Privacy Incident Response Plan (“IRP”), which applies globally to information security incidents involving properties owned, leased, or managed by Marriott, as well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above-property business locations. Franchisees are responsible for information security at franchised properties and the systems and business processes related to information security that are under their direction and control. Franchisees are required to comply with brand standards relating to information security, which include an obligation to report information security incidents to us.</w:t>
      </w:r>
    </w:p>
    <w:p>
      <w:pPr>
        <w:spacing w:after="0" w:line="1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IRP sets out a coordinated, multi-functional approach for investigating, containing, and mitigating incidents, including reporting findings and keeping senior management and other key stakeholders informed and involved as appropriate. In general, our incident response process follows the NIST framework and focuses on four phases: (i) preparation; (ii) detection and analysis; (iii) containment, eradication, and recovery; and (iv) post-incident remediation.</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do not believe that risks from cybersecurity threats, including as a result of any previous cybersecurity incidents, have materially affected or are reasonably likely to materially affect our overall business strategy, results of operations, or financial condition over the long term. See the discussion about the Starwood Data Security Incident under the “Litigation, Claims, and Government Investigations” caption in Note 7 of our financial statements, the discussion of the same in Part II, Item 7, “Management’s Discussion and Analysis of Financial Condition and Results of Operations,” and the discussion of cybersecurity risk in Part I, Item 1A,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7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Board has established a Technology and Information Security Oversight Committee (“TISOC”) to assist the Board in providing oversight of matters pertaining to technology, information security, and privacy, including risks from cybersecurity threats; management’s efforts to monitor and mitigate those risks; and significant cybersecurity incidents. The TISOC meets at least four times a year and typically receives quarterly reports from our Chief Information Security Officer (“CISO”) and other members of management. Risks from cybersecurity threats are also discussed with the full Board as part of regular legal updates and management presentations, the Board’s oversight of enterprise risk management, and periodic education sessions. The Board’s Audit Committee also receives reports regarding information security and technology-related audits conducted by our internal audit department.</w:t>
      </w:r>
    </w:p>
    <w:p>
      <w:pPr>
        <w:spacing w:after="0" w:line="1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To establish, implement, and evaluate our risk management policies and practices with respect to cybersecurity threats, and to facilitate the communication of such matters to the Board and to the TISOC, we have established a number of management committees, several of which include senior leaders and direct reports of the Company’s President and CEO, that serve as our policymaking and management-level governing bodies with respect to our information security and data privacy programs; oversee the implementation of our information security and data privacy risk management strategy; and identify, consider, and escalate information security and data privacy issues that may arise in our business.</w:t>
      </w:r>
    </w:p>
    <w:p>
      <w:pPr>
        <w:spacing w:after="0" w:line="12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Our global information security team led by our CISO works in coordination with these management committees and other cross-functional teams and is principally responsible for overseeing our information security strategy, working collaboratively with business leaders across the organization to assess, identify, and manage risks from cybersecurity threats, and to address cybersecurity incidents when they arise. Our global information security program is operated on a 24/7 basis to address risks from cybersecurity threats and to respond to cybersecurity incidents globally.</w:t>
      </w:r>
    </w:p>
    <w:p>
      <w:pPr>
        <w:spacing w:after="0" w:line="12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Our CISO and other members of senior management responsible for our information security program have extensive experience assessing and managing risks from cybersecurity threats, including decades of experience in information technology and information security positions; serving in information technology leadership positions at other large public companies; and having other significant experience in the areas of risk management, information technology, and information security. Our CISO has more than 26 years of experience in information technology and/or information security, including more than 12 years in such positions in the hospitality industry.</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Under our asset-light business model, we typically manage or franchise hotels and other lodging offerings, rather than own them. As of December 31, 2023, we owned or leased 13 hotels (4,339 rooms) in U.S. &amp; Canada and 37 hotels (8,776 rooms) in International. Additionally, most of our regional offices, customer engagement centers, and sales offices, as well as our corporate headquarters, are in leased facilities. See Part I, Item 1, “Business,” earlier in this report, and the “Properties and Rooms” caption in Part II, Item 7, “Management’s Discussion and Analysis of Financial Condition and Results of Operations” for more information about our company-operated properties.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See the information under the “Litigation, Claims, and Government Investigations” caption in Note 7, which we incorporate here by reference. Within this section, we use a threshold of $1 million in disclosing material environmental proceedings involving a governmental authority, if any.</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other proceedings, individually and in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See the information under “Information about our Executive Officers” in Part III, Item 10 of this report for information about our executive officers, which we incorporate here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right="840" w:firstLine="405"/>
        <w:spacing w:after="0" w:line="266" w:lineRule="auto"/>
        <w:rPr>
          <w:sz w:val="20"/>
          <w:szCs w:val="20"/>
          <w:color w:val="auto"/>
        </w:rPr>
      </w:pPr>
      <w:r>
        <w:rPr>
          <w:rFonts w:ascii="Times New Roman" w:cs="Times New Roman" w:eastAsia="Times New Roman" w:hAnsi="Times New Roman"/>
          <w:sz w:val="18"/>
          <w:szCs w:val="18"/>
          <w:color w:val="auto"/>
        </w:rPr>
        <w:t>At February 6, 2024, 289,485,338 shares of our Class A Common Stock (our “common stock”) were outstanding and were held by 30,822 stockholders of record. Our common stock trades on the Nasdaq Global Select Market under the trading symbol MAR.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Issuer Purchases of Equity Securities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3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 Part of</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3320" w:type="dxa"/>
            <w:vAlign w:val="bottom"/>
            <w:gridSpan w:val="2"/>
            <w:vMerge w:val="continue"/>
          </w:tcPr>
          <w:p>
            <w:pPr>
              <w:spacing w:after="0"/>
              <w:rPr>
                <w:sz w:val="17"/>
                <w:szCs w:val="17"/>
                <w:color w:val="auto"/>
              </w:rPr>
            </w:pPr>
          </w:p>
        </w:tc>
        <w:tc>
          <w:tcPr>
            <w:tcW w:w="11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3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23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2023 - October 31, 2023</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193.70</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2023 - November 30, 2023</w:t>
            </w:r>
          </w:p>
        </w:tc>
        <w:tc>
          <w:tcPr>
            <w:tcW w:w="1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202.74</w:t>
            </w:r>
          </w:p>
        </w:tc>
        <w:tc>
          <w:tcPr>
            <w:tcW w:w="1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2023 - December 31, 2023</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215.26</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328"/>
        <w:spacing w:after="0" w:line="264" w:lineRule="auto"/>
        <w:tabs>
          <w:tab w:leader="none" w:pos="647"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November 10, 2022, we announced that our Board of Directors increased our common stock repurchase authorization by 25 million shares. In addition, on November 9, 2023, we announced that our Board of Directors further increased our common stock repurchase authorization by 25 million shares. At year-end 2023, 29.1 million shares remained available for repurchase under Board approved authorizations. We may repurchase shares in the open market or in privately negotiated transactions, and we account for these shares as treasury stock.</w:t>
      </w:r>
    </w:p>
    <w:p>
      <w:pPr>
        <w:spacing w:after="0" w:line="37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1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year-end 2022 compared to year-end 2021 can be found in Part II, Item 7, “Management’s Discussion and Analysis of Financial Condition and Results of Operations,” of our Annual Report on Form 10-K for the fiscal year ended December 31, 2022, as filed with the SEC on February 14, 2023 (“2022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a worldwide operator, franchisor, and licensor of hotel, residential, timeshare, and other lodging properties in 139 countries and territories under more than 30 brand names. Under our asset-light business model, we typically manage or franchise hotels, rather than own them. We discuss our operations in the following reportable business segments: (1) U.S. &amp; Canada and (2) International. In January 2024, we modified our segment structure as a result of a change in the way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intends to evaluate results and allocate resources within the Company. Beginning with the 2024 first quarter, we will report the following four operating segments: (1) U.S. &amp; Canada, (2) Europe, Middle East, and Africa, (3) Asia Pacific excluding China, and (4) Greater China. Our Caribbean and Latin America operating segment will not meet the applicable criteria for separate disclosure as a reportable business segment, and as such, we will include its results in “Unallocated corporate and other.”</w:t>
      </w:r>
    </w:p>
    <w:p>
      <w:pPr>
        <w:spacing w:after="0" w:line="126"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Terms of our management agreements vary, but our management fees generally consist of base management fees and incentive management fees. Base management fees are typically calculated as a percentage of property-level revenue. Incentive management fees are typically calculated as a percentage of a hotel profitability measure, and, in many cases (particularly in our U.S. &amp; Canada, Europe, and Caribbean &amp; Latin America regions), are subject to a specified owner return. Under our franchise agreements, franchise fees are typically calculated as a percentage of property-level revenue or a portion thereof. Additionally, we earn franchise fees for the use of our intellectual property, including primarily co-branded credit card fees, as well as timeshare and yacht fees, residential branding fees, franchise application and relicensing fees, and certain other licensing fees, which we refer to as “non-RevPAR related franchise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Measures</w:t>
      </w:r>
    </w:p>
    <w:p>
      <w:pPr>
        <w:spacing w:after="0" w:line="173"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We believe Revenue per Available Room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occupied rooms by total rooms available, measures the utilization of a property’s available capacity. ADR, which we calculate by dividing property room revenue by total rooms sold, measures average room price and is useful in assessing pricing levels. RevPAR, occupancy, and ADR statistics are on a systemwide basis for comparable properties, unless otherwise stated. Comparisons to prior periods are on a constant U.S. dollar basis. We calculate constant dollar statistics by applying exchange rates for the current period to the prior comparable period.</w:t>
      </w:r>
    </w:p>
    <w:p>
      <w:pPr>
        <w:spacing w:after="0" w:line="13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define our comparable properties as our properties that were open and operating under one of our brands since the beginning of the last full calendar year (since January 1, 2022 for the current period) and have not, in either the current or previous year: (1) undergone significant room or public space renovations or expansions, (2) been converted between company-operated and franchised, or (3) sustained substantial property damage or business interruption. For 2023 compared to 2022, we had 5,375 comparable U.S. &amp; Canada properties and 1,704 comparable International properties.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saw strong global RevPAR improvement throughout 2023 compared to 2022. In 2023, worldwide RevPAR increased 14.9 percent compared to 2022, reflecting ADR growth of 5.8 percent and occupancy improvement of 5.5 percentage points. The increase in RevPAR was driven by improvement in all customer segments.</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the U.S. &amp; Canada, RevPAR improved 8.9 percent in 2023 compared to 2022, driven by ADR growth of 4.7 percent and occupancy improvement of 2.7 percentage points. As we returned to more normalized year over year RevPAR comparisons during the year, RevPAR growth began to stabilize in the 2023 last three quarters.</w:t>
      </w:r>
    </w:p>
    <w:p>
      <w:pPr>
        <w:spacing w:after="0" w:line="122" w:lineRule="exact"/>
        <w:rPr>
          <w:sz w:val="20"/>
          <w:szCs w:val="20"/>
          <w:color w:val="auto"/>
        </w:rPr>
      </w:pPr>
    </w:p>
    <w:p>
      <w:pPr>
        <w:ind w:right="440" w:firstLine="405"/>
        <w:spacing w:after="0" w:line="289" w:lineRule="auto"/>
        <w:rPr>
          <w:sz w:val="20"/>
          <w:szCs w:val="20"/>
          <w:color w:val="auto"/>
        </w:rPr>
      </w:pPr>
      <w:r>
        <w:rPr>
          <w:rFonts w:ascii="Times New Roman" w:cs="Times New Roman" w:eastAsia="Times New Roman" w:hAnsi="Times New Roman"/>
          <w:sz w:val="17"/>
          <w:szCs w:val="17"/>
          <w:color w:val="auto"/>
        </w:rPr>
        <w:t>In our International segment, RevPAR improved 32.6 percent in 2023 compared to 2022, driven by ADR growth of 9.7 percent and occupancy improvement of 11.7 percentage points. The improvement in RevPAR compared to 2022 was driven by strengthening demand, particularly in Greater China and Asia Pacific excluding China, which were impacted by COVID-19 and government-imposed travel restrictions for much or all of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Starwood Data Security Incident</w:t>
      </w:r>
    </w:p>
    <w:p>
      <w:pPr>
        <w:spacing w:after="0" w:line="17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September 23, 2016, we completed the acquisition of Starwood Hotels &amp; Resorts Worldwide, LLC, formerly known as Starwood Hotels &amp; Resorts Worldwide, Inc. (“Starwood”), through a series of transactions, after which Starwood became an indirect wholly-owned subsidiary of the Company. On November 30, 2018, we announced a data security incident involving </w:t>
      </w:r>
      <w:r>
        <w:rPr>
          <w:rFonts w:ascii="Times New Roman" w:cs="Times New Roman" w:eastAsia="Times New Roman" w:hAnsi="Times New Roman"/>
          <w:sz w:val="18"/>
          <w:szCs w:val="18"/>
          <w:color w:val="1C1C1C"/>
        </w:rPr>
        <w:t>unauthorized access to the Starwood</w:t>
      </w:r>
      <w:r>
        <w:rPr>
          <w:rFonts w:ascii="Times New Roman" w:cs="Times New Roman" w:eastAsia="Times New Roman" w:hAnsi="Times New Roman"/>
          <w:sz w:val="18"/>
          <w:szCs w:val="18"/>
          <w:color w:val="auto"/>
        </w:rPr>
        <w:t xml:space="preserve"> reservations database (the “Data Security Incident”). </w:t>
      </w:r>
      <w:r>
        <w:rPr>
          <w:rFonts w:ascii="Times New Roman" w:cs="Times New Roman" w:eastAsia="Times New Roman" w:hAnsi="Times New Roman"/>
          <w:sz w:val="18"/>
          <w:szCs w:val="18"/>
          <w:color w:val="1C1C1C"/>
        </w:rPr>
        <w:t>We discontinued use of t</w:t>
      </w:r>
      <w:r>
        <w:rPr>
          <w:rFonts w:ascii="Times New Roman" w:cs="Times New Roman" w:eastAsia="Times New Roman" w:hAnsi="Times New Roman"/>
          <w:sz w:val="18"/>
          <w:szCs w:val="18"/>
          <w:color w:val="auto"/>
        </w:rPr>
        <w:t xml:space="preserve">he </w:t>
      </w:r>
      <w:r>
        <w:rPr>
          <w:rFonts w:ascii="Times New Roman" w:cs="Times New Roman" w:eastAsia="Times New Roman" w:hAnsi="Times New Roman"/>
          <w:sz w:val="18"/>
          <w:szCs w:val="18"/>
          <w:color w:val="1C1C1C"/>
        </w:rPr>
        <w:t>Starwood reservations database for business operations at the end of 2018</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are currently unable to reasonably estimate the range of total possible financial impact to the Company from the Data Security Incident in excess of the expenses already recorded. However, we do not believe this incident will impact our long-term financial health. Although our insurance program includes coverage designed to limit our exposure to losses such as those related to the Data Security Incident, that insurance may not be sufficient or available to cover all of our expenses or other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losses (including monetary payments to regulators and/or litigants) related to the Data Security Incident. In addition, certain expenses by their nature (such as, for example, expenses related to enhancing our cybersecurity program) are not covered by our insurance program. We expect to incur ongoing legal and other expenses associated with the Data Security Incident in future periods, and we believe it is reasonably possible that we may incur additional monetary payments to regulators and/or litigants in excess of the amounts already recorded and costs in connection with compliance with any settlements or resolutions of matters. See Note 7 for additional information related to legal proceedings and governmental investigations related to the Data Security Incident.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 Growth and Pipeline</w:t>
      </w:r>
    </w:p>
    <w:p>
      <w:pPr>
        <w:spacing w:after="0" w:line="17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system grew from 8,288 properties (1,525,407 rooms) at year-end 2022 to 8,785 properties (1,597,380 rooms) at year-end 2023. The increase compared to year-end 2022 reflected gross additions of 558 properties (81,281 rooms), including 149 properties (17,300 rooms) from the City Express brand acquisition, and deletions of 63 properties (9,430 rooms). Our 2023 gross room additions included approximately 60,500 rooms located outside U.S. &amp; Canada and roughly 16,300 rooms converted from competitor brands.</w:t>
      </w:r>
    </w:p>
    <w:p>
      <w:pPr>
        <w:spacing w:after="0" w:line="12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At year-end 2023, we had nearly 3,400 hotels and roughly 573,000 rooms in our development pipeline, which includes over 21,000 rooms approved for development but not yet under signed contracts. More than 232,000 rooms in the pipeline, or 41 percent, were under construction at year-end 2023, including approximately 37,000 rooms from the exclusive, long-term strategic licensing agreement with MGM Resorts International that we announced in July 2023. Over half of the rooms in our development pipeline are outside U.S. &amp; Canada.</w:t>
      </w:r>
    </w:p>
    <w:p>
      <w:pPr>
        <w:spacing w:after="0" w:line="12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In 2023, we signed a record number of management, franchise and license agreements for approximately 164,000 organic rooms, of which nearly 65,000 rooms are conversions and approximately 91,000 rooms are located in the U.S. and Canada, in each case, including 37,000 rooms under our agreement with MGM Resorts International discussed above. Contracts signed in 2023 reflected the Company’s strength in the luxury tier, with 58 luxury hotel agreements signed. In 2023, we also entered the Midscale segment through the City Express brand acquisition discussed above, and announced our plans for further Midscale expansion with the launch of two new brands, Four Points Express by Sheraton and StudioRes.</w:t>
      </w:r>
    </w:p>
    <w:p>
      <w:pPr>
        <w:spacing w:after="0" w:line="1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2024, we expect net rooms growth of 5.5 to 6.0 percent, including an anticipated 2.3 percent increase as a result of the expected addition of rooms to our system under our agreement with MGM Resorts International discussed above. The first of such MGM properties joined our system in January 2024, and the remaining properties are expected to join by the end of the 2024 first quarter.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Rooms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year-end 2023, we operated, franchised, and licensed the following properties and rooms: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9"/>
              </w:rPr>
              <w:t>Managed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Franchised/Licensed</w:t>
            </w:r>
          </w:p>
        </w:tc>
        <w:tc>
          <w:tcPr>
            <w:tcW w:w="20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20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2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6"/>
                <w:szCs w:val="16"/>
                <w:color w:val="auto"/>
              </w:rPr>
            </w:pPr>
          </w:p>
        </w:tc>
      </w:tr>
      <w:tr>
        <w:trPr>
          <w:trHeight w:val="23"/>
        </w:trPr>
        <w:tc>
          <w:tcPr>
            <w:tcW w:w="10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1080" w:type="dxa"/>
            <w:vAlign w:val="bottom"/>
          </w:tcPr>
          <w:p>
            <w:pPr>
              <w:spacing w:after="0"/>
              <w:rPr>
                <w:sz w:val="16"/>
                <w:szCs w:val="16"/>
                <w:color w:val="auto"/>
              </w:rPr>
            </w:pPr>
          </w:p>
        </w:tc>
        <w:tc>
          <w:tcPr>
            <w:tcW w:w="12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6"/>
              </w:rPr>
              <w:t>Rooms</w:t>
            </w:r>
          </w:p>
        </w:tc>
        <w:tc>
          <w:tcPr>
            <w:tcW w:w="120" w:type="dxa"/>
            <w:vAlign w:val="bottom"/>
          </w:tcPr>
          <w:p>
            <w:pPr>
              <w:spacing w:after="0"/>
              <w:rPr>
                <w:sz w:val="16"/>
                <w:szCs w:val="16"/>
                <w:color w:val="auto"/>
              </w:rPr>
            </w:pPr>
          </w:p>
        </w:tc>
        <w:tc>
          <w:tcPr>
            <w:tcW w:w="1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9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20" w:type="dxa"/>
            <w:vAlign w:val="bottom"/>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9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20" w:type="dxa"/>
            <w:vAlign w:val="bottom"/>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9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Rooms</w:t>
            </w:r>
          </w:p>
        </w:tc>
        <w:tc>
          <w:tcPr>
            <w:tcW w:w="80" w:type="dxa"/>
            <w:vAlign w:val="bottom"/>
          </w:tcPr>
          <w:p>
            <w:pPr>
              <w:spacing w:after="0"/>
              <w:rPr>
                <w:sz w:val="16"/>
                <w:szCs w:val="16"/>
                <w:color w:val="auto"/>
              </w:rPr>
            </w:pPr>
          </w:p>
        </w:tc>
        <w:tc>
          <w:tcPr>
            <w:tcW w:w="12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7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Rooms</w:t>
            </w:r>
          </w:p>
        </w:tc>
      </w:tr>
      <w:tr>
        <w:trPr>
          <w:trHeight w:val="202"/>
        </w:trPr>
        <w:tc>
          <w:tcPr>
            <w:tcW w:w="1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&amp; Canada</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215,246</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752,630</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979,631</w:t>
            </w:r>
          </w:p>
        </w:tc>
      </w:tr>
      <w:tr>
        <w:trPr>
          <w:trHeight w:val="196"/>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360,717</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218,830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594,855</w:t>
            </w:r>
          </w:p>
        </w:tc>
      </w:tr>
      <w:tr>
        <w:trPr>
          <w:trHeight w:val="209"/>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Timeshare</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22,745</w:t>
            </w:r>
          </w:p>
        </w:tc>
      </w:tr>
      <w:tr>
        <w:trPr>
          <w:trHeight w:val="196"/>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Yacht</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28"/>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1,597,380</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Statistics</w:t>
      </w:r>
    </w:p>
    <w:p>
      <w:pPr>
        <w:spacing w:after="0" w:line="175" w:lineRule="exact"/>
        <w:rPr>
          <w:sz w:val="20"/>
          <w:szCs w:val="20"/>
          <w:color w:val="auto"/>
        </w:rPr>
      </w:pPr>
    </w:p>
    <w:p>
      <w:pPr>
        <w:ind w:right="18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RevPAR, occupancy, and ADR statistics for comparable properties for 2023, and 2023 compared to 2022. Systemwide statistics include data from our franchised properties, in addition to our company-operated properties.</w:t>
      </w: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RevPAR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260" w:type="dxa"/>
            <w:vAlign w:val="bottom"/>
          </w:tcPr>
          <w:p>
            <w:pPr>
              <w:spacing w:after="0"/>
              <w:rPr>
                <w:sz w:val="16"/>
                <w:szCs w:val="16"/>
                <w:color w:val="auto"/>
              </w:rPr>
            </w:pPr>
          </w:p>
        </w:tc>
        <w:tc>
          <w:tcPr>
            <w:tcW w:w="220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Average Daily Rate</w:t>
            </w:r>
          </w:p>
        </w:tc>
      </w:tr>
      <w:tr>
        <w:trPr>
          <w:trHeight w:val="23"/>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3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vs. 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vs. 2022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vs. 2022</w:t>
            </w:r>
          </w:p>
        </w:tc>
      </w:tr>
      <w:tr>
        <w:trPr>
          <w:trHeight w:val="18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Comparable Company-Operated Properties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3.7 %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249.25</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Greater China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22.4 %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21.7 %</w:t>
            </w:r>
          </w:p>
        </w:tc>
      </w:tr>
      <w:tr>
        <w:trPr>
          <w:trHeight w:val="195"/>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11.5 %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4.4 %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95"/>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Europe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7.7 %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259.65</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Middle East &amp; Africa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3.2 %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203"/>
        </w:trPr>
        <w:tc>
          <w:tcPr>
            <w:tcW w:w="31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68.8 %</w:t>
            </w:r>
          </w:p>
        </w:tc>
        <w:tc>
          <w:tcPr>
            <w:tcW w:w="100" w:type="dxa"/>
            <w:vAlign w:val="bottom"/>
          </w:tcPr>
          <w:p>
            <w:pPr>
              <w:spacing w:after="0"/>
              <w:rPr>
                <w:sz w:val="17"/>
                <w:szCs w:val="17"/>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13.1 %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03"/>
        </w:trPr>
        <w:tc>
          <w:tcPr>
            <w:tcW w:w="3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68.8 %</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9.1 %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6"/>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Comparable Systemwide Properties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2.7 %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95"/>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Greater China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22.2 %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10.9 %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r>
      <w:tr>
        <w:trPr>
          <w:trHeight w:val="195"/>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4.2 %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220.73</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Europe</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8.3 %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95"/>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Middle East &amp; Africa</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10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2.9 %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181.18</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11.7 % pts.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4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18"/>
                <w:szCs w:val="18"/>
                <w:color w:val="auto"/>
                <w:vertAlign w:val="superscript"/>
              </w:rPr>
              <w:t>(2)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100" w:type="dxa"/>
            <w:vAlign w:val="bottom"/>
          </w:tcPr>
          <w:p>
            <w:pPr>
              <w:spacing w:after="0"/>
              <w:rPr>
                <w:sz w:val="21"/>
                <w:szCs w:val="21"/>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5.5 % pts.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spacing w:after="0" w:line="23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Greater China, Asia Pacific excluding China, Caribbean &amp; Latin America, Europe, and Middle East &amp; Africa.</w:t>
      </w:r>
    </w:p>
    <w:p>
      <w:pPr>
        <w:ind w:left="320" w:hanging="312"/>
        <w:spacing w:after="0" w:line="189" w:lineRule="auto"/>
        <w:tabs>
          <w:tab w:leader="none" w:pos="3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Includes U.S. &amp; Canada and International - All.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7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discussion below presents an analysis of our consolidated results of operations for 2023 compared to 2022. Also see the “Business Trends” section above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4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fees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Franchise fees</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management fees</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89"/>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fee revenues</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2"/>
        </w:trPr>
        <w:tc>
          <w:tcPr>
            <w:tcW w:w="3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fee revenues</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2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20" w:type="dxa"/>
            <w:vAlign w:val="bottom"/>
          </w:tcPr>
          <w:p>
            <w:pPr>
              <w:spacing w:after="0"/>
              <w:rPr>
                <w:sz w:val="15"/>
                <w:szCs w:val="15"/>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base management fees primarily reflected higher RevPAR and unit growth.</w:t>
      </w:r>
    </w:p>
    <w:p>
      <w:pPr>
        <w:spacing w:after="0" w:line="171" w:lineRule="exact"/>
        <w:rPr>
          <w:sz w:val="20"/>
          <w:szCs w:val="20"/>
          <w:color w:val="auto"/>
        </w:rPr>
      </w:pPr>
    </w:p>
    <w:p>
      <w:pPr>
        <w:ind w:right="400" w:firstLine="405"/>
        <w:spacing w:after="0" w:line="312" w:lineRule="auto"/>
        <w:rPr>
          <w:sz w:val="20"/>
          <w:szCs w:val="20"/>
          <w:color w:val="auto"/>
        </w:rPr>
      </w:pPr>
      <w:r>
        <w:rPr>
          <w:rFonts w:ascii="Times New Roman" w:cs="Times New Roman" w:eastAsia="Times New Roman" w:hAnsi="Times New Roman"/>
          <w:sz w:val="17"/>
          <w:szCs w:val="17"/>
          <w:color w:val="auto"/>
        </w:rPr>
        <w:t>The increase in franchise fees primarily reflected higher RevPAR, unit growth ($99 million), and higher non-RevPAR related franchise fees ($50 million). Non-RevPAR related franchise fees of $832 million in 2023 increased primarily due to higher co-branded credit card fees ($55 million).</w:t>
      </w:r>
    </w:p>
    <w:p>
      <w:pPr>
        <w:spacing w:after="0" w:line="86" w:lineRule="exact"/>
        <w:rPr>
          <w:sz w:val="20"/>
          <w:szCs w:val="20"/>
          <w:color w:val="auto"/>
        </w:rPr>
      </w:pPr>
    </w:p>
    <w:p>
      <w:pPr>
        <w:jc w:val="both"/>
        <w:ind w:right="60" w:firstLine="405"/>
        <w:spacing w:after="0" w:line="276" w:lineRule="auto"/>
        <w:rPr>
          <w:sz w:val="20"/>
          <w:szCs w:val="20"/>
          <w:color w:val="auto"/>
        </w:rPr>
      </w:pPr>
      <w:r>
        <w:rPr>
          <w:rFonts w:ascii="Times New Roman" w:cs="Times New Roman" w:eastAsia="Times New Roman" w:hAnsi="Times New Roman"/>
          <w:sz w:val="17"/>
          <w:szCs w:val="17"/>
          <w:color w:val="auto"/>
        </w:rPr>
        <w:t>The increase in incentive management fees primarily reflected higher profits at many managed hotels. In 2023, we earned incentive management fees from 68 percent of our managed properties worldwide, compared to 61 percent in 2022. We earned incentive management fees from 31 percent of our U.S.</w:t>
      </w:r>
    </w:p>
    <w:p>
      <w:pPr>
        <w:spacing w:after="0" w:line="1" w:lineRule="exact"/>
        <w:rPr>
          <w:sz w:val="20"/>
          <w:szCs w:val="20"/>
          <w:color w:val="auto"/>
        </w:rPr>
      </w:pPr>
    </w:p>
    <w:p>
      <w:pPr>
        <w:ind w:right="60" w:firstLine="8"/>
        <w:spacing w:after="0" w:line="255"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managed properties and 85 percent of our International managed properties in 2023, compared to 29 percent in U.S. &amp; Canada and 76 percent in International in 2022. In addition, 65 percent of our total incentive management fees in 2023 came from our International managed properties versus 58 percent in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Owned, Leased, and Other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4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Owned, leased, and other - direct expenses</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leased, and other, net</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bl>
    <w:p>
      <w:pPr>
        <w:spacing w:after="0" w:line="22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Owned, leased, and other revenue, net of direct expenses, increased primarily due to stronger results at our owned and leased properties, $46 million of higher termination fees, primarily related to one development project in U.S. &amp; Canada, and an estimated monetary payment of $31 million recorded in 2022 related to a portfolio of 12 leased hotels in the U.S. &amp; Canada, partially offset by $29 million of subsidies received in 2022 for certain of our leased hotels under German government COVID-19 assistance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90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Reimbursed expenses</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15,141</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reimbursements, net</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line="23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Cost reimbursements, net (cost reimbursement revenue, net of reimbursed expenses) varies due to timing differences between the costs we incur for centralized programs and services and the related reimbursements we receive from property owners and franchisees. Over the long term, our centralized programs and services are not designed to impact our economics, either positively or negatively. See Note 2 for more information about the accounting for cost reimbursements, including our Loyalty Program.</w:t>
      </w:r>
    </w:p>
    <w:p>
      <w:pPr>
        <w:spacing w:after="0" w:line="12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decrease in cost reimbursements, net primarily reflected Loyalty Program activity, primarily due to lower program revenues and higher program expenses, higher expenses related to our insurance program, and higher marketing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8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242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120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charges and other</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General, administrative, and other expenses increased primarily due to higher administrative and compensation costs and higher litigation accruals.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Merger-related charges and other expenses increased primarily due to the Data Security Incident discussed in Note 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8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and other income, net</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242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(162)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8"/>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Gains and other income, net increased primarily due to a gain on the sale of a hotel in the Caribbean &amp; Latin America region ($24 million).</w:t>
      </w:r>
    </w:p>
    <w:p>
      <w:pPr>
        <w:spacing w:after="0" w:line="171"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Interest expense increased primarily due to higher commercial paper borrowings and interest rates ($71 million), higher debt balances driven by Senior Notes issuances, net of maturities ($70 million), and higher interest rates on floating rate debt, including the effect of interest rate swaps ($19 million).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Equity in earnings decreased primarily due to gains recorded in the prior year on the sale of properties held by equity method investees ($23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4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24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461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r>
    </w:tbl>
    <w:p>
      <w:pPr>
        <w:spacing w:after="0" w:line="23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Our tax provision decreased in 2023, compared to our tax provision in 2022, primarily due to intellectual property restructuring transactions completed during 2023 resulting in non-U.S. tax benefits ($228 million), the release of a tax valuation allowance as the Company concluded it is more likely than not to recognize non U.S. tax benefits ($223 million), and the current year release of tax reserves ($103 million), which was mostly due to the completion of a prior year tax audit. The decrease was partially offset by the increase in operating income ($61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the operating results of our reportable business segments. Also see the “Business Trends” section above for further discussion.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 2023 vs. 2022</w:t>
            </w:r>
          </w:p>
        </w:tc>
        <w:tc>
          <w:tcPr>
            <w:tcW w:w="840" w:type="dxa"/>
            <w:vAlign w:val="bottom"/>
          </w:tcPr>
          <w:p>
            <w:pPr>
              <w:spacing w:after="0"/>
              <w:rPr>
                <w:sz w:val="16"/>
                <w:szCs w:val="16"/>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5"/>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revenues</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17,696</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24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1,943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1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278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revenues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969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8"/>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327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vs. December 31, 2022</w:t>
            </w: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vs. December 31, 2022</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979,631</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964,412</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15,219</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Pr>
          <w:p>
            <w:pPr>
              <w:spacing w:after="0"/>
              <w:rPr>
                <w:sz w:val="16"/>
                <w:szCs w:val="16"/>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378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594,855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538,101</w:t>
            </w:r>
          </w:p>
        </w:tc>
        <w:tc>
          <w:tcPr>
            <w:tcW w:w="12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56,754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&amp; Canada</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 &amp; Canada segment profit increased primarily due to the following:</w:t>
      </w:r>
    </w:p>
    <w:p>
      <w:pPr>
        <w:spacing w:after="0" w:line="171" w:lineRule="exact"/>
        <w:rPr>
          <w:sz w:val="20"/>
          <w:szCs w:val="20"/>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$313 million of higher gross fee revenues, primarily reflecting higher RevPAR driven by increases in both ADR and occupancy, unit growth, and higher profits at certain managed hotels; and</w:t>
      </w:r>
    </w:p>
    <w:p>
      <w:pPr>
        <w:spacing w:after="0" w:line="107" w:lineRule="exact"/>
        <w:rPr>
          <w:rFonts w:ascii="Times New Roman" w:cs="Times New Roman" w:eastAsia="Times New Roman" w:hAnsi="Times New Roman"/>
          <w:sz w:val="18"/>
          <w:szCs w:val="18"/>
          <w:i w:val="1"/>
          <w:iCs w:val="1"/>
          <w:color w:val="auto"/>
        </w:rPr>
      </w:pPr>
    </w:p>
    <w:p>
      <w:pPr>
        <w:ind w:left="660" w:right="200" w:hanging="328"/>
        <w:spacing w:after="0" w:line="266"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$73 million of higher owned, leased, and other revenue, net of direct expenses, primarily reflecting $57 million of higher termination fees, primarily related to one development project, and a $31 million estimated monetary payment recorded in 2022 related to a portfolio of 12 leased hotels;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71" w:lineRule="exact"/>
        <w:rPr>
          <w:sz w:val="20"/>
          <w:szCs w:val="20"/>
          <w:color w:val="auto"/>
        </w:rPr>
      </w:pPr>
    </w:p>
    <w:p>
      <w:pPr>
        <w:ind w:left="5540" w:right="4940" w:hanging="5208"/>
        <w:spacing w:after="0" w:line="616"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 million of lower cost reimbursement revenue, net of reimbursed expenses.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International segment profit increased primarily due to the following:</w:t>
      </w:r>
    </w:p>
    <w:p>
      <w:pPr>
        <w:spacing w:after="0" w:line="171" w:lineRule="exact"/>
        <w:rPr>
          <w:sz w:val="20"/>
          <w:szCs w:val="20"/>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$373 million of higher gross fee revenues, primarily reflecting higher profits at certain managed hotels, higher RevPAR driven by increases in both occupancy and ADR in all regions, and unit growth, partially offset by net unfavorable foreign exchange rates;</w:t>
      </w:r>
    </w:p>
    <w:p>
      <w:pPr>
        <w:spacing w:after="0" w:line="107" w:lineRule="exact"/>
        <w:rPr>
          <w:rFonts w:ascii="Times New Roman" w:cs="Times New Roman" w:eastAsia="Times New Roman" w:hAnsi="Times New Roman"/>
          <w:sz w:val="18"/>
          <w:szCs w:val="18"/>
          <w:i w:val="1"/>
          <w:iCs w:val="1"/>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higher gains and other income, net, primarily reflecting a gain on the sale of a hotel in the Caribbean &amp; Latin America region ($24 million); and</w:t>
      </w:r>
    </w:p>
    <w:p>
      <w:pPr>
        <w:spacing w:after="0" w:line="107"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 million of higher owned, leased, and other revenue, net of direct expenses, primarily reflecting stronger results at our owned and leased properties ($43 million), partially offset by subsidies received in 2022 for certain of our leased hotels under German government COVID-19 assistance programs ($29 million);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of lower cost reimbursement revenue, net of reimbursed expenses;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$55 million of higher general, administrative, and other expenses, primarily reflecting higher litigation accruals and higher compensation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Credit Facility</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are party to a $4.5 billion multicurrency revolving credit agreement (the “Credit Facility”). Available borrowings under the Credit Facility support our commercial paper program and general corporate needs. Borrowings under the Credit Facility generally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spacing w:after="0" w:line="133"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covenants, including a single financial covenant that limits our maximum leverage (consisting of the ratio of Adjusted Total Debt to EBITDA, each as defined in the Credit Facility) to not more than 4.5 to 1.0. 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and do not expect the covenants will restrict our ability to meet our anticipated borrowing and liquidity needs.</w:t>
      </w:r>
    </w:p>
    <w:p>
      <w:pPr>
        <w:spacing w:after="0" w:line="1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monitor the status of the capital markets and regularly evaluate the effect that changes in capital market conditions may have on our ability to fund our liquidity needs. We believe the Credit Facility, and our access to capital markets, together with cash we expect to generate from operations, remain adequate to meet our liquidity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issue commercial paper in the U.S. Because we do not have purchase commitments from buyers for our commercial paper, our ability to issue commercial paper is subject to market demand. We do not expect that fluctuations in the demand for commercial paper will affect our liquidity, given our borrowing capacity under the Credit Facility and access to capital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Operations</w:t>
      </w:r>
    </w:p>
    <w:p>
      <w:pPr>
        <w:spacing w:after="0" w:line="17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$807 million in 2023 compared to 2022, primarily due to higher net income (adjusted for non-cash items), working capital changes driven by accounts receivable timing, and higher cash generated by our Loyalty Program, partially offset by higher cash paid for income taxes. Cash inflow from our Loyalty Program in 2020 included $920 million of cash received from the prepayment of certain future revenues under the 2020 amendments to our existing U.S.-issued co-branded credit card agreements, which reduced the amount of cash we received from these card issuers in subsequent years, until such reductions ended as of year-end 2023.</w:t>
      </w:r>
    </w:p>
    <w:p>
      <w:pPr>
        <w:spacing w:after="0" w:line="129"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Our ratio of current assets to current liabilities was 0.4 to 1.0 at year-end 2023 and 0.5 to 1.0 at year-end 2022. We have significant borrowing capacity under our Credit Facility should we need additional working capital.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 Cash Flows</w:t>
      </w:r>
    </w:p>
    <w:p>
      <w:pPr>
        <w:spacing w:after="0" w:line="169"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Expenditures and Other Investments. </w:t>
      </w:r>
      <w:r>
        <w:rPr>
          <w:rFonts w:ascii="Times New Roman" w:cs="Times New Roman" w:eastAsia="Times New Roman" w:hAnsi="Times New Roman"/>
          <w:sz w:val="18"/>
          <w:szCs w:val="18"/>
          <w:color w:val="auto"/>
        </w:rPr>
        <w:t>We made capital and technology expenditures of $452 million in 2023 and $332 million in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and technology expenditures in 2023 increased by $120 million compared to 2022, primarily due to higher spending on our worldwide technology systems transformation, the overwhelming portion of which is expected to be reimbursed over time. We also had cash outflows of $101 million in 2023 due to the City Express brand acquisition, which we discuss in Note 3.</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expect capital expenditures and other investments will total approximately $1.0 billion to $1.2 billion for 2024, including capital and technology expenditures, loan advances, contract acquisition costs, and other investing activities (including approximately $250 million for maintenance capital spending). Our anticipated capital and technology expenditures include $200 million of spending related to our option to purchase the land underlying the Sheraton Grand Chicago, which we discuss in Note 7.</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Property and asset sales generated $71 million of cash proceeds in 2023 and $1 million in 2022.</w:t>
      </w:r>
    </w:p>
    <w:p>
      <w:pPr>
        <w:spacing w:after="0" w:line="1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Over time, we have sold lodging properties, both completed and under development, generally subject to long-term management agreements. The ability of third-party purchasers to raise the debt and equity capital necessary to acquire such properties depends in part on the perceived risks in the lodging industry and other constraints inherent in the capital markets. We monitor the status of the capital markets and regularly evaluate the potential impact of changes in capital market conditions on our business operations. We have made, and expect to continue making, selective and opportunistic investments to add units to our lodging business, which may include property acquisitions and renovations, new construction, loans, guarantees, and equity investments. Over time, we seek to minimize capital invested in our business through asset sales subject to long-term management or franchise agreements.</w:t>
      </w:r>
    </w:p>
    <w:p>
      <w:pPr>
        <w:spacing w:after="0" w:line="129" w:lineRule="exact"/>
        <w:rPr>
          <w:sz w:val="20"/>
          <w:szCs w:val="20"/>
          <w:color w:val="auto"/>
        </w:rPr>
      </w:pPr>
    </w:p>
    <w:p>
      <w:pPr>
        <w:jc w:val="both"/>
        <w:ind w:right="12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Loan Activity. </w:t>
      </w:r>
      <w:r>
        <w:rPr>
          <w:rFonts w:ascii="Times New Roman" w:cs="Times New Roman" w:eastAsia="Times New Roman" w:hAnsi="Times New Roman"/>
          <w:sz w:val="18"/>
          <w:szCs w:val="18"/>
          <w:color w:val="auto"/>
        </w:rPr>
        <w:t>From time to time, we make loans to owners of hotels that we operate or franchise. Loan advances, net of loan collections, amounted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$16 million in 2023, compared to net collections of $3 million in 2022. At year-end 2023, we had $169 million of loans outstanding, compared to $162 million outstanding at year-end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 Cash Flows</w:t>
      </w:r>
    </w:p>
    <w:p>
      <w:pPr>
        <w:spacing w:after="0" w:line="169" w:lineRule="exact"/>
        <w:rPr>
          <w:sz w:val="20"/>
          <w:szCs w:val="20"/>
          <w:color w:val="auto"/>
        </w:rPr>
      </w:pPr>
    </w:p>
    <w:p>
      <w:pPr>
        <w:jc w:val="both"/>
        <w:ind w:right="36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Debt increased by $1,809 million in 2023, to $11,873 million at year-end 2023 from $10,064 million at year-end 2022,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our Series LL Notes and Series MM Notes ($1,135 million) and Series KK Notes ($783 million), and higher outstanding commercial paper borrowings ($546 million), partially offset by the maturity of our Series Z Notes and Series U Notes ($350 million and $291 million, respectively). See Note 9 for additional information on Senior Notes issuances.</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long-term financial objectives include maintaining diversified financing sources, optimizing the mix and maturity of our long-term debt, and reducing our working capital. At year-end 2023, our long-term debt had a weighted average interest rate of 4.5 percent and a weighted average maturity of approximately 5.0 years. Including the effect of interest rate swaps, the ratio of our fixed-rate long-term debt to our total long-term debt was 0.8 to 1.0 at year-end 2023.</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“Our Credit Facility” caption in this “Liquidity and Capital Resources” section for more information on our Credit Facility.</w:t>
      </w:r>
    </w:p>
    <w:p>
      <w:pPr>
        <w:spacing w:after="0" w:line="167" w:lineRule="exact"/>
        <w:rPr>
          <w:sz w:val="20"/>
          <w:szCs w:val="20"/>
          <w:color w:val="auto"/>
        </w:rPr>
      </w:pPr>
    </w:p>
    <w:p>
      <w:pPr>
        <w:ind w:right="24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Repurchases and Dividends. </w:t>
      </w:r>
      <w:r>
        <w:rPr>
          <w:rFonts w:ascii="Times New Roman" w:cs="Times New Roman" w:eastAsia="Times New Roman" w:hAnsi="Times New Roman"/>
          <w:sz w:val="18"/>
          <w:szCs w:val="18"/>
          <w:color w:val="auto"/>
        </w:rPr>
        <w:t>We repurchased 21.5 million shares of our common stock for $3.9 billion in 2023. Year-to-date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9, 2024, we repurchased 1.3 million shares for $300 million. For additional information, see “Market for Registrant’s Common Equity, Related Stockholder Matters, and Issuer Purchases of Equity Securities” in Part II, Item 5.</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Board declared the following quarterly cash dividends in 2023: (1) $0.40 per share declared on February 10, 2023 and paid on March 31, 2023 to stockholders of record on February 24, 2023; (2) $0.52 per share declared on May 12, 2023 and paid on June 30, 2023 to stockholders of record on May 26, 2023; (3) $0.52 per share declared on August 3, 2023 and paid on September 29, 2023 to stockholders of record on August 17, 2023; and (4) $0.52 per share declared on November 9, 2023 and paid on December 29, 2023 to stockholders of record on November 22, 2023. Our Board declared a cash dividend of $0.52 per share on February 8, 2024, payable on March 29, 2024 to stockholders of record on February 22, 2024.</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continue to return cash to stockholders through a combination of share repurchases and cash dividends.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obligations and off-balance sheet arrangements.</w:t>
      </w:r>
    </w:p>
    <w:p>
      <w:pPr>
        <w:spacing w:after="0" w:line="171" w:lineRule="exact"/>
        <w:rPr>
          <w:sz w:val="20"/>
          <w:szCs w:val="20"/>
          <w:color w:val="auto"/>
        </w:rPr>
      </w:pPr>
    </w:p>
    <w:p>
      <w:pPr>
        <w:ind w:left="660" w:right="1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year-end 2023, we had $13,937 million of debt, including principal and future interest payments, of which $972 million is payable within the next 12 months from year-end 2023. See Note 9 for further information about our long-term debt.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operating and finance leases primarily for hotels, offices, and equipment, which are discussed in Note 8.</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projected Deemed Repatriation Transition Tax payments under the U.S. tax legislation enacted on December 22, 2017, commonly referred to as the 2017 Tax Cuts and Jobs Act, totaled $243 million, of which $108 million is payable within the next 12 months from year-end 2023.</w:t>
      </w:r>
    </w:p>
    <w:p>
      <w:pPr>
        <w:spacing w:after="0" w:line="121"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had guarantees, a contingent purchase obligation, commitments, and letters of credit as of year-end 2023, which are discussed in Note 7. With the exception of the Sheraton Grand Chicago put option discussed in Note 7, the majority of our remaining guarantee commitments are not expected to be funded within the next 12 months from year-end 2023. In addition to the purchase obligations discussed in Note 7, in the normal course of business, we enter into purchase commitments and incur other obligations to manage the daily operating needs of the hotels that we manage. Since our contracts with owners require reimbursement for these amounts, these obligations are expected to have minimal impact on our net income and cash flow.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do not expect that accounting standard updates issued to date and that are effective after December 31, 2023 will have a material effect on our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preparation of financial statements in accordance with GAAP requires management to make estimates and assumptions that affect reported amounts and related disclosures. Management considers an accounting policy and estimate to be critical if: (1) we must make assumptions that were uncertain when the estimate was made; and (2) changes in the estimate, or selection of a different estimate methodology could have a material effect on our consolidated results of operations or financial condition.</w:t>
      </w:r>
    </w:p>
    <w:p>
      <w:pPr>
        <w:spacing w:after="0" w:line="12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 for further information related to our critical accounting policies and estimates, which are as follows:</w:t>
      </w:r>
    </w:p>
    <w:p>
      <w:pPr>
        <w:spacing w:after="0" w:line="169"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i w:val="1"/>
          <w:iCs w:val="1"/>
          <w:color w:val="auto"/>
        </w:rPr>
        <w:t>Loyalty Program</w:t>
      </w:r>
      <w:r>
        <w:rPr>
          <w:rFonts w:ascii="Times New Roman" w:cs="Times New Roman" w:eastAsia="Times New Roman" w:hAnsi="Times New Roman"/>
          <w:sz w:val="18"/>
          <w:szCs w:val="18"/>
          <w:color w:val="auto"/>
        </w:rPr>
        <w:t>, including how we estimate the breakage of hotel points, credit card points, and free night certificates, the volume of points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night certificates that will be issued under our co-branded credit card agreements, the amount of consideration to which we will be entitled under our co-branded credit card agreements, and the stand-alone selling prices of goods and services provided under our co-branded credit card agreements. Changes in these estimates could result in material changes to our liability for guest loyalty program and Loyalty Program revenue. Based on the conditions existing at December 31, 2023 and holding other factors constant, a one percent decrease in our estimate of the breakage of points could result in an increase in the liability for guest loyalty program of approximately $50 million. The breakage impact may vary significantly depending on the specific Loyalty Program points for which the anticipated breakage changes.</w:t>
      </w:r>
    </w:p>
    <w:p>
      <w:pPr>
        <w:spacing w:after="0" w:line="129"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including how we evaluate the fair value of reporting units and when we record an impairment loss on goodwill. During the 2023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we conducted our annual goodwill impairment test, and no impairment charges were recorded. The estimated fair values of all our reporting units significantly exceeded their carrying amounts at the date of their most recent estimated fair value determination.</w:t>
      </w:r>
    </w:p>
    <w:p>
      <w:pPr>
        <w:spacing w:after="0" w:line="119" w:lineRule="exact"/>
        <w:rPr>
          <w:sz w:val="20"/>
          <w:szCs w:val="20"/>
          <w:color w:val="auto"/>
        </w:rPr>
      </w:pPr>
    </w:p>
    <w:p>
      <w:pPr>
        <w:ind w:left="660"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Intangibles and Long-Lived Assets</w:t>
      </w:r>
      <w:r>
        <w:rPr>
          <w:rFonts w:ascii="Times New Roman" w:cs="Times New Roman" w:eastAsia="Times New Roman" w:hAnsi="Times New Roman"/>
          <w:sz w:val="18"/>
          <w:szCs w:val="18"/>
          <w:color w:val="auto"/>
        </w:rPr>
        <w:t>, including how we evaluate the fair value of intangibles and long-lived assets and when we record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intangibles and long-lived assets. During 2023, we evaluated our intangibles and long-lived asset groups for impairment and did not record any material impairment charges. The estimated fair values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of all our indefinite-lived intangible assets significantly exceeded their carrying amounts at the date of their most recent estimated fair value determination.</w:t>
      </w:r>
    </w:p>
    <w:p>
      <w:pPr>
        <w:spacing w:after="0" w:line="1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are exposed to market risk primarily from changes in interest rates and currency exchange rates. We manage our exposure to these risks by monitoring available financing alternatives, through the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26"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use derivative instruments, including cash flow hedges, fair value hedges, net investment in non-U.S. operations hedges, and other derivative instruments, as part of our overall strategy to manage our exposure to market risks associated with fluctuations in interest rates and currency exchange rates. We continue to have exposure to such risks to the extent they are not hedged. See Note 2 for more information on derivative instruments. We use forward contracts not designated as hedging instruments to manage currency exchange rate risk associated with certain cash and intercompany loan balances. We intend to offset the gains and losses related to these forward contracts with the gains and losses related to the remeasurement of our cash and intercompany loan balances, such that there is a negligible effect on earnings. We do not consider the fair value or earnings impact of these forward contracts to be material to our consolidated financial statements.</w:t>
      </w:r>
    </w:p>
    <w:p>
      <w:pPr>
        <w:spacing w:after="0" w:line="13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on our floating-rate notes receivable and floating-rate debt, including the effect of interest rate swaps. Changes in interest rates also impact the fair value of our fixed-rate notes receivable and the fair value of our fixed-rate long-term debt.</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scheduled maturities and the total fair value as of year-end 2023 for our financial instruments that are impacted by interest rate risk: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Maturities by Period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restart"/>
          </w:tcPr>
          <w:p>
            <w:pPr>
              <w:jc w:val="center"/>
              <w:ind w:right="108"/>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w:t>
            </w: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4"/>
                <w:szCs w:val="14"/>
                <w:color w:val="auto"/>
              </w:rPr>
              <w:t>- Maturities represent expected principal receipts. Fair values represent assets.</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Fixed-rate notes receivable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 notes receivable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4"/>
                <w:szCs w:val="14"/>
                <w:color w:val="auto"/>
              </w:rPr>
              <w:t>- Maturities represent expected principal payments. Fair values represent liabilities.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Fixed-rate debt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Floating-rate debt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interest rate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9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95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80" w:type="dxa"/>
            <w:vAlign w:val="bottom"/>
            <w:gridSpan w:val="23"/>
          </w:tcPr>
          <w:p>
            <w:pPr>
              <w:ind w:left="420"/>
              <w:spacing w:after="0"/>
              <w:rPr>
                <w:sz w:val="20"/>
                <w:szCs w:val="20"/>
                <w:color w:val="auto"/>
              </w:rPr>
            </w:pPr>
            <w:r>
              <w:rPr>
                <w:rFonts w:ascii="Times New Roman" w:cs="Times New Roman" w:eastAsia="Times New Roman" w:hAnsi="Times New Roman"/>
                <w:sz w:val="18"/>
                <w:szCs w:val="18"/>
                <w:color w:val="auto"/>
              </w:rPr>
              <w:t>The following financial information is included on the pages indicated: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3640" w:type="dxa"/>
            <w:vAlign w:val="bottom"/>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4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Report of Independent Registered Public Accounting Firm</w:t>
            </w: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spacing w:after="0"/>
              <w:rPr>
                <w:sz w:val="24"/>
                <w:szCs w:val="24"/>
                <w:color w:val="auto"/>
              </w:rPr>
            </w:pPr>
          </w:p>
        </w:tc>
        <w:tc>
          <w:tcPr>
            <w:tcW w:w="4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Report of Independent Registered Public Accounting Firm</w:t>
            </w:r>
          </w:p>
        </w:tc>
        <w:tc>
          <w:tcPr>
            <w:tcW w:w="4340" w:type="dxa"/>
            <w:vAlign w:val="bottom"/>
            <w:gridSpan w:val="2"/>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2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1640" w:type="dxa"/>
            <w:vAlign w:val="bottom"/>
            <w:gridSpan w:val="8"/>
          </w:tcPr>
          <w:p>
            <w:pPr>
              <w:spacing w:after="0"/>
              <w:rPr>
                <w:sz w:val="24"/>
                <w:szCs w:val="24"/>
                <w:color w:val="auto"/>
              </w:rPr>
            </w:pPr>
          </w:p>
        </w:tc>
        <w:tc>
          <w:tcPr>
            <w:tcW w:w="4340" w:type="dxa"/>
            <w:vAlign w:val="bottom"/>
            <w:gridSpan w:val="2"/>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1620" w:type="dxa"/>
            <w:vAlign w:val="bottom"/>
            <w:gridSpan w:val="10"/>
          </w:tcPr>
          <w:p>
            <w:pPr>
              <w:spacing w:after="0"/>
              <w:rPr>
                <w:sz w:val="24"/>
                <w:szCs w:val="24"/>
                <w:color w:val="auto"/>
              </w:rPr>
            </w:pPr>
          </w:p>
        </w:tc>
        <w:tc>
          <w:tcPr>
            <w:tcW w:w="4820" w:type="dxa"/>
            <w:vAlign w:val="bottom"/>
            <w:gridSpan w:val="3"/>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Equity</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3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060" w:type="dxa"/>
            <w:vAlign w:val="bottom"/>
            <w:gridSpan w:val="4"/>
          </w:tcPr>
          <w:p>
            <w:pPr>
              <w:spacing w:after="0"/>
              <w:rPr>
                <w:sz w:val="24"/>
                <w:szCs w:val="24"/>
                <w:color w:val="auto"/>
              </w:rPr>
            </w:pPr>
          </w:p>
        </w:tc>
        <w:tc>
          <w:tcPr>
            <w:tcW w:w="4340" w:type="dxa"/>
            <w:vAlign w:val="bottom"/>
            <w:gridSpan w:val="2"/>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620" w:type="dxa"/>
            <w:vAlign w:val="bottom"/>
            <w:gridSpan w:val="10"/>
          </w:tcPr>
          <w:p>
            <w:pPr>
              <w:spacing w:after="0"/>
              <w:rPr>
                <w:sz w:val="20"/>
                <w:szCs w:val="20"/>
                <w:color w:val="auto"/>
              </w:rPr>
            </w:pPr>
          </w:p>
        </w:tc>
        <w:tc>
          <w:tcPr>
            <w:tcW w:w="5400" w:type="dxa"/>
            <w:vAlign w:val="bottom"/>
            <w:gridSpan w:val="6"/>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5000" w:type="dxa"/>
            <w:vAlign w:val="bottom"/>
            <w:gridSpan w:val="4"/>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7"/>
              </w:rPr>
              <w:t>Acquisition</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0000FF"/>
            </w:tcBorders>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Earnings Per Share</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0000FF"/>
            </w:tcBorders>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Stock-Based Compensation</w:t>
            </w: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Borders>
              <w:bottom w:val="single" w:sz="8" w:color="0000FF"/>
            </w:tcBorders>
            <w:gridSpan w:val="9"/>
            <w:vMerge w:val="continue"/>
          </w:tcPr>
          <w:p>
            <w:pPr>
              <w:spacing w:after="0"/>
              <w:rPr>
                <w:sz w:val="17"/>
                <w:szCs w:val="17"/>
                <w:color w:val="auto"/>
              </w:rPr>
            </w:pP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Income Taxes</w:t>
            </w: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0000FF"/>
            </w:tcBorders>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Borders>
              <w:bottom w:val="single" w:sz="8" w:color="0000FF"/>
            </w:tcBorders>
            <w:gridSpan w:val="12"/>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3"/>
              </w:rPr>
              <w:t>Leases</w:t>
            </w:r>
          </w:p>
        </w:tc>
        <w:tc>
          <w:tcPr>
            <w:tcW w:w="7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0000FF"/>
            </w:tcBorders>
            <w:vMerge w:val="continue"/>
          </w:tcPr>
          <w:p>
            <w:pPr>
              <w:spacing w:after="0"/>
              <w:rPr>
                <w:sz w:val="17"/>
                <w:szCs w:val="17"/>
                <w:color w:val="auto"/>
              </w:rPr>
            </w:pPr>
          </w:p>
        </w:tc>
        <w:tc>
          <w:tcPr>
            <w:tcW w:w="72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0000FF"/>
            </w:tcBorders>
            <w:gridSpan w:val="4"/>
            <w:vMerge w:val="continue"/>
          </w:tcPr>
          <w:p>
            <w:pPr>
              <w:spacing w:after="0"/>
              <w:rPr>
                <w:sz w:val="17"/>
                <w:szCs w:val="17"/>
                <w:color w:val="auto"/>
              </w:rPr>
            </w:pPr>
          </w:p>
        </w:tc>
        <w:tc>
          <w:tcPr>
            <w:tcW w:w="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8"/>
              </w:rPr>
              <w:t>Intangible Assets and Goodwill</w:t>
            </w: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Borders>
              <w:bottom w:val="single" w:sz="8" w:color="0000FF"/>
            </w:tcBorders>
            <w:gridSpan w:val="11"/>
            <w:vMerge w:val="continue"/>
          </w:tcPr>
          <w:p>
            <w:pPr>
              <w:spacing w:after="0"/>
              <w:rPr>
                <w:sz w:val="17"/>
                <w:szCs w:val="17"/>
                <w:color w:val="auto"/>
              </w:rPr>
            </w:pPr>
          </w:p>
        </w:tc>
        <w:tc>
          <w:tcPr>
            <w:tcW w:w="28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Property and Equipment</w:t>
            </w: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FF"/>
            </w:tcBorders>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5"/>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8"/>
              </w:rPr>
              <w:t>Fair Value of Financial Instruments</w:t>
            </w:r>
          </w:p>
        </w:tc>
        <w:tc>
          <w:tcPr>
            <w:tcW w:w="42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0000FF"/>
            </w:tcBorders>
            <w:gridSpan w:val="13"/>
            <w:vMerge w:val="continue"/>
          </w:tcPr>
          <w:p>
            <w:pPr>
              <w:spacing w:after="0"/>
              <w:rPr>
                <w:sz w:val="17"/>
                <w:szCs w:val="17"/>
                <w:color w:val="auto"/>
              </w:rPr>
            </w:pPr>
          </w:p>
        </w:tc>
        <w:tc>
          <w:tcPr>
            <w:tcW w:w="420" w:type="dxa"/>
            <w:vAlign w:val="bottom"/>
            <w:gridSpan w:val="2"/>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8"/>
              </w:rPr>
              <w:t>Accumulated Other Comprehensive Loss</w:t>
            </w:r>
          </w:p>
        </w:tc>
        <w:tc>
          <w:tcPr>
            <w:tcW w:w="5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Borders>
              <w:bottom w:val="single" w:sz="8" w:color="0000FF"/>
            </w:tcBorders>
            <w:gridSpan w:val="15"/>
            <w:vMerge w:val="continue"/>
          </w:tcPr>
          <w:p>
            <w:pPr>
              <w:spacing w:after="0"/>
              <w:rPr>
                <w:sz w:val="17"/>
                <w:szCs w:val="17"/>
                <w:color w:val="auto"/>
              </w:rPr>
            </w:pPr>
          </w:p>
        </w:tc>
        <w:tc>
          <w:tcPr>
            <w:tcW w:w="5260" w:type="dxa"/>
            <w:vAlign w:val="bottom"/>
            <w:gridSpan w:val="5"/>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Business Segments</w:t>
            </w:r>
          </w:p>
        </w:tc>
        <w:tc>
          <w:tcPr>
            <w:tcW w:w="520" w:type="dxa"/>
            <w:vAlign w:val="bottom"/>
            <w:gridSpan w:val="2"/>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bottom w:val="single" w:sz="8" w:color="0000FF"/>
            </w:tcBorders>
            <w:gridSpan w:val="6"/>
            <w:vMerge w:val="continue"/>
          </w:tcPr>
          <w:p>
            <w:pPr>
              <w:spacing w:after="0"/>
              <w:rPr>
                <w:sz w:val="17"/>
                <w:szCs w:val="17"/>
                <w:color w:val="auto"/>
              </w:rPr>
            </w:pPr>
          </w:p>
        </w:tc>
        <w:tc>
          <w:tcPr>
            <w:tcW w:w="520" w:type="dxa"/>
            <w:vAlign w:val="bottom"/>
            <w:gridSpan w:val="2"/>
          </w:tcPr>
          <w:p>
            <w:pPr>
              <w:spacing w:after="0"/>
              <w:rPr>
                <w:sz w:val="17"/>
                <w:szCs w:val="17"/>
                <w:color w:val="auto"/>
              </w:rPr>
            </w:pPr>
          </w:p>
        </w:tc>
        <w:tc>
          <w:tcPr>
            <w:tcW w:w="6300" w:type="dxa"/>
            <w:vAlign w:val="bottom"/>
            <w:gridSpan w:val="12"/>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7"/>
              </w:rPr>
              <w:t>Related Party Transactions</w:t>
            </w:r>
          </w:p>
        </w:tc>
        <w:tc>
          <w:tcPr>
            <w:tcW w:w="630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bottom w:val="single" w:sz="8" w:color="0000FF"/>
            </w:tcBorders>
            <w:gridSpan w:val="8"/>
            <w:vMerge w:val="continue"/>
          </w:tcPr>
          <w:p>
            <w:pPr>
              <w:spacing w:after="0"/>
              <w:rPr>
                <w:sz w:val="17"/>
                <w:szCs w:val="17"/>
                <w:color w:val="auto"/>
              </w:rPr>
            </w:pPr>
          </w:p>
        </w:tc>
        <w:tc>
          <w:tcPr>
            <w:tcW w:w="6300" w:type="dxa"/>
            <w:vAlign w:val="bottom"/>
            <w:gridSpan w:val="12"/>
          </w:tcPr>
          <w:p>
            <w:pPr>
              <w:spacing w:after="0"/>
              <w:rPr>
                <w:sz w:val="17"/>
                <w:szCs w:val="17"/>
                <w:color w:val="auto"/>
              </w:rPr>
            </w:pPr>
          </w:p>
        </w:tc>
        <w:tc>
          <w:tcPr>
            <w:tcW w:w="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08" w:right="1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3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20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21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Company’s annual consolidated financial statements, management assessed the effectiveness of the Company’s internal control over financial reporting as of December 31, 2023, based on criteria established in the Internal Control-Integrated Framework issued by the Committee of Sponsoring Organizations of the Treadway Commission (2013 Framework) (the “COSO criteria”).</w:t>
      </w:r>
    </w:p>
    <w:p>
      <w:pPr>
        <w:spacing w:after="0" w:line="20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has concluded that, applying the COSO criteria, as of December 31, 2023,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20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Ernst &amp; Young LLP (PCAOB ID: 42),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Marriott International,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Marriott International, Inc.’s internal control over financial reporting as of December 31, 2023, based on criteria established in Internal Control-Integrated Framework issued by the Committee of Sponsoring Organizations of the Treadway Commission (2013 Framework) (the COSO criteria). In our opinion, Marriott International, Inc. (the Company) maintained, in all material respects, effective internal control over financial reporting as of December 31, 2023, based on the COSO criteria.</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and the related consolidated statements of income, comprehensive income, stockholders’ (deficit) equity and cash flows for each of the three years in the period ended December 31, 2023, and the related notes, and our report dated February 13, 2024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Marriott International, Inc.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Marriott International, Inc. (the Company) as of December 31, 2023, and 2022, the related consolidated statements of income, comprehensive income, stockholders’ (deficit)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13, 2024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Loyalty Program</w:t>
      </w:r>
    </w:p>
    <w:p>
      <w:pPr>
        <w:spacing w:after="0" w:line="4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During 2023 the Company recognized $2,798 million of revenues previously deferred as of December 31, 2022, and had deferred revenue of $7,006 million as of December 31, 2023 associated with the Marriott Bonvoy guest loyalty program (the “Loyalty Program”). As discussed in Note 2 to the financial statements, the Company recognizes revenue for performance obligations relating to Loyalty Program points and free night certificates as they are redeemed and the related performance obligations are satisfied. The Company recognizes a portion of revenue for the Licensed IP performance obligation under the sales-based royalty criteria, with the remaining portion recognized on a straight-line basis over the contract term. Revenue is recognized utilizing complex models based upon the estimated standalone selling price per point and per free night certificate, which includes judgment in making the estimates of variable consideration and breakage of points.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Auditing Loyalty Program results is complex due to: (1) the complexity of models and high volume of data used to monitor and account for Loyalty Program results and (2) the complexity and judgment of estimating the standalone selling price per Loyalty Program point, including both the estimate of variable consideration under the Company’s co-branded credit card agreements which has significant estimation uncertainty associated with projecting future cardholder spending and redemption activity, and the estimated breakage of Loyalty Program points which requires the use of specialists.</w:t>
      </w:r>
    </w:p>
    <w:p>
      <w:pPr>
        <w:spacing w:after="0" w:line="1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of accounting for the Loyalty Program. For example, we tested controls over the accounting methods and model used in reporting results of the Loyalty Program, management’s review of the assumptions and data inputs utilized in estimating the standalone selling price per Loyalty Program point, as well as the development of the estimated breakage.</w:t>
      </w:r>
    </w:p>
    <w:p>
      <w:pPr>
        <w:spacing w:after="0" w:line="11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test the recognition of revenues and costs associated with the Loyalty Program, we performed audit procedures that included, among others, testing the clerical accuracy and consistency with US GAAP of the accounting model developed by the Company to recognize revenue and costs associated with the Loyalty Program, and testing significant inputs into the accounting model, including the estimated standalone selling price and recognition of points earned and redeemed during the period. We involved our actuarial professionals to assist in our testing procedures with respect to the estimate of the breakage of Loyalty Program points. We evaluated management’s methodology for estimating the breakage of Loyalty Program points, and we tested underlying data and actuarial assumptions used in estimating the breakage. We evaluated the reasonableness of management’s assumptions, including projections of cash flows, used to estimate variable consideration under the Company’s co-branded credit cards.</w:t>
      </w:r>
    </w:p>
    <w:p>
      <w:pPr>
        <w:spacing w:after="0" w:line="200" w:lineRule="exact"/>
        <w:rPr>
          <w:sz w:val="20"/>
          <w:szCs w:val="20"/>
          <w:color w:val="auto"/>
        </w:rPr>
      </w:pPr>
    </w:p>
    <w:p>
      <w:pPr>
        <w:sectPr>
          <w:pgSz w:w="11900" w:h="16838" w:orient="portrait"/>
          <w:cols w:equalWidth="0" w:num="2">
            <w:col w:w="2220" w:space="300"/>
            <w:col w:w="8100"/>
          </w:cols>
          <w:pgMar w:left="320" w:top="121" w:right="9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General and Administrative Expenses and Reimbursed Expenses</w:t>
      </w:r>
    </w:p>
    <w:p>
      <w:pPr>
        <w:spacing w:after="0" w:line="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2023 the Company recognized $1,011 million of general and administrative expenses and $17,424 million of reimbursed expenses. As discussed in Note 2 to the financial statements, the Company incurs certain expenses that are for the benefit of, and reimbursable from, hotel owners and franchisees. Such amounts are recorded in the period in which the expense is incurred and include judgment with respect to the allocation of certain costs between general and administrative expenses, which are non-reimbursable, and reimbursed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Auditing the classification of general and administrative expenses and reimbursed expenses is complex due to:</w:t>
      </w:r>
    </w:p>
    <w:p>
      <w:pPr>
        <w:spacing w:after="0" w:line="27" w:lineRule="exact"/>
        <w:rPr>
          <w:sz w:val="20"/>
          <w:szCs w:val="20"/>
          <w:color w:val="auto"/>
        </w:rPr>
      </w:pPr>
    </w:p>
    <w:p>
      <w:pPr>
        <w:ind w:right="220" w:firstLine="3"/>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associated with testing management’s conclusions regarding the allocation of costs between reimbursable and non-reimbursable expenses and (2) incentives within management’s compensation structure designed to achieve certain financial targets that exclude the impact of reimbursed expenses.</w:t>
      </w:r>
    </w:p>
    <w:p>
      <w:pPr>
        <w:spacing w:after="0" w:line="1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of accounting for reimbursed expenses, general and administrative expenses, and the process for allocating expenses. For example, we tested management’s controls over the review of the allocation of certain costs to determine if they were reasonably classified.</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test the recognition of reimbursed expenses for appropriate classification, we performed audit procedures that included, among others, (1) testing manual journal entries made to reimbursed expenses and general and administrative expenses and (2) performing analytical procedures over total reimbursed expenses and general and administrative expenses in order to identify any trends or indicators of material errors in the classification of expenses.</w:t>
      </w:r>
    </w:p>
    <w:p>
      <w:pPr>
        <w:spacing w:after="0" w:line="684" w:lineRule="exact"/>
        <w:rPr>
          <w:sz w:val="20"/>
          <w:szCs w:val="20"/>
          <w:color w:val="auto"/>
        </w:rPr>
      </w:pPr>
    </w:p>
    <w:p>
      <w:pPr>
        <w:sectPr>
          <w:pgSz w:w="11900" w:h="16838" w:orient="portrait"/>
          <w:cols w:equalWidth="0" w:num="2">
            <w:col w:w="2220" w:space="300"/>
            <w:col w:w="8120"/>
          </w:cols>
          <w:pgMar w:left="320" w:top="121" w:right="9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344" w:lineRule="exact"/>
        <w:rPr>
          <w:sz w:val="20"/>
          <w:szCs w:val="20"/>
          <w:color w:val="auto"/>
        </w:rPr>
      </w:pPr>
    </w:p>
    <w:p>
      <w:pPr>
        <w:jc w:val="right"/>
        <w:ind w:right="49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Fiscal Years 2023, 2022, and 2021</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6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9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Base management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 fees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5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fee revenues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5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Contract investment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fee revenues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30"/>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Owned, leased, and other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9"/>
        </w:trPr>
        <w:tc>
          <w:tcPr>
            <w:tcW w:w="5940" w:type="dxa"/>
            <w:vAlign w:val="bottom"/>
            <w:shd w:val="clear" w:color="auto" w:fill="CCEEFF"/>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Cost reimbursement revenue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r>
      <w:tr>
        <w:trPr>
          <w:trHeight w:val="223"/>
        </w:trPr>
        <w:tc>
          <w:tcPr>
            <w:tcW w:w="5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Owned, leased, and other - direct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Merger-related charges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940" w:type="dxa"/>
            <w:vAlign w:val="bottom"/>
            <w:tcBorders>
              <w:bottom w:val="single" w:sz="8" w:color="CCEEFF"/>
            </w:tcBorders>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Reimbursed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w:t>
            </w:r>
          </w:p>
        </w:tc>
      </w:tr>
      <w:tr>
        <w:trPr>
          <w:trHeight w:val="223"/>
        </w:trPr>
        <w:tc>
          <w:tcPr>
            <w:tcW w:w="5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9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Equity in earnings (losses)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bl>
    <w:p>
      <w:pPr>
        <w:spacing w:after="0" w:line="63" w:lineRule="exact"/>
        <w:rPr>
          <w:sz w:val="20"/>
          <w:szCs w:val="20"/>
          <w:color w:val="auto"/>
        </w:rPr>
      </w:pPr>
    </w:p>
    <w:p>
      <w:pPr>
        <w:ind w:left="480" w:hanging="310"/>
        <w:spacing w:after="0"/>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Note 15 for disclosure of related party amounts.</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Fiscal Years 2023, 2022, and 2021</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(in millions)</w:t>
      </w:r>
    </w:p>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9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adjustments, net of tax</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5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0"/>
        </w:trPr>
        <w:tc>
          <w:tcPr>
            <w:tcW w:w="5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Fiscal Years-Ended 2023 and 2022</w:t>
      </w:r>
    </w:p>
    <w:p>
      <w:pPr>
        <w:spacing w:after="0" w:line="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(in millions)</w:t>
      </w:r>
    </w:p>
    <w:p>
      <w:pPr>
        <w:spacing w:after="0" w:line="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acquisition costs and other</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r>
      <w:tr>
        <w:trPr>
          <w:trHeight w:val="223"/>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70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3"/>
        </w:trPr>
        <w:tc>
          <w:tcPr>
            <w:tcW w:w="70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70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Fiscal Years 2023, 2022, and 2021</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(in millions)</w:t>
      </w:r>
    </w:p>
    <w:p>
      <w:pPr>
        <w:spacing w:after="0" w:line="25"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to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Merger-related charges and 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Working capital changes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7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and technology expenditures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acquisition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advances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collections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paper/Credit Facility,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30"/>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withholding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70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8"/>
        </w:trPr>
        <w:tc>
          <w:tcPr>
            <w:tcW w:w="70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right="40" w:hanging="328"/>
        <w:spacing w:after="0" w:line="189" w:lineRule="auto"/>
        <w:tabs>
          <w:tab w:leader="none" w:pos="648"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The 2023 amounts include beginning restricted cash of $18 million at December 31, 2022 and ending restricted cash of $28 million at December 31, 2023, which we present in the “Prepaid expenses and other” and “Other noncurrent assets” captions of our Balance Sheets.</w:t>
      </w:r>
    </w:p>
    <w:p>
      <w:pPr>
        <w:spacing w:after="0" w:line="1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(DEFICIT) EQUITY</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Fiscal Years 2023, 2022, and 2021</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6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($1.00 per share)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6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($1.96 per share)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6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85"/>
              </w:rPr>
              <w:t>(1)</w:t>
            </w:r>
          </w:p>
        </w:tc>
        <w:tc>
          <w:tcPr>
            <w:tcW w:w="3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330"/>
        <w:spacing w:after="0" w:line="205" w:lineRule="auto"/>
        <w:tabs>
          <w:tab w:leader="none" w:pos="48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restated certificate of incorporation authorizes 800,000,000 shares of our common stock, with a par value of $0.01 per share and 10,000,000 shares of preferred stock, without par value. At year-end 2023, we had 290,539,975 of these authorized shares of our common stock and no preferred stock outstanding.</w:t>
      </w: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100" w:firstLine="389"/>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present the results of operations, financial position, and cash flows of Marriott International, Inc. and subsidiaries (referred to in this report as “we,” “us,” “Marriott,” or the “Company”). In order to make this report easier to read, we also refer throughout to</w:t>
      </w:r>
    </w:p>
    <w:p>
      <w:pPr>
        <w:spacing w:after="0" w:line="1" w:lineRule="exact"/>
        <w:rPr>
          <w:sz w:val="20"/>
          <w:szCs w:val="20"/>
          <w:color w:val="auto"/>
        </w:rPr>
      </w:pPr>
    </w:p>
    <w:p>
      <w:pPr>
        <w:ind w:right="140" w:firstLine="8"/>
        <w:spacing w:after="0" w:line="25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as our “Financial Statements,” (2) our Consolidated Statements of Income as our “Income Statements,” (3) our Consolidated Balance Sheets as our “Balance Sheets,” (4) our Consolidated Statements of Cash Flows as our “Statements of Cash Flows,” (5) our properties, brands, or markets in the United States and Canada as “U.S. &amp; Canada,” and (6) our properties, brands, or markets in our Caribbean and Latin America, Europe, Middle East and Africa, Greater China, and Asia Pacific excluding China regions, as “International.” In addition, references throughout to numbered “Notes” refer to these Notes to Consolidated Financial Statements, unless otherwise stated.</w:t>
      </w:r>
    </w:p>
    <w:p>
      <w:pPr>
        <w:spacing w:after="0" w:line="133"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spacing w:after="0" w:line="126"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reflect all normal and recurring adjustments necessary to present fairly our financial position at fiscal year-end 2023 and fiscal year-end 2022 and the results of our operations and cash flows for fiscal years 2023, 2022, and 2021. We have eliminated all material intercompany transactions and balances between entities consolidated in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u w:val="single" w:color="auto"/>
          <w:color w:val="auto"/>
        </w:rPr>
        <w:t>Base Management and Incentive Management Fees</w:t>
      </w:r>
      <w:r>
        <w:rPr>
          <w:rFonts w:ascii="Times New Roman" w:cs="Times New Roman" w:eastAsia="Times New Roman" w:hAnsi="Times New Roman"/>
          <w:sz w:val="18"/>
          <w:szCs w:val="18"/>
          <w:color w:val="auto"/>
        </w:rPr>
        <w:t>: For our managed properties, we have performance obligations to provide hotel management services and a license to our intellectual property for the use of our brand names. As compensation for such services, we are generally entitled to receive base fees, which are a percentage of the revenues of properties, and incentive management fees, which are generally based on a measure of hotel profitability. Both the base and incentive management fees are variable consideration, as the transaction price is based on a percentage of revenue or profit, as defined in each contract. We recognize base management fees on a monthly basis over the term of the agreement as those amounts become payable. We recognize incentive management fees on a monthly basis over the term of the agreement based on each property’s financial results, as long as we do not expect a significant reversal due to projected future hotel performance or cash flows in future periods.</w:t>
      </w:r>
    </w:p>
    <w:p>
      <w:pPr>
        <w:spacing w:after="0" w:line="127" w:lineRule="exact"/>
        <w:rPr>
          <w:sz w:val="20"/>
          <w:szCs w:val="20"/>
          <w:color w:val="auto"/>
        </w:rPr>
      </w:pPr>
    </w:p>
    <w:p>
      <w:pPr>
        <w:ind w:right="120" w:firstLine="405"/>
        <w:spacing w:after="0" w:line="247" w:lineRule="auto"/>
        <w:rPr>
          <w:sz w:val="20"/>
          <w:szCs w:val="20"/>
          <w:color w:val="auto"/>
        </w:rPr>
      </w:pPr>
      <w:r>
        <w:rPr>
          <w:rFonts w:ascii="Times New Roman" w:cs="Times New Roman" w:eastAsia="Times New Roman" w:hAnsi="Times New Roman"/>
          <w:sz w:val="18"/>
          <w:szCs w:val="18"/>
          <w:u w:val="single" w:color="auto"/>
          <w:color w:val="auto"/>
        </w:rPr>
        <w:t>Franchise Fee and Royalty Fee Revenue</w:t>
      </w:r>
      <w:r>
        <w:rPr>
          <w:rFonts w:ascii="Times New Roman" w:cs="Times New Roman" w:eastAsia="Times New Roman" w:hAnsi="Times New Roman"/>
          <w:sz w:val="18"/>
          <w:szCs w:val="18"/>
          <w:color w:val="auto"/>
        </w:rPr>
        <w:t>: For our franchised properties, we have a performance obligation to provide franchisees and operators a license to our intellectual property for use of certain of our brand names. As compensation for such services, we are typically entitled to initial application fees and ongoing royalty fees. Our ongoing royalty fees represent variable consideration, as the transaction price is based on a percentage of certain revenues of the properties, as defined in each contract. We recognize royalty fees on a monthly basis over the term of the agreement as those amounts become payable. Initial application and relicensing fees are fixed consideration payable upon submission of a franchise application or renewal and are recognized on a straight-line basis over the initial or renewal term of the franchise agreements.</w:t>
      </w:r>
    </w:p>
    <w:p>
      <w:pPr>
        <w:spacing w:after="0" w:line="126"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u w:val="single" w:color="auto"/>
          <w:color w:val="auto"/>
        </w:rPr>
        <w:t>Owned and Leased Hotel Revenue</w:t>
      </w:r>
      <w:r>
        <w:rPr>
          <w:rFonts w:ascii="Times New Roman" w:cs="Times New Roman" w:eastAsia="Times New Roman" w:hAnsi="Times New Roman"/>
          <w:sz w:val="18"/>
          <w:szCs w:val="18"/>
          <w:color w:val="auto"/>
        </w:rPr>
        <w:t>: At our owned and leased hotels, we have performance obligations to provide accommodations and other ancillary services to hotel guests. As compensation for such goods and services, we are typically entitled to a fixed nightly fee for an agreed upon period and additional fixed fees for any ancillary services purchased. These fees are generally payable at the time the hotel guest checks out of the hotel. We generally satisfy the performance obligations over time, and we recognize the revenue from room sales and from other ancillary guest services on a daily basis, as the rooms are occupied and we have rendered the services.</w:t>
      </w:r>
    </w:p>
    <w:p>
      <w:pPr>
        <w:spacing w:after="0" w:line="127"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u w:val="single" w:color="auto"/>
          <w:color w:val="auto"/>
        </w:rPr>
        <w:t>Cost Reimbursements</w:t>
      </w:r>
      <w:r>
        <w:rPr>
          <w:rFonts w:ascii="Times New Roman" w:cs="Times New Roman" w:eastAsia="Times New Roman" w:hAnsi="Times New Roman"/>
          <w:sz w:val="18"/>
          <w:szCs w:val="18"/>
          <w:color w:val="auto"/>
        </w:rPr>
        <w:t>: Under our management and franchise agreements, we are entitled to be reimbursed for certain costs we incur on behalf of the managed, franchised, and licensed properties, with no added mark-up. These costs primarily consist of payroll and related expenses at managed properties where we are the employer of the employees at the properties and include certain operational and administrative costs as provided for in our contracts with the owners. We are entitled to reimbursement in the period we incur the related reimbursable costs, which we recognize within the “Cost reimbursement revenue” caption of our Income Statements.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05"/>
        <w:spacing w:after="0" w:line="243" w:lineRule="auto"/>
        <w:rPr>
          <w:sz w:val="20"/>
          <w:szCs w:val="20"/>
          <w:color w:val="auto"/>
        </w:rPr>
      </w:pPr>
      <w:r>
        <w:rPr>
          <w:rFonts w:ascii="Times New Roman" w:cs="Times New Roman" w:eastAsia="Times New Roman" w:hAnsi="Times New Roman"/>
          <w:sz w:val="18"/>
          <w:szCs w:val="18"/>
          <w:color w:val="auto"/>
        </w:rPr>
        <w:t>Under our management and franchise agreements, hotel owners and franchisees participate in certain centralized programs and services, such as marketing, sales, reservations, and insurance programs. We operate these programs and services for the benefit of our hotel owners. We do not operate these programs and services to generate a profit over the long term, and accordingly, when we recover the costs that we incur for these programs and services from our hotel owners, we do not seek a mark-up. The amounts we charge for these programs and services are generally a combination of fixed fees and variable fees based on sales or other metrics and are payable on a monthly basis. We generally recognize revenue within the “Cost reimbursement revenue” caption of our Income Statements when the amounts may be billed to hotel owners, and we recognize expenses within the “Reimbursed expenses” caption as they are incurred. This pattern of recognition results in timing differences between the costs incurred for centralized programs and services and the related reimbursement from hotel owners in our operating and net income. Over the long term, these programs and services are not designed to impact our economics, either positively or negatively. In addition, we present in the “Reimbursed expenses” caption of our Income Statements spending funded by the proceeds ($664 million, $425 million after-tax) from the 2017 sale of our interest in Avendra LLC, which we committed would be used for the benefit of hotels in our system. Such spending totaled $161 million ($120 million after-tax) in 2023, $69 million ($52 million after-tax) in 2022, and $56 million ($42 million after-tax) in 2021.</w:t>
      </w:r>
    </w:p>
    <w:p>
      <w:pPr>
        <w:spacing w:after="0" w:line="1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Other Revenue</w:t>
      </w:r>
      <w:r>
        <w:rPr>
          <w:rFonts w:ascii="Times New Roman" w:cs="Times New Roman" w:eastAsia="Times New Roman" w:hAnsi="Times New Roman"/>
          <w:sz w:val="18"/>
          <w:szCs w:val="18"/>
          <w:color w:val="auto"/>
        </w:rPr>
        <w:t>: Includes Global Design fees, which we describe below, termination fees, and other property and brand revenues. We generally</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recognize termination fees when collection is probable and other revenue as services are rendered. Amounts received in advance are deferred as liabilities.</w:t>
      </w:r>
    </w:p>
    <w:p>
      <w:pPr>
        <w:spacing w:after="0" w:line="16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provide certain hotel design and construction review (“Global Design”) services to our managed and franchised hotel owners, generally during the period prior to a hotel’s opening or during the period a hotel is converting to a Marriott brand (the “pre-opening period”). As compensation for such services, we may be entitled to receive a fixed fee that is payable during the pre-opening period of the hotel. As these services are not a distinct performance obligation, we recognize the fees on a straight-line basis over the initial term of the management or franchise agreement within the “Owned, leased, and other revenue” caption of our Income Statements.</w:t>
      </w:r>
    </w:p>
    <w:p>
      <w:pPr>
        <w:spacing w:after="0" w:line="12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u w:val="single" w:color="auto"/>
          <w:color w:val="auto"/>
        </w:rPr>
        <w:t>Practical Expedients and Exemptions</w:t>
      </w:r>
      <w:r>
        <w:rPr>
          <w:rFonts w:ascii="Times New Roman" w:cs="Times New Roman" w:eastAsia="Times New Roman" w:hAnsi="Times New Roman"/>
          <w:sz w:val="18"/>
          <w:szCs w:val="18"/>
          <w:color w:val="auto"/>
        </w:rPr>
        <w:t>: We do not disclose the amount of variable consideration that we expect to recognize in future periods in the following circumstances:</w:t>
      </w:r>
    </w:p>
    <w:p>
      <w:pPr>
        <w:spacing w:after="0" w:line="108" w:lineRule="exact"/>
        <w:rPr>
          <w:sz w:val="20"/>
          <w:szCs w:val="20"/>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recognize the revenue based on the amount invoiced or services performed;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sales-based or usage-based royalty promised in exchange for a license of intellectual property; or</w:t>
      </w:r>
    </w:p>
    <w:p>
      <w:pPr>
        <w:spacing w:after="0" w:line="171" w:lineRule="exact"/>
        <w:rPr>
          <w:rFonts w:ascii="Times New Roman" w:cs="Times New Roman" w:eastAsia="Times New Roman" w:hAnsi="Times New Roman"/>
          <w:sz w:val="18"/>
          <w:szCs w:val="18"/>
          <w:color w:val="auto"/>
        </w:rPr>
      </w:pPr>
    </w:p>
    <w:p>
      <w:pPr>
        <w:ind w:left="660" w:right="280" w:hanging="247"/>
        <w:spacing w:after="0" w:line="312" w:lineRule="auto"/>
        <w:tabs>
          <w:tab w:leader="none" w:pos="67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consideration is allocated entirely to a wholly unsatisfied promise to transfer a distinct service that forms part of a single performance obligation, and the terms of the consideration relate specifically to our efforts to transfer, or to a specific outcome from transferring the service.</w:t>
      </w:r>
    </w:p>
    <w:p>
      <w:pPr>
        <w:spacing w:after="0" w:line="8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are required to collect certain taxes and fees from customers on behalf of governmental agencies and remit these to the applicable governmental agencies on a periodic basis. We do not include these taxes in determining the transaction price.</w:t>
      </w:r>
    </w:p>
    <w:p>
      <w:pPr>
        <w:spacing w:after="0" w:line="94" w:lineRule="exact"/>
        <w:rPr>
          <w:sz w:val="20"/>
          <w:szCs w:val="20"/>
          <w:color w:val="auto"/>
        </w:rPr>
      </w:pPr>
    </w:p>
    <w:p>
      <w:pPr>
        <w:ind w:right="80" w:firstLine="405"/>
        <w:spacing w:after="0" w:line="270" w:lineRule="auto"/>
        <w:rPr>
          <w:sz w:val="20"/>
          <w:szCs w:val="20"/>
          <w:color w:val="auto"/>
        </w:rPr>
      </w:pPr>
      <w:r>
        <w:rPr>
          <w:rFonts w:ascii="Times New Roman" w:cs="Times New Roman" w:eastAsia="Times New Roman" w:hAnsi="Times New Roman"/>
          <w:sz w:val="17"/>
          <w:szCs w:val="17"/>
          <w:u w:val="single" w:color="auto"/>
          <w:color w:val="auto"/>
        </w:rPr>
        <w:t>Loyalty Program</w:t>
      </w:r>
      <w:r>
        <w:rPr>
          <w:rFonts w:ascii="Times New Roman" w:cs="Times New Roman" w:eastAsia="Times New Roman" w:hAnsi="Times New Roman"/>
          <w:sz w:val="17"/>
          <w:szCs w:val="17"/>
          <w:color w:val="auto"/>
        </w:rPr>
        <w:t>: Loyalty Program members earn points based on the money they spend at our properties; the exchange of timeshare ownership interests; purchases of timeshare interval, fractional ownership, and residential products; and through participation in travel experiences and affiliated partners’ programs, such as those offered by credit card, car rental, airline, and other companies. Members can redeem points for stays at most of our properties, airline tickets, airline frequent flyer program miles, rental cars, merchandise, and a variety of other awards. Points cannot be redeemed for cash.</w:t>
      </w:r>
    </w:p>
    <w:p>
      <w:pPr>
        <w:spacing w:after="0" w:line="106"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Under our Loyalty Program, we have a performance obligation to provide or arrange for the provision of goods or services for free or at a discount to Loyalty Program members in exchange for the redemption of points earned from past activities. We operate our Loyalty Program as a cross-brand marketing program to participating properties. Our management and franchise agreements require that properties reimburse us for a portion of the costs of operating the Loyalty Program, with no added mark-up, including costs related to the following activities, which we expense as incurred in our “Reimbursed expenses” caption of our Income Statements: marketing, promotion, and communications and services provided to Loyalty Program members. We generally receive monthly cash contributions from managed, franchised, owned, and leased properties based on a portion of qualified spend by Loyalty Program members (when the points are earned). We recognize these contributions into revenue as we provide the related service (when the points are redeemed). The amount of revenue we recognize upon point redemption is based on a blend of historical funding rates and is impacted by our estimate of the “breakage” for points that members will never redeem. We estimate breakage based on our historical experience and expectations of future member behavior. We recognize revenue net of the redemption cost within our “Cost reimbursement revenue” caption on our Income Statements, as our performance obligation is to facilitate the transaction between the Loyalty Program member and the managed or franchised property or program partner. Our redemption cost, which is generally based on redemption rates that can increase in periods in which occupancy at the property exceeds a certain threshold, could be higher or lower than our revenue recognized in any given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have multi-year agreements for our co-branded credit cards associated with our Loyalty Program. Under these agreements, we have performance obligations to provide a license to the intellectual property associated with our brands and marketing lists (“Licensed IP”) to the financial institutions that issue the credit cards, to arrange for the redemption of Loyalty Program points as discussed in the preceding paragraph, and to arrange for the redemption of free night certificates and gift cards provided to cardholders. We receive fees from these agreements, including fixed amounts that are primarily payable at contract inception, and variable amounts that are paid to us monthly over the term of the agreements, generally based on: (1) the number of free night certificates issued or redeemed; (2) the number of Loyalty Program points purchased; (3) the volume of cardholder spend; and (4) the number of gift cards issued. We allocate those fees among the performance obligations, including the Licensed IP, our Loyalty Program points, free night certificates, and gift cards provided to cardholders based on their estimated standalone selling prices. The estimation of the standalone selling prices requires significant judgments based upon generally accepted valuation methodologies regarding the value of our Licensed IP, the amount of funding we will receive, and the number of Loyalty Program points, free night certificates, and gift cards cardholders will ultimately redeem. We base our estimates of these amounts on our historical experience and expectation of future cardholder behavior. We recognize the portion of the Licensed IP revenue that meets the sales-based royalty criteria as the credit cards are used and the remaining portion of the Licensed IP revenue on a straight-line basis over the contract term. In our Income Statements, we primarily recognize Licensed IP revenue in the “Franchise fees” caption, and we recognize a portion in the “Cost reimbursement revenue” caption. We recognize the revenue related to the Loyalty Program points as discussed in the preceding paragraph. We recognize the revenue related to the free night certificates and gift cards when the related service is provided. We recognize revenue net of the redemption cost, as our performance obligation is to facilitate the transaction between the Loyalty Program member and the managed or franchised property.</w:t>
      </w:r>
    </w:p>
    <w:p>
      <w:pPr>
        <w:spacing w:after="0" w:line="141"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u w:val="single" w:color="auto"/>
          <w:color w:val="auto"/>
        </w:rPr>
        <w:t>Contract Balances</w:t>
      </w:r>
      <w:r>
        <w:rPr>
          <w:rFonts w:ascii="Times New Roman" w:cs="Times New Roman" w:eastAsia="Times New Roman" w:hAnsi="Times New Roman"/>
          <w:sz w:val="18"/>
          <w:szCs w:val="18"/>
          <w:color w:val="auto"/>
        </w:rPr>
        <w:t>: We generally receive payments from customers as we satisfy our performance obligations. We record a receivable when we have an unconditional right to receive payment and only the passage of time is required before payment is due. We record deferred revenue when we receive payment, or have the unconditional right to receive payment, in advance of the satisfaction of our performance obligations related to franchise application and relicensing fees, Global Design fees, credit card branding license fees, and our Loyalty Program.</w:t>
      </w:r>
    </w:p>
    <w:p>
      <w:pPr>
        <w:spacing w:after="0" w:line="123" w:lineRule="exact"/>
        <w:rPr>
          <w:sz w:val="20"/>
          <w:szCs w:val="20"/>
          <w:color w:val="auto"/>
        </w:rPr>
      </w:pPr>
    </w:p>
    <w:p>
      <w:pPr>
        <w:ind w:right="80" w:firstLine="405"/>
        <w:spacing w:after="0" w:line="251" w:lineRule="auto"/>
        <w:rPr>
          <w:sz w:val="20"/>
          <w:szCs w:val="20"/>
          <w:color w:val="auto"/>
        </w:rPr>
      </w:pPr>
      <w:r>
        <w:rPr>
          <w:rFonts w:ascii="Times New Roman" w:cs="Times New Roman" w:eastAsia="Times New Roman" w:hAnsi="Times New Roman"/>
          <w:sz w:val="18"/>
          <w:szCs w:val="18"/>
          <w:color w:val="auto"/>
        </w:rPr>
        <w:t>Our current and noncurrent deferred revenue decreased by $108 million, to $1,223 million at December 31, 2023, from $1,331 million at December 31, 2022, primarily as a result of $274 million of revenue recognized in 2023 that was deferred as of December 31, 2022, as well as the reclassification from deferred revenue to the liability for guest loyalty program, which we discuss below. The decrease was partially offset by revenue deferred in 2023 related to our gift cards, co-branded credit cards, franchise application and relicensing fees, and certain centralized programs and services fees.</w:t>
      </w:r>
    </w:p>
    <w:p>
      <w:pPr>
        <w:spacing w:after="0" w:line="336" w:lineRule="exact"/>
        <w:rPr>
          <w:sz w:val="20"/>
          <w:szCs w:val="20"/>
          <w:color w:val="auto"/>
        </w:rPr>
      </w:pPr>
    </w:p>
    <w:p>
      <w:pPr>
        <w:ind w:right="120" w:firstLine="405"/>
        <w:spacing w:after="0" w:line="243" w:lineRule="auto"/>
        <w:rPr>
          <w:sz w:val="20"/>
          <w:szCs w:val="20"/>
          <w:color w:val="auto"/>
        </w:rPr>
      </w:pPr>
      <w:r>
        <w:rPr>
          <w:rFonts w:ascii="Times New Roman" w:cs="Times New Roman" w:eastAsia="Times New Roman" w:hAnsi="Times New Roman"/>
          <w:sz w:val="18"/>
          <w:szCs w:val="18"/>
          <w:color w:val="auto"/>
        </w:rPr>
        <w:t>Our current and noncurrent liability for guest loyalty program increased by $412 million, to $7,006 million at December 31, 2023, from $6,594 million at December 31, 2022, primarily reflecting an increase in points earned by members. This includes a $112 million reclassification from deferred revenue to the liability for guest loyalty program primarily due to points that were earned during the period by members using our U.S.-issued co-branded credit cards, which were prepaid by the financial institutions in 2020. The increase was partially offset by $2,798 million of revenue recognized in 2023, that was deferred as of December 31, 2022. At each reporting period, we evaluate the estimates used in the recognition of Loyalty Program revenues, including estimates of the breakage of points that members will never redeem and the amount of funding we expect to receive over the life of the agreements with various third parties. In 2023, the updated estimates resulted in a net decrease in revenue, and a corresponding increase in the liability for guest loyalty program of approximately $148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Obtain and Fulfill Contracts with Customers</w:t>
      </w:r>
    </w:p>
    <w:p>
      <w:pPr>
        <w:spacing w:after="0" w:line="173"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We incur certain costs to obtain and fulfill contracts with customers, which we capitalize and amortize on a straight-line basis over the initial, non-cancellable term of the contract. We classify incremental costs of obtaining a contract with a customer in the “Contract acquisition costs and other” caption of our Balance Sheets, the related amortization in the “Contract investment amortization” caption of our Income Statements, and the cash flow impact in the “Contract acquisition costs” caption of our Statements of Cash Flows. We assess the assets for impairment when events or changes in circumstances indicate that we may not be able to recover the carrying amount. We recognize an impairment loss for the amount by which the carrying amount exceeds the expected net future cash flows. We classify certain direct costs to fulfill a contract with a customer in the “Other noncurrent assets” and “Prepaid expenses and other” captions of our Balance Sheets, and the related amortization in the “Owned, leased, and other - direct” caption of our Income Statements. We had capitalized costs to fulfill contracts with customers of $402 million at December 31, 2023 and $379 million at December 31, 2022. See Note 10 for information on capitalized costs incurred to obtain contracts with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Sales</w:t>
      </w:r>
    </w:p>
    <w:p>
      <w:pPr>
        <w:spacing w:after="0" w:line="16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We recognize a gain or loss on real estate transactions when control of the asset transfers to the buyer, generally at the time the sale closes. In sales transactions where we retain a management contract, the terms and conditions of the management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contract are generally comparable to the terms and conditions of the management contracts obtained directly with third-party owners in competitive processes.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Savings Plan</w:t>
      </w:r>
    </w:p>
    <w:p>
      <w:pPr>
        <w:spacing w:after="0" w:line="16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contribute to tax-qualified retirement plans for the benefit of U.S. employees who meet certain eligibility requirements and choose to participate in the plans. Participating employees specify the percentage or amount of salary they wish to contribute from their compensation, and the Company typically makes matching or supplemental contributions. We recognized compensation costs from Company contributions of $215 million in 2023, $137 million in 2022, and $80 million in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Operations</w:t>
      </w:r>
    </w:p>
    <w:p>
      <w:pPr>
        <w:spacing w:after="0" w:line="173" w:lineRule="exact"/>
        <w:rPr>
          <w:sz w:val="20"/>
          <w:szCs w:val="20"/>
          <w:color w:val="auto"/>
        </w:rPr>
      </w:pPr>
    </w:p>
    <w:p>
      <w:pPr>
        <w:ind w:right="120" w:firstLine="405"/>
        <w:spacing w:after="0" w:line="272" w:lineRule="auto"/>
        <w:rPr>
          <w:sz w:val="20"/>
          <w:szCs w:val="20"/>
          <w:color w:val="auto"/>
        </w:rPr>
      </w:pPr>
      <w:r>
        <w:rPr>
          <w:rFonts w:ascii="Times New Roman" w:cs="Times New Roman" w:eastAsia="Times New Roman" w:hAnsi="Times New Roman"/>
          <w:sz w:val="17"/>
          <w:szCs w:val="17"/>
          <w:color w:val="auto"/>
        </w:rPr>
        <w:t>The U.S. dollar is the functional currency of our consolidated and unconsolidated entities operating in the U.S. The functional currency of our consolidated and unconsolidated entities operating outside of the U.S.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stockholders’ equity. We report gains and losses from currency exchange rate changes for intercompany receivables and payables that are not of a long-term investment nature, as well as for third-party transactions, currently in operating costs and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stock-based compensation awards primarily consist of restricted stock units (“RSUs”). We measure compensation costs for our stock-based payment transactions at fair value based on the average of the high and low stock price on the grant date (discounted for the lack of marketability and dividends), and we recognize those costs in our Financial Statements over the vesting period during which the employee provides service in exchange for the award.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6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expense costs to produce advertising as they are incurred and to communicate advertising as the communication occurs and record such amounts in our “Reimbursed expenses” caption of our Income Statements to the extent undertaken on behalf of our owners and franchisees. We recognized advertising costs of $794 million in 2023, $635 million in 2022, and $470 million in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 We account for U.S. tax on Global Intangible Low-Taxed Income in the period incurred.</w:t>
      </w:r>
    </w:p>
    <w:p>
      <w:pPr>
        <w:spacing w:after="0" w:line="13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tax positions we have taken or expect to take in a tax return, we apply a more likely than not threshold (that is, a likelihood of more than 50 percent), under which we must conclude a tax position is more likely than not to be sustained, assuming that the position will be examined by the appropriate taxing authority that has full knowledge of all relevant information,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Note 6 for further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Equivalents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all highly liquid investments with an initial maturity of three months or less at date of purchase to be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accounts receivable primarily consist of amounts due from hotel owners with whom we have management and franchise agreements and include reimbursements of costs we incurred on behalf of managed and franchised properties. We record an allowance for credit losses measured over the contractual life of the instrument based on an assessment of historical collection activity and current and forecasted future economic conditions by region. Our allowance for credit losses was $197 million at December 31, 2023 and $191 million at December 31, 2022. The increase during 2023 was primarily due to our provision for credit losses, partially offset by write-offs of amounts deemed uncollectible. Our provision for credit losses totaled $29 million in 2023, $27 million in 2022, and $22 million in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6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amount or its estimated fair value, less estimated costs to sell, and we cease depreciation.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test goodwill for potential impairment at least annually in the fourth quarter,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the fair value of a reporting unit is less than its carrying amount. Factors we consider when making this determination include, but are not limited to, assessing general economic conditions, hospitality industry trends, and overall financial performance of the reporting unit. If we bypass the qualitative assessment, or if we conclude that it is more likely than not that the fair value of a reporting unit is less than its carrying amount, then we perform a quantitative impairment test by comparing the fair value of a reporting unit with its carrying amount.</w:t>
      </w:r>
    </w:p>
    <w:p>
      <w:pPr>
        <w:spacing w:after="0" w:line="13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calculate the estimated fair value of a reporting unit using a combination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had no goodwill impairment charges for the last three fiscal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and Long-Lived Assets</w:t>
      </w:r>
    </w:p>
    <w:p>
      <w:pPr>
        <w:spacing w:after="0" w:line="17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assess indefinite-lived intangible assets for continued indefinite use and for potential impairment annually, or more frequently if an event or other circumstance indicates that we may not be able to recover the carrying amount of the asset. Like goodwill, we may first assess qualitative factors to determine whether it is more likely than not that the fair value of the indefinite-lived intangible is less than its carrying amount. If the carrying amount of the asset exceeds the fair value, we recognize an impairment loss in the amount of that excess.</w:t>
      </w:r>
    </w:p>
    <w:p>
      <w:pPr>
        <w:spacing w:after="0" w:line="126"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test definite-lived intangibles and long-lived asset groups for recoverability when changes in circumstances indicate that we may not be able to recover the carrying amount;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amount, including right-of-use assets, to the future net undiscounted cash flows that we expect the asset group will generate. If the comparison indicates that we will not be able to recover the carrying amount of an asset group, we recognize an impairment loss for the amount by which the carrying amount exceeds the estimated fair value. When we recognize an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 for assets to be held and used, we depreciate the adjusted carrying amount of those assets over their remaining useful life.</w:t>
      </w:r>
    </w:p>
    <w:p>
      <w:pPr>
        <w:spacing w:after="0" w:line="17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calculate the estimated fair value of an intangible asset or asset group using the income approach or the market approach. We utilize the same assumptions and methodology for the income approach that we describe in the “Goodwill” caption of our Balance Sheets. For the market approach, we use internal analyses based primarily on market comparables and assumptions about market capitalization rates, growth rates, and inflation.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We hold equity interests in ventures established to develop or acquire and own hotel properties or that otherwise support our hospitality operations. We account for these investments as either an equity method investment, a financial asset, or a controlled subsidiary. We apply the equity method of accounting if we have significant influence over the entity, typically when we hold 20 percent or more of the voting common stock (or equivalent) of an investee but do not have a controlling financial interest. In certain circumstances, such as with investments in limited liability companies or limited partnerships, we apply the equity method of accounting when we own as little as three to five percent. We account for financial assets at fair value if it is readily determinable, or using the fair value alternative method, whereby investments are measured at cost less impairment, adjusted for observable price changes. We consolidate entities that we control.</w:t>
      </w:r>
    </w:p>
    <w:p>
      <w:pPr>
        <w:spacing w:after="0" w:line="13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When we acquire an investment that qualifies for the equity method of accounting, we determine the acquisition date fair value of the identifiable assets and liabilities. If our carrying amount exceeds our proportional share in the equity of the investee, we amortize the difference on a straight-line basis over the underlying assets’ estimated useful lives when calculating equity method earnings attributable to us, excluding the difference attributable to land, which we do not amortize.</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evaluate an investment for impairment when circumstances indicate that we may not be able to recover the carrying amount. When evaluating our ventures, we consider loan defaults, significant underperformance relative to historical or projected operating performance, or significant negative industry or economic trends. Additionally, a venture’s commitment to a plan to sell some or all of its assets could cause us to evaluate the recoverability of the venture’s individual long-lived assets and possibly the venture itself. We impair investments we account for using the equity method of accounting when we determine that there has been an “other-than-temporary” decline in the venture’s estimated fair value compared to its carrying amount. We perform qualitative assessments for investments we account for using the fair value alternative method and we record any associated impairment when the fair value is less than the carrying amount.</w:t>
      </w:r>
    </w:p>
    <w:p>
      <w:pPr>
        <w:spacing w:after="0" w:line="13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have various financial instruments we must measure at fair value on a recurring basis, including certain marketable securities and derivatives. See Note 12 for further information. We also apply the provisions of fair value measurement to various nonrecurring measurements for our financial and nonfinancial assets and liabilities.</w:t>
      </w:r>
    </w:p>
    <w:p>
      <w:pPr>
        <w:spacing w:after="0" w:line="12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2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we have the ability to access at the measurement date.</w:t>
      </w:r>
    </w:p>
    <w:p>
      <w:pPr>
        <w:spacing w:after="0" w:line="108" w:lineRule="exact"/>
        <w:rPr>
          <w:sz w:val="20"/>
          <w:szCs w:val="20"/>
          <w:color w:val="auto"/>
        </w:rPr>
      </w:pPr>
    </w:p>
    <w:p>
      <w:pPr>
        <w:jc w:val="both"/>
        <w:ind w:left="660" w:right="120"/>
        <w:spacing w:after="0" w:line="289" w:lineRule="auto"/>
        <w:rPr>
          <w:sz w:val="20"/>
          <w:szCs w:val="20"/>
          <w:color w:val="auto"/>
        </w:rPr>
      </w:pPr>
      <w:r>
        <w:rPr>
          <w:rFonts w:ascii="Times New Roman" w:cs="Times New Roman" w:eastAsia="Times New Roman" w:hAnsi="Times New Roman"/>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etc.), and inputs that are derived principally from or corroborated by observable market data by correlation or other means (market corroborated inputs).</w:t>
      </w:r>
    </w:p>
    <w:p>
      <w:pPr>
        <w:spacing w:after="0" w:line="10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Level 3 inputs include unobservable inputs that reflect our assumptions about what factors market participants would use in pricing the asset or liability. We develop these inputs based on the best information available, including our own data.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7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 derivative contract. We designate a hedge as a cash flow hedge, a fair value hedge, or a hedge of the net investment in non-U.S. operations based on the exposure we are hedging. For the effective portion of qualifying cash flow hedges, we record changes in fair value in accumulated other comprehensive income (“AOCI”). We release the derivative’s gain or loss from AOCI to match the timing of the underlying hedged items’ effect on earnings. The change in fair value of qualifying fair value hedges as well as changes in fair value of the underlying hedged items to the hedged risks are recorded concurrently in earnings.</w:t>
      </w:r>
    </w:p>
    <w:p>
      <w:pPr>
        <w:spacing w:after="0" w:line="13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review the effectiveness of our hedging instruments quarterly and discontinue hedge accounting for any hedge that we no longer consider to be highly effective. We recognize changes in fair value for derivatives not designated as hedges or those not qualifying for hedge accounting in current period earnings. Upon termination of cash flow hedges, we release gains and losses from AOCI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AOCI.</w:t>
      </w:r>
    </w:p>
    <w:p>
      <w:pPr>
        <w:spacing w:after="0" w:line="1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Changes in interest rates and currency exchange rates expose us to market risk. We manage our exposure to these risks by monitoring available financing alternatives, as well as through development and application of credit granting policies. We also use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Reserves</w:t>
      </w:r>
    </w:p>
    <w:p>
      <w:pPr>
        <w:spacing w:after="0" w:line="17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may make mezzanine and other loans to owners of hotels that we operate or franchise, generally to facilitate the development or renovation of a hotel and sometimes to facilitate brand programs or initiatives. We expect the owners to repay the loans in accordance with the loan agreements, or earlier as the performance of the hotels and capital markets permit. We use metrics such as loan-to-value ratios and debt service coverage, and other information about collateral and from third-party rating agencies to assess the credit quality of the loan receivable, both upon entering into the loan agreement and on an ongoing basis as applicable.</w:t>
      </w:r>
    </w:p>
    <w:p>
      <w:pPr>
        <w:spacing w:after="0" w:line="1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At inception and throughout the term of the loan agreement, we individually assess loans for impairment. We consider current and forecasted future economic conditions in addition to our historical experience. We use internally generated cash flow projections to determine the likelihood that the loans will be repaid under the terms of the loan agreements. We calculate the present value of expected future cash flows discounted at the loan’s original effective interest rate or the estimated fair value of the collateral. If the present value or the estimated collateral are less than the carrying value of the loan receivable, we establish a specific impairment reserve for the difference.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or contains a lease at the inception of the contract. We evaluate leases for classification as operating or financing upon lease commencement. Our leases generally contain fixed and variable components. The variable components of our leases are primarily based on operating performance of the leased property. Our lease agreements may also include non-lease components, such as common area maintenance, which we combine with the lease component to account for both as a single lease component.</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Lease liabilities, which represent our obligation to make lease payments arising from the lease, and corresponding right-of-use assets, which represent our right to use an underlying asset for the lease term, are recognized at the commencement date of the lease based on the present value of fixed future payments over the lease term. We calculate the present value of future payments using the discount rate implicit in the lease, if available, or our incremental borrowing rate.</w:t>
      </w:r>
    </w:p>
    <w:p>
      <w:pPr>
        <w:spacing w:after="0" w:line="126"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measure and record our liability for the fair value of a guarantee on a nonrecurring basis, that is when we issue or modify a guarantee, using Level 3 internally developed inputs, as described above in this footnote under the caption “Fair Value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Measurements.”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 we use internal analyses based primarily on market comparable data and our assumptions about market capitalization rates, credit spreads, growth rates, and inflation.</w:t>
      </w:r>
    </w:p>
    <w:p>
      <w:pPr>
        <w:spacing w:after="0" w:line="13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Programs</w:t>
      </w:r>
    </w:p>
    <w:p>
      <w:pPr>
        <w:spacing w:after="0" w:line="173"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We self-insure for certain levels of liability, workers’ compensation, property insurance, and employee medical coverage. We accrue estimated costs of these self-insurance programs at the present value of projected settlements for known and incurred but not reported claims. We use a discount rate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4.00 percent, based upon market rates, to determine the present value of the projected settlements, which we consider to be reasonable given our history of settled claims, including payment patterns and the fixed nature of the individual settlements. We classify the current portion of our self-insurance reserve in the “Accrued expenses and other” caption and the noncurrent portion in the “Other noncurrent liabilities” caption of our Balance Sheets. The current portion of our self-insurance reserve was $172 million at December 31, 2023 and $130 million at December 31, 2022. The noncurrent portion of our self-insurance reserve was $387 million at December 31, 2023 and $287 million at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173"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7"/>
          <w:szCs w:val="17"/>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17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On May 1, 2023, we completed the acquisition of the City Express brand portfolio from Hoteles City Express, S.A.B. de C.V. for $100 million. As a result of the transaction, we added 149 properties located in Mexico, Costa Rica, Colombia, and Chile to our franchise portfolio. We accounted for the transaction as an asset acquisition and allocated the cost of the acquisition, including direct and incremental transaction costs, to an indefinite-lived brand asset of approximately $85 million and franchise contract assets, with a weighted-average term of 20 years, totaling $21 million.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calculations of basic and diluted earnings per share, the latter of which uses the treasury stock method to calculate the dilutive effect of the Company’s potential common stock:</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Computation of Basic Earnings Per Share</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5"/>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1,099</w:t>
            </w:r>
          </w:p>
        </w:tc>
      </w:tr>
      <w:tr>
        <w:trPr>
          <w:trHeight w:val="20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 for basic earnings per share</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327.2</w:t>
            </w:r>
          </w:p>
        </w:tc>
      </w:tr>
      <w:tr>
        <w:trPr>
          <w:trHeight w:val="203"/>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Computation of Diluted Earnings Per Share</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1,099</w:t>
            </w: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 for basic earnings per share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327.2</w:t>
            </w:r>
          </w:p>
        </w:tc>
      </w:tr>
      <w:tr>
        <w:trPr>
          <w:trHeight w:val="195"/>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5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r>
      <w:tr>
        <w:trPr>
          <w:trHeight w:val="190"/>
        </w:trPr>
        <w:tc>
          <w:tcPr>
            <w:tcW w:w="5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Shares for diluted earnings per share</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329.3</w:t>
            </w:r>
          </w:p>
        </w:tc>
      </w:tr>
      <w:tr>
        <w:trPr>
          <w:trHeight w:val="228"/>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17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granted RSUs in 2023 to certain officers and employees, and those units vest generally over four years in equal annual installments commencing one year after the grant date. We also granted performance-based RSUs (“PSUs”) in 2023 to certain executives, which are earned subject to continued employment and the satisfaction of certain performance and market conditions based on the degree of achievement of pre-established targets for 2025 adjusted EBITDA performance and relative total stockholder return over the 2023 to 2025 performance period.</w:t>
      </w:r>
    </w:p>
    <w:p>
      <w:pPr>
        <w:spacing w:after="0" w:line="12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had deferred compensation costs for unvested awards for RSUs, including PSUs, of approximately $171 million at year-end 2023 and $179 million at year-end 2022. The weighted average remaining term for RSUs outstanding at year-end 2023 was 2.2 years.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RSUs, including PSUs, for the last three fiscal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(in millions)</w:t>
            </w: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grant-date fair value (per unit)</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6"/>
                <w:szCs w:val="16"/>
                <w:color w:val="auto"/>
              </w:rPr>
            </w:pP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distributed RSUs (in millions)</w:t>
            </w: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bl>
    <w:p>
      <w:pPr>
        <w:spacing w:after="0" w:line="22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outstanding RSUs, including PSUs, during 2023 and the associated weighted average grant-date fair values: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3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 (in millions)</w:t>
            </w:r>
          </w:p>
        </w:tc>
        <w:tc>
          <w:tcPr>
            <w:tcW w:w="100" w:type="dxa"/>
            <w:vAlign w:val="bottom"/>
          </w:tcPr>
          <w:p>
            <w:pPr>
              <w:spacing w:after="0"/>
              <w:rPr>
                <w:sz w:val="13"/>
                <w:szCs w:val="13"/>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Grant-Date Fair Value</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year-end 2022</w:t>
            </w:r>
          </w:p>
        </w:tc>
        <w:tc>
          <w:tcPr>
            <w:tcW w:w="2320" w:type="dxa"/>
            <w:vAlign w:val="bottom"/>
            <w:shd w:val="clear" w:color="auto" w:fill="CCEEFF"/>
          </w:tcPr>
          <w:p>
            <w:pPr>
              <w:jc w:val="center"/>
              <w:ind w:left="194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5"/>
        </w:trPr>
        <w:tc>
          <w:tcPr>
            <w:tcW w:w="6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2320" w:type="dxa"/>
            <w:vAlign w:val="bottom"/>
          </w:tcPr>
          <w:p>
            <w:pPr>
              <w:jc w:val="center"/>
              <w:ind w:left="19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Distributed</w:t>
            </w:r>
          </w:p>
        </w:tc>
        <w:tc>
          <w:tcPr>
            <w:tcW w:w="2320" w:type="dxa"/>
            <w:vAlign w:val="bottom"/>
            <w:shd w:val="clear" w:color="auto" w:fill="CCEEFF"/>
          </w:tcPr>
          <w:p>
            <w:pPr>
              <w:jc w:val="center"/>
              <w:ind w:left="1908"/>
              <w:spacing w:after="0"/>
              <w:rPr>
                <w:sz w:val="20"/>
                <w:szCs w:val="20"/>
                <w:color w:val="auto"/>
              </w:rPr>
            </w:pPr>
            <w:r>
              <w:rPr>
                <w:rFonts w:ascii="Times New Roman" w:cs="Times New Roman" w:eastAsia="Times New Roman" w:hAnsi="Times New Roman"/>
                <w:sz w:val="14"/>
                <w:szCs w:val="14"/>
                <w:color w:val="auto"/>
                <w:w w:val="96"/>
              </w:rPr>
              <w:t>(1.6)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2320" w:type="dxa"/>
            <w:vAlign w:val="bottom"/>
            <w:tcBorders>
              <w:bottom w:val="single" w:sz="8" w:color="auto"/>
            </w:tcBorders>
          </w:tcPr>
          <w:p>
            <w:pPr>
              <w:jc w:val="center"/>
              <w:ind w:left="1908"/>
              <w:spacing w:after="0"/>
              <w:rPr>
                <w:sz w:val="20"/>
                <w:szCs w:val="20"/>
                <w:color w:val="auto"/>
              </w:rPr>
            </w:pPr>
            <w:r>
              <w:rPr>
                <w:rFonts w:ascii="Times New Roman" w:cs="Times New Roman" w:eastAsia="Times New Roman" w:hAnsi="Times New Roman"/>
                <w:sz w:val="14"/>
                <w:szCs w:val="14"/>
                <w:color w:val="auto"/>
                <w:w w:val="96"/>
              </w:rPr>
              <w:t>(0.2)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year-end 2023</w:t>
            </w:r>
          </w:p>
        </w:tc>
        <w:tc>
          <w:tcPr>
            <w:tcW w:w="2320" w:type="dxa"/>
            <w:vAlign w:val="bottom"/>
            <w:tcBorders>
              <w:bottom w:val="single" w:sz="8" w:color="auto"/>
            </w:tcBorders>
            <w:shd w:val="clear" w:color="auto" w:fill="CCEEFF"/>
          </w:tcPr>
          <w:p>
            <w:pPr>
              <w:jc w:val="center"/>
              <w:ind w:left="1948"/>
              <w:spacing w:after="0"/>
              <w:rPr>
                <w:sz w:val="20"/>
                <w:szCs w:val="20"/>
                <w:color w:val="auto"/>
              </w:rPr>
            </w:pPr>
            <w:r>
              <w:rPr>
                <w:rFonts w:ascii="Times New Roman" w:cs="Times New Roman" w:eastAsia="Times New Roman" w:hAnsi="Times New Roman"/>
                <w:sz w:val="14"/>
                <w:szCs w:val="14"/>
                <w:color w:val="auto"/>
              </w:rPr>
              <w:t>3.1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7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No further shares are authorized for grant under the Marriott International, Inc. Stock and Cash Incentive Plan or the Starwood Hotels &amp; Resorts Worldwide, LLC, formerly known as Starwood Hotels &amp; Resorts Worldwide, Inc., stock plans. Beginning May 2023, awards are granted under the 2023 Marriott International, Inc. Stock and Cash Incentive Plan (“2023 Plan”). At year-end 2023, we had approximately 12 million remaining shares authorized for grant under the 2023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our earnings before income taxes for the last three fiscal years consisted of:</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3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r>
      <w:tr>
        <w:trPr>
          <w:trHeight w:val="19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221"/>
        </w:trPr>
        <w:tc>
          <w:tcPr>
            <w:tcW w:w="34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(provision) benefit for income taxes for the last three fiscal years consisted of:</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Federal</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5"/>
        </w:trPr>
        <w:tc>
          <w:tcPr>
            <w:tcW w:w="980" w:type="dxa"/>
            <w:vAlign w:val="bottom"/>
          </w:tcPr>
          <w:p>
            <w:pPr>
              <w:spacing w:after="0"/>
              <w:rPr>
                <w:sz w:val="16"/>
                <w:szCs w:val="16"/>
                <w:color w:val="auto"/>
              </w:rPr>
            </w:pPr>
          </w:p>
        </w:tc>
        <w:tc>
          <w:tcPr>
            <w:tcW w:w="2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State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3"/>
        </w:trPr>
        <w:tc>
          <w:tcPr>
            <w:tcW w:w="980" w:type="dxa"/>
            <w:vAlign w:val="bottom"/>
            <w:shd w:val="clear" w:color="auto" w:fill="CCEEFF"/>
          </w:tcPr>
          <w:p>
            <w:pPr>
              <w:spacing w:after="0"/>
              <w:rPr>
                <w:sz w:val="17"/>
                <w:szCs w:val="17"/>
                <w:color w:val="auto"/>
              </w:rPr>
            </w:pPr>
          </w:p>
        </w:tc>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5"/>
        </w:trPr>
        <w:tc>
          <w:tcPr>
            <w:tcW w:w="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64"/>
        </w:trPr>
        <w:tc>
          <w:tcPr>
            <w:tcW w:w="9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Federal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10"/>
        </w:trPr>
        <w:tc>
          <w:tcPr>
            <w:tcW w:w="980" w:type="dxa"/>
            <w:vAlign w:val="bottom"/>
            <w:shd w:val="clear" w:color="auto" w:fill="CCEEFF"/>
          </w:tcPr>
          <w:p>
            <w:pPr>
              <w:spacing w:after="0"/>
              <w:rPr>
                <w:sz w:val="18"/>
                <w:szCs w:val="18"/>
                <w:color w:val="auto"/>
              </w:rPr>
            </w:pPr>
          </w:p>
        </w:tc>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State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6"/>
        </w:trPr>
        <w:tc>
          <w:tcPr>
            <w:tcW w:w="98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6"/>
        </w:trPr>
        <w:tc>
          <w:tcPr>
            <w:tcW w:w="9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6"/>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7"/>
        </w:trPr>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unrecognized tax benefit balance for each year from the beginning of 2021 to the end of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3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 at beginning of 2021</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195"/>
        </w:trPr>
        <w:tc>
          <w:tcPr>
            <w:tcW w:w="9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10"/>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during the current period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Decrease attributable to settlements with taxing authorities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2"/>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 at year-end 2021</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95"/>
        </w:trPr>
        <w:tc>
          <w:tcPr>
            <w:tcW w:w="9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during the current period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9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Decrease attributable to settlements with taxing authorities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 at year-end 2022</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5"/>
        </w:trPr>
        <w:tc>
          <w:tcPr>
            <w:tcW w:w="9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in prior years</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10"/>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attributable to tax positions taken during the current period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9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Decrease attributable to settlements with taxing authorities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 at year-end 2023</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Our unrecognized tax benefit balance included $161 million at year-end 2023, $241 million at year-end 2022, and $266 million at year-end 2021 of tax positions that, if recognized, would impact our effective tax rate. It is reasonably possible that within the next 12 months we will reach resolution of income tax examinations in one or more jurisdictions. The actual amount of any change to our unrecognized tax benefits could vary depending on the timing and nature of the settlement. Therefore, an estimate of the change cannot be provided. We recognize accrued interest and penalties for our unrecognized tax benefits as a component of tax expenses. Related interest expense (benefit) totaled $6 million in 2023, $13 million in 2022, and $(21) million in 2021. We accrued interest and penalties related to our unrecognized tax benefits of approximately $52 million at year-end 2023 and $49 million at year-end 2022.</w:t>
      </w:r>
    </w:p>
    <w:p>
      <w:pPr>
        <w:spacing w:after="0" w:line="13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We file income tax returns, including returns for our subsidiaries, in various jurisdictions around the world. The U.S. Internal Revenue Service has examined our federal income tax returns, and as of year-end 2023, we have settled all issues for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tax years through 2021. Our 2022 and 2023 tax year audits are currently ongoing. Various foreign, state, and local income tax returns are also under examination by the applicable taxing authorities.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7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3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effect of each type of temporary difference and carry-forward that gave rise to significant portions of our deferred tax assets and liabilities as of year-end 2023 and year-end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Year-End 2023</w:t>
            </w:r>
          </w:p>
        </w:tc>
        <w:tc>
          <w:tcPr>
            <w:tcW w:w="14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At Year-End 2022</w:t>
            </w:r>
          </w:p>
        </w:tc>
      </w:tr>
      <w:tr>
        <w:trPr>
          <w:trHeight w:val="23"/>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reserves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Loyalty Program</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limitation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9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r>
      <w:tr>
        <w:trPr>
          <w:trHeight w:val="196"/>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 after valuation allowance</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Self-insurance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22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deferred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valuation allowance is primarily attributable to non-U.S. net operating loss carry-forwards. During 2023, our valuation allowance decreased primarily due to the release of certain non-U.S. tax benefits ($223 million) as the Company concluded that it is more likely than not to recognize those tax benefits. In addition, during 2023, our intangibles deferred tax liability decreased primarily due to intellectual property restructuring transactions, resulting in non-U.S. tax benefits ($228 million).</w:t>
      </w:r>
    </w:p>
    <w:p>
      <w:pPr>
        <w:spacing w:after="0" w:line="126"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At year-end 2023, we had approximately $47 million of tax credits that will expire through 2033 and $17 million of tax credits that do not expire. We recorded $25 million of net operating loss benefits in 2023 and $12 million in 2022. At year-end 2023, we had approximately $4,856 million of primarily state and foreign net operating losses, of which $3,207 million will expire through 2043.</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made no provision for U.S. income taxes or additional non-U.S. taxes on certain undistributed earnings of non-U.S. subsidiaries. These earnings could become subject to additional taxes if the non-U.S. subsidiaries dividend or loan those earnings to an affiliate or if we sell our interests in the non-U.S. subsidiaries. We cannot practically estimate the amount of additional taxes that might be payable on the undistributed earnings.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U.S. Federal Statutory Income Tax Rate to Actual Income Tax Rate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the U.S. statutory tax rate to our effective income tax rate for the last three fiscal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statutory tax rate</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income taxes, net of U.S. federal tax benefit</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Non-U.S. income</w:t>
            </w: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uncertain tax positions</w:t>
            </w:r>
          </w:p>
        </w:tc>
        <w:tc>
          <w:tcPr>
            <w:tcW w:w="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(12.0)</w:t>
            </w: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Excess tax benefits related to equity awards</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w:t>
            </w: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tax on foreign earnings</w:t>
            </w: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Intellectual property restructuring</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w:t>
            </w:r>
          </w:p>
        </w:tc>
      </w:tr>
      <w:tr>
        <w:trPr>
          <w:trHeight w:val="21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r>
      <w:tr>
        <w:trPr>
          <w:trHeight w:val="18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rate</w:t>
            </w:r>
          </w:p>
        </w:tc>
        <w:tc>
          <w:tcPr>
            <w:tcW w:w="1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27"/>
        </w:trPr>
        <w:tc>
          <w:tcPr>
            <w:tcW w:w="5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paid cash for income taxes, net of refunds, of $907 million in 2023, $476 million in 2022, and $362 million in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issue guarantees to certain lenders and hotel owners, chiefly to obtain long-term management and franchise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or refinancing of hotels.</w:t>
      </w:r>
    </w:p>
    <w:p>
      <w:pPr>
        <w:spacing w:after="0" w:line="129" w:lineRule="exact"/>
        <w:rPr>
          <w:sz w:val="20"/>
          <w:szCs w:val="20"/>
          <w:color w:val="auto"/>
        </w:rPr>
      </w:pPr>
    </w:p>
    <w:p>
      <w:pPr>
        <w:ind w:right="160" w:firstLine="405"/>
        <w:spacing w:after="0" w:line="312" w:lineRule="auto"/>
        <w:rPr>
          <w:sz w:val="20"/>
          <w:szCs w:val="20"/>
          <w:color w:val="auto"/>
        </w:rPr>
      </w:pPr>
      <w:r>
        <w:rPr>
          <w:rFonts w:ascii="Times New Roman" w:cs="Times New Roman" w:eastAsia="Times New Roman" w:hAnsi="Times New Roman"/>
          <w:sz w:val="17"/>
          <w:szCs w:val="17"/>
          <w:color w:val="auto"/>
        </w:rPr>
        <w:t>We present the maximum potential amount of our future guarantee fundings and the carrying amount of our liability for our debt service, operating profit, and other guarantees (excluding contingent purchase obligations) for which we are the primary obligor at year-end 2023 in the following table:</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120" w:type="dxa"/>
            <w:vAlign w:val="bottom"/>
          </w:tcPr>
          <w:p>
            <w:pPr>
              <w:spacing w:after="0"/>
              <w:rPr>
                <w:sz w:val="13"/>
                <w:szCs w:val="13"/>
                <w:color w:val="auto"/>
              </w:rPr>
            </w:pPr>
          </w:p>
        </w:tc>
        <w:tc>
          <w:tcPr>
            <w:tcW w:w="1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Recorded Liability for</w:t>
            </w:r>
          </w:p>
        </w:tc>
        <w:tc>
          <w:tcPr>
            <w:tcW w:w="0" w:type="dxa"/>
            <w:vAlign w:val="bottom"/>
          </w:tcPr>
          <w:p>
            <w:pPr>
              <w:spacing w:after="0"/>
              <w:rPr>
                <w:sz w:val="1"/>
                <w:szCs w:val="1"/>
                <w:color w:val="auto"/>
              </w:rPr>
            </w:pPr>
          </w:p>
        </w:tc>
      </w:tr>
      <w:tr>
        <w:trPr>
          <w:trHeight w:val="149"/>
        </w:trPr>
        <w:tc>
          <w:tcPr>
            <w:tcW w:w="6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Guarantee Type</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Future Fundings</w:t>
            </w:r>
          </w:p>
        </w:tc>
        <w:tc>
          <w:tcPr>
            <w:tcW w:w="120" w:type="dxa"/>
            <w:vAlign w:val="bottom"/>
          </w:tcPr>
          <w:p>
            <w:pPr>
              <w:spacing w:after="0"/>
              <w:rPr>
                <w:sz w:val="17"/>
                <w:szCs w:val="17"/>
                <w:color w:val="auto"/>
              </w:rPr>
            </w:pPr>
          </w:p>
        </w:tc>
        <w:tc>
          <w:tcPr>
            <w:tcW w:w="16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0" w:type="dxa"/>
            <w:vAlign w:val="bottom"/>
          </w:tcPr>
          <w:p>
            <w:pPr>
              <w:spacing w:after="0"/>
              <w:rPr>
                <w:sz w:val="1"/>
                <w:szCs w:val="1"/>
                <w:color w:val="auto"/>
              </w:rPr>
            </w:pPr>
          </w:p>
        </w:tc>
      </w:tr>
      <w:tr>
        <w:trPr>
          <w:trHeight w:val="202"/>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service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16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liability at year-end 2023 for guarantees for which we are the primary obligor is reflected in our Balance Sheets as $29 million of “Accrued expenses and other” and $75 million of “Other noncurrent liabilities.”</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maximum potential guarantees listed in the preceding table include $62 million of operating profit guarantees that will not be in effect until the underlying properties open and we begin to operate the properties or certain other events occur.</w:t>
      </w:r>
    </w:p>
    <w:p>
      <w:pPr>
        <w:spacing w:after="0" w:line="108" w:lineRule="exact"/>
        <w:rPr>
          <w:sz w:val="20"/>
          <w:szCs w:val="20"/>
          <w:color w:val="auto"/>
        </w:rPr>
      </w:pPr>
    </w:p>
    <w:p>
      <w:pPr>
        <w:ind w:right="180" w:firstLine="405"/>
        <w:spacing w:after="0" w:line="312" w:lineRule="auto"/>
        <w:rPr>
          <w:sz w:val="20"/>
          <w:szCs w:val="20"/>
          <w:color w:val="auto"/>
        </w:rPr>
      </w:pPr>
      <w:r>
        <w:rPr>
          <w:rFonts w:ascii="Times New Roman" w:cs="Times New Roman" w:eastAsia="Times New Roman" w:hAnsi="Times New Roman"/>
          <w:sz w:val="17"/>
          <w:szCs w:val="17"/>
          <w:color w:val="auto"/>
        </w:rPr>
        <w:t>In conjunction with financing obtained for specific projects or properties owned by us or entities in which we have an investment, we may provide industry standard indemnifications to the lender for loss, liability, or damage occurring as a result of the actions of the entity or our own actions.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Purchase Obligation</w:t>
      </w:r>
    </w:p>
    <w:p>
      <w:pPr>
        <w:spacing w:after="0" w:line="17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u w:val="single" w:color="auto"/>
          <w:color w:val="auto"/>
        </w:rPr>
        <w:t>Sheraton Grand Chicago</w:t>
      </w:r>
      <w:r>
        <w:rPr>
          <w:rFonts w:ascii="Times New Roman" w:cs="Times New Roman" w:eastAsia="Times New Roman" w:hAnsi="Times New Roman"/>
          <w:sz w:val="18"/>
          <w:szCs w:val="18"/>
          <w:color w:val="auto"/>
        </w:rPr>
        <w:t>. In 2017, we granted the owner a one-time right to require us to purchase the leasehold interest in the land and the hotel for $300 million in cash (the “put option”). In the 2021 third quarter, we entered into an amendment with the owner to move the exercise period of the put option from the 2022 first half to the 2024 first half. In January 2024, the owner exercised the put option, and we exercised our option to purchase, at the same time the put transaction closes, the fee</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simple interest in the underlying land for an additional $200 million in cash, resulting in an expected total cash payment of approximately $500 million. The closing is expected to occur in the 2024 fourth quarter. We account for the put option as a guarantee, and our recorded liability was $300 million at year-end 2023 and 2022. The liability is reflected in our Balance Sheets as “Accrued expenses and other” at year-end 2023 and as “Other noncurrent liabilities” at year-end 2022.</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concluded that the entity that owns the Sheraton Grand Chicago hotel is a variable interest entity. We did not consolidate the entity because we do not have the power to direct the activities that most significantly impact the entity’s economic performance. Our maximum exposure to loss related to the entity is equal to the difference between the purchase price and the fair value of the hotel at the time of closing, plus the maximum funding amount of an operating profit guarantee that we provided for the hotel.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At year-end 2023, we had various purchase commitments for goods and services in the normal course of business, primarily for programs and services for which we are reimbursed by third-party owners, totaling $735 million. We expect to purchase goods and services subject to these commitments as follows: $385 million in 2024, $202 million in 2025, $85 million in 2026, and $63 million thereafter.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year-end 2023, we had $129 million of letters of credit outstanding (all outside the Credit Facility, as defined in Note 9), most of which were for our self-insurance programs. Surety bonds issued as of year-end 2023 totaled $164 million, most of which state governments requested in connection with our self-insurance programs.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Starwood Data Security Incident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Description of Event</w:t>
      </w:r>
    </w:p>
    <w:p>
      <w:pPr>
        <w:spacing w:after="0" w:line="17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November 30, 2018, we announced a data security incident involving unauthorized access to the Starwood reservations database (the “Data Security Incident”). Working with leading security experts, we determined that there was unauthorized access to the Starwood network since 2014 and that an unauthorized party had copied information from the Starwood reservations database and taken steps towards removing it. </w:t>
      </w:r>
      <w:r>
        <w:rPr>
          <w:rFonts w:ascii="Times New Roman" w:cs="Times New Roman" w:eastAsia="Times New Roman" w:hAnsi="Times New Roman"/>
          <w:sz w:val="18"/>
          <w:szCs w:val="18"/>
          <w:color w:val="1C1C1C"/>
        </w:rPr>
        <w:t>We discontinued use of t</w:t>
      </w:r>
      <w:r>
        <w:rPr>
          <w:rFonts w:ascii="Times New Roman" w:cs="Times New Roman" w:eastAsia="Times New Roman" w:hAnsi="Times New Roman"/>
          <w:sz w:val="18"/>
          <w:szCs w:val="18"/>
          <w:color w:val="auto"/>
        </w:rPr>
        <w:t xml:space="preserve">he </w:t>
      </w:r>
      <w:r>
        <w:rPr>
          <w:rFonts w:ascii="Times New Roman" w:cs="Times New Roman" w:eastAsia="Times New Roman" w:hAnsi="Times New Roman"/>
          <w:sz w:val="18"/>
          <w:szCs w:val="18"/>
          <w:color w:val="1C1C1C"/>
        </w:rPr>
        <w:t>Starwood reservations database for business operations at the end of 2018</w:t>
      </w:r>
      <w:r>
        <w:rPr>
          <w:rFonts w:ascii="Times New Roman" w:cs="Times New Roman" w:eastAsia="Times New Roman" w:hAnsi="Times New Roman"/>
          <w:sz w:val="18"/>
          <w:szCs w:val="18"/>
          <w:color w:val="000000"/>
        </w:rPr>
        <w: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Litigation, Claims, and Government Investigations</w:t>
      </w:r>
    </w:p>
    <w:p>
      <w:pPr>
        <w:spacing w:after="0" w:line="17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Following our announcement of the Data Security Incident, approximately 100 lawsuits were filed by consumers and others against us in U.S. federal, U.S. state and Canadian courts related to the incident. The plaintiffs in the cases that remain pending, who generally purport to represent various classes of consumers, generally claim to have been harmed by alleged actions and/or omissions by the Company in connection with the Data Security Incident and assert a variety of common law and statutory </w:t>
      </w:r>
      <w:r>
        <w:rPr>
          <w:rFonts w:ascii="Times New Roman" w:cs="Times New Roman" w:eastAsia="Times New Roman" w:hAnsi="Times New Roman"/>
          <w:sz w:val="18"/>
          <w:szCs w:val="18"/>
          <w:color w:val="1C1C1C"/>
        </w:rPr>
        <w:t>claims</w:t>
      </w:r>
      <w:r>
        <w:rPr>
          <w:rFonts w:ascii="Times New Roman" w:cs="Times New Roman" w:eastAsia="Times New Roman" w:hAnsi="Times New Roman"/>
          <w:sz w:val="18"/>
          <w:szCs w:val="18"/>
          <w:color w:val="auto"/>
        </w:rPr>
        <w:t xml:space="preserve"> seeking monetary damages, injunctive relief, costs and attorneys’ fees, and other related relief. The active U.S. cases are consolidated in the U.S. District Court for the District of Maryland (the “District Court”), pursuant to orders of the U.S. Judicial Panel on Multidistrict Litigation (the “MDL”). The District Court granted in part and denied in part class certification of various U.S. groups of consumers. In August 2023, the U.S. Court of Appeals for the Fourth Circuit (the “Fourth Circuit”) vacated the District Court’s class certification decision because the District Court failed to first consider the effect of a class-action waiver signed by all putative class members. On remand, after briefing, the District Court issued an order reinstating the same classes that had previously been certified. We promptly petitioned the Fourth Circuit, seeking leave to appeal that ruling. On January 18, 2024, the Fourth Circuit granted that petition, and we are preparing to file such appeal. A case brought by the City of Chicago (which is consolidated in the MDL proceeding) also remains pending. The Canadian cases have effectively been consolidated into a single case in the province of Ontario. We dispute the allegations in these lawsuits and are vigorously defending against such claims.</w:t>
      </w:r>
    </w:p>
    <w:p>
      <w:pPr>
        <w:spacing w:after="0" w:line="13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addition, various U.S. federal, U.S. state and foreign governmental authorities made inquiries, opened investigations, or requested information and/or documents related to the Data Security Incident and related matters. Although some of these matters have been resolved or no longer appear to be active, some remain open. We are in discussions with the Attorney General offices from 49 states and the District of Columbia and the Federal Trade Commission. Based on the ongoing discussions, we believe it is probable that we will incur losses, and as of December 31, 2023, we have an accrual for an estimated loss contingency, which is not material to our Financial Statements.</w:t>
      </w:r>
    </w:p>
    <w:p>
      <w:pPr>
        <w:spacing w:after="0" w:line="1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While we believe it is reasonably possible that we may incur losses in excess of the amounts recorded associated with the above described MDL proceedings and regulatory investigations related to the Data Security Incident, it is not possible to reasonably estimate the amount of such losses or range of loss that might result from adverse judgments, settlements, fines,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penalties or other resolution of these proceedings and investigations based on: (1) in the case of the above described MDL proceedings, the current stage of these proceedings, the absence of specific allegations as to alleged damages, the uncertainty as to the certification of a class or classes and the size of any certified class, and the lack of resolution of significant factual and legal issues; and (2) in the case of the above described regulatory investigations, the lack of resolution with the Federal Trade Commission and the state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We enter into operating and finance leases primarily for hotels, offices, and equipment. Most leases have initial terms of up to 20 years, and contain one or more renewals at our option, generally for five- or 10-year periods. We have generally not included these renewal periods in the lease term as it is not reasonably certain that we will exercise the renewal option.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composition of lease expense for 2023, 2022, and 2021:</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10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future minimum lease payments at year-end 2023:</w:t>
      </w:r>
    </w:p>
    <w:p>
      <w:pPr>
        <w:spacing w:after="0" w:line="205"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4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w:t>
            </w:r>
          </w:p>
        </w:tc>
      </w:tr>
      <w:tr>
        <w:trPr>
          <w:trHeight w:val="203"/>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165</w:t>
            </w:r>
          </w:p>
        </w:tc>
      </w:tr>
      <w:tr>
        <w:trPr>
          <w:trHeight w:val="196"/>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r>
      <w:tr>
        <w:trPr>
          <w:trHeight w:val="221"/>
        </w:trPr>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Present value of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composition of our current and noncurrent lease liability at year-end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2860" w:type="dxa"/>
            <w:vAlign w:val="bottom"/>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Current </w:t>
            </w:r>
            <w:r>
              <w:rPr>
                <w:rFonts w:ascii="Times New Roman" w:cs="Times New Roman" w:eastAsia="Times New Roman" w:hAnsi="Times New Roman"/>
                <w:sz w:val="9"/>
                <w:szCs w:val="9"/>
                <w:color w:val="auto"/>
              </w:rPr>
              <w:t>(1)</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Noncurrent </w:t>
            </w:r>
            <w:r>
              <w:rPr>
                <w:rFonts w:ascii="Times New Roman" w:cs="Times New Roman" w:eastAsia="Times New Roman" w:hAnsi="Times New Roman"/>
                <w:sz w:val="9"/>
                <w:szCs w:val="9"/>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96"/>
        </w:trPr>
        <w:tc>
          <w:tcPr>
            <w:tcW w:w="436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Operating leases are recorded in the “Accrued expenses and other” and finance leases are recorded in the “Current portion of long-term debt” captions of our Balance Sheets.</w:t>
      </w:r>
    </w:p>
    <w:p>
      <w:pPr>
        <w:spacing w:after="0" w:line="38" w:lineRule="exact"/>
        <w:rPr>
          <w:rFonts w:ascii="Times New Roman" w:cs="Times New Roman" w:eastAsia="Times New Roman" w:hAnsi="Times New Roman"/>
          <w:sz w:val="9"/>
          <w:szCs w:val="9"/>
          <w:color w:val="auto"/>
        </w:rPr>
      </w:pPr>
    </w:p>
    <w:p>
      <w:pPr>
        <w:ind w:left="640" w:hanging="308"/>
        <w:spacing w:after="0"/>
        <w:tabs>
          <w:tab w:leader="none" w:pos="6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leases are recorded in the “Operating lease liabilities” and finance leases are recorded in the “Long-term debt” captions of our Balance Sheets.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our lease obligations at year-end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tcPr>
          <w:p>
            <w:pPr>
              <w:spacing w:after="0"/>
              <w:rPr>
                <w:sz w:val="16"/>
                <w:szCs w:val="16"/>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43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2023,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5"/>
        </w:trPr>
        <w:tc>
          <w:tcPr>
            <w:tcW w:w="6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outflows for operating leases</w:t>
            </w:r>
          </w:p>
        </w:tc>
        <w:tc>
          <w:tcPr>
            <w:tcW w:w="116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assets obtained in exchange for lease obligations: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8"/>
        </w:trPr>
        <w:tc>
          <w:tcPr>
            <w:tcW w:w="6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1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17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provide detail on our long-term debt balances, net of discounts, premiums, and debt issuance costs, in the following table at year-end 2023 and 2022:</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Year-End 2023</w:t>
            </w:r>
          </w:p>
        </w:tc>
        <w:tc>
          <w:tcPr>
            <w:tcW w:w="14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At Year-End 2022</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P Notes, interest rate of 3.8%, face amount of $350, maturing October 1, 2025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4.0%)</w:t>
            </w:r>
          </w:p>
        </w:tc>
        <w:tc>
          <w:tcPr>
            <w:tcW w:w="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R Notes, interest rate of 3.1%, face amount of $750, maturing June 15, 2026</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3.3%)</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U Notes, interest rate of 3.1%, face amount of $291, matured February 15, 2023</w:t>
            </w:r>
          </w:p>
        </w:tc>
        <w:tc>
          <w:tcPr>
            <w:tcW w:w="14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3.1%)</w:t>
            </w: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V Notes, interest rate of 3.8%, face amount of $318, maturing March 15, 2025</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2.8%)</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W Notes, interest rate of 4.5%, face amount of $278, maturing October 1, 2034</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4.1%)</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X Notes, interest rate of 4.0%, face amount of $450, maturing April 15, 2028</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4.2%)</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Z Notes, interest rate of 4.2%, face amount of $350, matured December 1, 2023</w:t>
            </w:r>
          </w:p>
        </w:tc>
        <w:tc>
          <w:tcPr>
            <w:tcW w:w="14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4.4%)</w:t>
            </w: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AA Notes, interest rate of 4.7%, face amount of $300, maturing December 1, 2028</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4.8%)</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CC Notes, interest rate of 3.6%, face amount of $550, maturing April 15, 2024</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3.9%)</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EE Notes, interest rate of 5.8%, face amount of $600, maturing May 1, 2025</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6.0%)</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FF Notes, interest rate of 4.6%, face amount of $1,000, maturing June 15, 2030</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4.8%)</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GG Notes, interest rate of 3.5%, face amount of $1,000, maturing October 15, 2032</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3.7%)</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HH Notes, interest rate of 2.9%, face amount of $1,100, maturing April 15, 2031</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3.0%)</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II Notes, interest rate of 2.8%, face amount of $700, maturing October 15, 2033</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2.8%)</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JJ Notes, interest rate of 5.0%, face amount of $1,000, maturing October 15, 2027</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5.4%)</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KK Notes, interest rate of 4.9%, face amount of $800, maturing April 15, 2029</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5.3%)</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Series LL Notes, interest rate of 5.5%, face amount of $450, maturing September 15, 2026</w:t>
            </w: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(effective interest rate of 5.9%)</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Series MM Notes, interest rate of 5.6%, face amount of $700, maturing October 15, 2028</w:t>
            </w: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(effective interest rate of 5.9%)</w:t>
            </w: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All our long-term debt is recourse to us but unsecured. All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We may redeem some or all of each series of the Senior Notes before maturity under the terms provided in the applicable form of Senior Note.</w:t>
      </w:r>
    </w:p>
    <w:p>
      <w:pPr>
        <w:spacing w:after="0" w:line="1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September 2023, we issued $450 million aggregate principal amount of 5.45 percent Series LL Notes due September 15, 2026 (the “Series LL Notes”) and $700 million aggregate principal amount of 5.55 percent Series MM Notes due October 15, 2028 (the “Series MM Notes”). We will pay interest on the Series LL Notes in March and September of each year, commencing in March 2024, and we will pay interest on the Series MM Notes in April and October of each year, commencing</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April 2024. We received net proceeds of approximately $1.135 billion from the offering of the Series LL Notes and Series MM Notes, after deducting the underwriting discount and expenses, which were made available for general corporate purposes, including working capital, capital expenditures, acquisitions, stock repurchases, or repayment of outstanding indebtedness.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March 2023, we issued $800 million aggregate principal amount of 4.90 percent Series KK Notes due April 15, 2029 (the “Series KK Notes”). We pay interest on the Series KK Notes in April and October of each year. We received net proceeds of approximately $783 million from the offering of the Series KK Notes, after deducting the underwriting discount and expenses, which were made available for general corporate purposes, including working capital, capital expenditures, acquisitions, stock repurchases, or repayment of outstanding indebtedness.</w:t>
      </w:r>
    </w:p>
    <w:p>
      <w:pPr>
        <w:spacing w:after="0" w:line="12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are party to a $4.5 billion multicurrency revolving credit agreement (the “Credit Facility”). Available borrowings under the Credit Facility support our commercial paper program and general corporate needs. Borrowings under the Credit Facility generally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future principal payments, net of discounts, premiums, and debt issuance costs, for our debt at year-end 2023:</w:t>
      </w:r>
    </w:p>
    <w:p>
      <w:pPr>
        <w:spacing w:after="0" w:line="205" w:lineRule="exact"/>
        <w:rPr>
          <w:sz w:val="20"/>
          <w:szCs w:val="20"/>
          <w:color w:val="auto"/>
        </w:rPr>
      </w:pPr>
    </w:p>
    <w:tbl>
      <w:tblPr>
        <w:tblLayout w:type="fixed"/>
        <w:tblInd w:w="2100" w:type="dxa"/>
        <w:tblCellMar>
          <w:top w:w="0" w:type="dxa"/>
          <w:left w:w="0" w:type="dxa"/>
          <w:bottom w:w="0" w:type="dxa"/>
          <w:right w:w="0" w:type="dxa"/>
        </w:tblCellMar>
      </w:tblPr>
      <w:tr>
        <w:trPr>
          <w:trHeight w:val="19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Debt Principal Payments </w:t>
            </w: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w:t>
            </w:r>
          </w:p>
        </w:tc>
      </w:tr>
      <w:tr>
        <w:trPr>
          <w:trHeight w:val="19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1,310</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1,202</w:t>
            </w:r>
          </w:p>
        </w:tc>
      </w:tr>
      <w:tr>
        <w:trPr>
          <w:trHeight w:val="19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2,419</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1,447</w:t>
            </w:r>
          </w:p>
        </w:tc>
      </w:tr>
      <w:tr>
        <w:trPr>
          <w:trHeight w:val="19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4,942</w:t>
            </w:r>
          </w:p>
        </w:tc>
      </w:tr>
      <w:tr>
        <w:trPr>
          <w:trHeight w:val="22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2023</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11,873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paid cash for interest, net of amounts capitalized, of $476 million in 2023, $345 million in 2022, and $391 million in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INTANGIBLE ASSETS AND GOODWILL</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composition of our intangible assets at year-end 2023 and 2022:</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Year-End 2023</w:t>
            </w:r>
          </w:p>
        </w:tc>
        <w:tc>
          <w:tcPr>
            <w:tcW w:w="16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At Year-End 2022</w:t>
            </w:r>
          </w:p>
        </w:tc>
      </w:tr>
      <w:tr>
        <w:trPr>
          <w:trHeight w:val="23"/>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5"/>
        </w:trPr>
        <w:tc>
          <w:tcPr>
            <w:tcW w:w="7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Costs incurred to obtain contracts with customers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1,995</w:t>
            </w:r>
          </w:p>
        </w:tc>
      </w:tr>
      <w:tr>
        <w:trPr>
          <w:trHeight w:val="203"/>
        </w:trPr>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Contracts acquired in business combinations and other</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2,173</w:t>
            </w:r>
          </w:p>
        </w:tc>
      </w:tr>
      <w:tr>
        <w:trPr>
          <w:trHeight w:val="195"/>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4,168</w:t>
            </w:r>
          </w:p>
        </w:tc>
      </w:tr>
      <w:tr>
        <w:trPr>
          <w:trHeight w:val="203"/>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rPr>
              <w:t>(1,172)</w:t>
            </w:r>
          </w:p>
        </w:tc>
      </w:tr>
      <w:tr>
        <w:trPr>
          <w:trHeight w:val="195"/>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2,996</w:t>
            </w:r>
          </w:p>
        </w:tc>
      </w:tr>
      <w:tr>
        <w:trPr>
          <w:trHeight w:val="20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Indefinite-lived Intangible Brand Assets</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5,751</w:t>
            </w:r>
          </w:p>
        </w:tc>
      </w:tr>
      <w:tr>
        <w:trPr>
          <w:trHeight w:val="196"/>
        </w:trPr>
        <w:tc>
          <w:tcPr>
            <w:tcW w:w="74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center"/>
              <w:ind w:left="888"/>
              <w:spacing w:after="0"/>
              <w:rPr>
                <w:sz w:val="20"/>
                <w:szCs w:val="20"/>
                <w:color w:val="auto"/>
              </w:rPr>
            </w:pPr>
            <w:r>
              <w:rPr>
                <w:rFonts w:ascii="Times New Roman" w:cs="Times New Roman" w:eastAsia="Times New Roman" w:hAnsi="Times New Roman"/>
                <w:sz w:val="14"/>
                <w:szCs w:val="14"/>
                <w:color w:val="auto"/>
              </w:rPr>
              <w:t>9,190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center"/>
              <w:ind w:left="888"/>
              <w:spacing w:after="0"/>
              <w:rPr>
                <w:sz w:val="20"/>
                <w:szCs w:val="20"/>
                <w:color w:val="auto"/>
              </w:rPr>
            </w:pPr>
            <w:r>
              <w:rPr>
                <w:rFonts w:ascii="Times New Roman" w:cs="Times New Roman" w:eastAsia="Times New Roman" w:hAnsi="Times New Roman"/>
                <w:sz w:val="14"/>
                <w:szCs w:val="14"/>
                <w:color w:val="auto"/>
              </w:rPr>
              <w:t>8,747</w:t>
            </w:r>
          </w:p>
        </w:tc>
      </w:tr>
      <w:tr>
        <w:trPr>
          <w:trHeight w:val="27"/>
        </w:trPr>
        <w:tc>
          <w:tcPr>
            <w:tcW w:w="7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capitalize direct costs that we incur to obtain management, franchise, and license agreements. We amortize these costs on a straight-line basis over the initial term of the agreements, generally ranging from 15 to 30 years.</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contracts acquired in business combinations and other intangible assets, we recorded amortization expense of $226 million in 2023, $197 million in 2022, and $165 million in 2021 (of which $122 million in 2023, $83 million in 2022, and $62 million in 2021 was included in the “Reimbursed expenses” caption of our Income Statements). For these assets, we estimate that our aggregate amortization expense will be $206 million in 2024, $178 million in 2025, $148 million in 2026, $126 million in 2027, and $94 million in 2028.</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carrying amount of our goodwill at year-end 2023 and 2022:</w:t>
      </w:r>
    </w:p>
    <w:p>
      <w:pPr>
        <w:spacing w:after="0" w:line="205" w:lineRule="exact"/>
        <w:rPr>
          <w:sz w:val="20"/>
          <w:szCs w:val="20"/>
          <w:color w:val="auto"/>
        </w:rPr>
      </w:pPr>
    </w:p>
    <w:tbl>
      <w:tblPr>
        <w:tblLayout w:type="fixed"/>
        <w:tblInd w:w="1960" w:type="dxa"/>
        <w:tblCellMar>
          <w:top w:w="0" w:type="dxa"/>
          <w:left w:w="0" w:type="dxa"/>
          <w:bottom w:w="0" w:type="dxa"/>
          <w:right w:w="0" w:type="dxa"/>
        </w:tblCellMar>
      </w:tblP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Goodwill</w:t>
            </w:r>
          </w:p>
        </w:tc>
      </w:tr>
      <w:tr>
        <w:trPr>
          <w:trHeight w:val="23"/>
        </w:trPr>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w:t>
            </w:r>
          </w:p>
        </w:tc>
      </w:tr>
      <w:tr>
        <w:trPr>
          <w:trHeight w:val="196"/>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PROPERTY AND EQUIPMENT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composition of our property and equipment balances at year-end 2023 and 2022:</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At Year-End 2023</w:t>
            </w:r>
          </w:p>
        </w:tc>
        <w:tc>
          <w:tcPr>
            <w:tcW w:w="140" w:type="dxa"/>
            <w:vAlign w:val="bottom"/>
          </w:tcPr>
          <w:p>
            <w:pPr>
              <w:spacing w:after="0"/>
              <w:rPr>
                <w:sz w:val="16"/>
                <w:szCs w:val="16"/>
                <w:color w:val="auto"/>
              </w:rPr>
            </w:pPr>
          </w:p>
        </w:tc>
        <w:tc>
          <w:tcPr>
            <w:tcW w:w="14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At Year-End 2022</w:t>
            </w:r>
          </w:p>
        </w:tc>
      </w:tr>
      <w:tr>
        <w:trPr>
          <w:trHeight w:val="23"/>
        </w:trPr>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w:t>
            </w:r>
          </w:p>
        </w:tc>
      </w:tr>
      <w:tr>
        <w:trPr>
          <w:trHeight w:val="19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w:t>
            </w: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w:t>
            </w:r>
          </w:p>
        </w:tc>
      </w:tr>
      <w:tr>
        <w:trPr>
          <w:trHeight w:val="19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r>
      <w:tr>
        <w:trPr>
          <w:trHeight w:val="203"/>
        </w:trPr>
        <w:tc>
          <w:tcPr>
            <w:tcW w:w="6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2,459</w:t>
            </w:r>
          </w:p>
        </w:tc>
      </w:tr>
      <w:tr>
        <w:trPr>
          <w:trHeight w:val="19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221"/>
        </w:trPr>
        <w:tc>
          <w:tcPr>
            <w:tcW w:w="6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record property and equipment at cost, including interest and real estate taxes we incur during development and construction.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$122 million in 2023, $114 million in 2022, and $138 million in 2021 (of which $37 million in 2023, $35 million in 2022, and $49 million in 2021 was included in the “Reimbursed expenses” caption of our Income Statements). Fixed assets attributed to operations located outside the U.S. were $552 million at year-end 2023 and $592 million at year-end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FINANCIAL INSTRUMENTS</w:t>
      </w:r>
    </w:p>
    <w:p>
      <w:pPr>
        <w:spacing w:after="0" w:line="17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fair values of our current assets and current liabilities approximate their reported carrying amounts. We present the carrying amounts and the fair values of noncurrent financial assets and liabilities that qualify as financial instruments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At Year-End 2023</w:t>
            </w:r>
          </w:p>
        </w:tc>
        <w:tc>
          <w:tcPr>
            <w:tcW w:w="260" w:type="dxa"/>
            <w:vAlign w:val="bottom"/>
          </w:tcPr>
          <w:p>
            <w:pPr>
              <w:spacing w:after="0"/>
              <w:rPr>
                <w:sz w:val="16"/>
                <w:szCs w:val="16"/>
                <w:color w:val="auto"/>
              </w:rPr>
            </w:pPr>
          </w:p>
        </w:tc>
        <w:tc>
          <w:tcPr>
            <w:tcW w:w="272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At Year-End 2022</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2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and other loans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financial assets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19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debt</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financial liabilities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estimate the fair value of our mezzanine and other loans by discounting cash flows using risk-adjusted rates, both of which are Level 3 inputs.</w:t>
      </w:r>
    </w:p>
    <w:p>
      <w:pPr>
        <w:spacing w:after="0" w:line="17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determine the fair value of our Senior Notes using quoted market prices, which are directly observable Level 1 inputs. The carrying amount of our commercial paper borrowings approximate fair value due to their short maturity and because they bear interest at a market rate. We estimate the fair value of our other long-term debt, excluding leases, using quoted market prices, which are directly observable Level 1 inputs. Our other noncurrent liabilities consist of guarantees. As we note in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“Guarantees” caption of Note 2, we measure our liability for guarantees at fair value on a nonrecurring basis, which is when we issue or modify a guarantee using Level 3 internally developed inputs. At year-end 2023 and year-end 2022, we determined that the carrying amounts of our guarantee liabilities approximated their fair values based on Level 3 inputs.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“Fair Value Measurements” caption of Note 2 for more information on the input levels we use in determining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LOSS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accumulated other comprehensive loss activity for 2023, 2022, and 2021:</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40" w:type="dxa"/>
            <w:vAlign w:val="bottom"/>
          </w:tcPr>
          <w:p>
            <w:pPr>
              <w:spacing w:after="0"/>
              <w:rPr>
                <w:sz w:val="13"/>
                <w:szCs w:val="13"/>
                <w:color w:val="auto"/>
              </w:rPr>
            </w:pPr>
          </w:p>
        </w:tc>
        <w:tc>
          <w:tcPr>
            <w:tcW w:w="1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3"/>
                <w:szCs w:val="13"/>
                <w:color w:val="auto"/>
              </w:rPr>
            </w:pP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0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2020</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4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Other comprehensive (loss) income before reclassifications </w:t>
            </w:r>
            <w:r>
              <w:rPr>
                <w:rFonts w:ascii="Times New Roman" w:cs="Times New Roman" w:eastAsia="Times New Roman" w:hAnsi="Times New Roman"/>
                <w:sz w:val="9"/>
                <w:szCs w:val="9"/>
                <w:color w:val="auto"/>
              </w:rPr>
              <w:t>(1)</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Reclassification adjustments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other comprehensive (loss) income</w:t>
            </w:r>
          </w:p>
        </w:tc>
        <w:tc>
          <w:tcPr>
            <w:tcW w:w="3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5"/>
        </w:trPr>
        <w:tc>
          <w:tcPr>
            <w:tcW w:w="4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Other comprehensive (loss) income before reclassifications </w:t>
            </w:r>
            <w:r>
              <w:rPr>
                <w:rFonts w:ascii="Times New Roman" w:cs="Times New Roman" w:eastAsia="Times New Roman" w:hAnsi="Times New Roman"/>
                <w:sz w:val="9"/>
                <w:szCs w:val="9"/>
                <w:color w:val="auto"/>
              </w:rPr>
              <w:t>(1)</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Reclassification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other comprehensive (loss) income</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206"/>
        </w:trPr>
        <w:tc>
          <w:tcPr>
            <w:tcW w:w="4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w:t>
            </w:r>
            <w:r>
              <w:rPr>
                <w:rFonts w:ascii="Times New Roman" w:cs="Times New Roman" w:eastAsia="Times New Roman" w:hAnsi="Times New Roman"/>
                <w:sz w:val="9"/>
                <w:szCs w:val="9"/>
                <w:color w:val="auto"/>
              </w:rPr>
              <w:t>(1)</w:t>
            </w: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Reclassification adjustments</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3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2023</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40" w:hanging="332"/>
        <w:spacing w:after="0" w:line="221" w:lineRule="auto"/>
        <w:tabs>
          <w:tab w:leader="none" w:pos="32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comprehensive income (loss) before reclassifications for foreign currency translation adjustments includes intra-entity foreign currency transactions that are of a long-term investment nature, which resulted in (losses)/gains of $(28) million for 2023, $32 million for 2022, and $40 million for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SEGMENTS</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discuss our operations in the following two operating segments, both of which meet the applicable criteria for separate disclosure as a reportable business segment: (1) U.S. &amp; Canada and (2) International.</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January 2024, we modified our segment structure as a result of a change in the way management intends to evaluate results and allocate resources within the Company. Beginning with the 2024 first quarter, we will report the following four operating segments: (1) U.S. &amp; Canada, (2) Europe, Middle East, and Africa, (3) Asia Pacific excluding China, and (4) Greater China. Our Caribbean and Latin America operating segment will not meet the applicable criteria for separate disclosure as a reportable business segment, and as such, we will include its results in “Unallocated corporate and other.”</w:t>
      </w:r>
    </w:p>
    <w:p>
      <w:pPr>
        <w:spacing w:after="0" w:line="12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 evaluate the performance of our operating segments using “segment profits,” which is based largely on the results of the segment without allocating corporate expenses, income taxes, indirect general, administrative, and other expenses, or merger-related costs. We assign gains and losses, equity in earnings or losses, and direct general, administrative, and other expenses to each of our segments. “Unallocated corporate and other” includes a portion of our revenues (such as fees we receive from our credit card programs and vacation ownership licensing agreements), revenues and expenses for our Loyalty Program, general, administrative, and other expenses, merger-related charges and other expenses, equity in earnings or losses, and other gains or losses that we do not allocate to our segments.</w:t>
      </w:r>
    </w:p>
    <w:p>
      <w:pPr>
        <w:spacing w:after="0" w:line="133"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monitors assets for the consolidated Company but does not use assets by operating segment when assessing performance or making operating segment resource allocations.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segment and major revenue stream for the last three fiscal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fee revenues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fee revenues</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14,456</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12,848</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reportable segment revenue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22,151</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12,610</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corporate and other</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Revenues attributed to operations located outside the U.S. were $5,160 million in 2023, $4,032 million in 2022, and $2,615 million in 2021, including cost reimbursement revenue outside the U.S. of $2,806 million in 2023, $2,231 million in 2022, and $1,553 million in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U.S. &amp; Canada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r>
      <w:tr>
        <w:trPr>
          <w:trHeight w:val="203"/>
        </w:trPr>
        <w:tc>
          <w:tcPr>
            <w:tcW w:w="66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International </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corporate and other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ind w:left="260" w:hanging="252"/>
        <w:spacing w:after="0" w:line="223" w:lineRule="auto"/>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cost reimbursements, net of $57 million in 2023, $134 million in 2022, and $51 million in 2021.</w:t>
      </w:r>
    </w:p>
    <w:p>
      <w:pPr>
        <w:spacing w:after="0" w:line="4"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Includes cost reimbursements, net of $17 million in 2023, $49 million in 2022, and $14 million in 2021.</w:t>
      </w:r>
    </w:p>
    <w:p>
      <w:pPr>
        <w:spacing w:after="0" w:line="15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Segment profits attributed to operations located outside the U.S. were $1,258 million in 2023, $898 million in 2022, and $297 million in 2021, including cost reimbursements, net (cost reimbursement revenue, net of reimbursed expenses) outside the U.S. of $23 million in 2023, $67 million in 2022, and $14 million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Other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corporate and other</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66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7"/>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73" w:lineRule="exact"/>
        <w:rPr>
          <w:sz w:val="20"/>
          <w:szCs w:val="20"/>
          <w:color w:val="auto"/>
        </w:rPr>
      </w:pPr>
    </w:p>
    <w:p>
      <w:pPr>
        <w:jc w:val="both"/>
        <w:ind w:right="140" w:firstLine="405"/>
        <w:spacing w:after="0" w:line="282" w:lineRule="auto"/>
        <w:rPr>
          <w:sz w:val="20"/>
          <w:szCs w:val="20"/>
          <w:color w:val="auto"/>
        </w:rPr>
      </w:pPr>
      <w:r>
        <w:rPr>
          <w:rFonts w:ascii="Times New Roman" w:cs="Times New Roman" w:eastAsia="Times New Roman" w:hAnsi="Times New Roman"/>
          <w:sz w:val="18"/>
          <w:szCs w:val="18"/>
          <w:color w:val="auto"/>
        </w:rPr>
        <w:t>We have equity method investments in entities that own or lease properties for which we provide management services and receive fees. In addition, in some cases we provide loans, preferred equity, or guarantees to these entities.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Income Statement data resulting from transactions with these related parties. This table does not include our Financial Statement captions with insignificant related party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Reimbursed expenses</w:t>
            </w:r>
          </w:p>
        </w:tc>
        <w:tc>
          <w:tcPr>
            <w:tcW w:w="1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3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carrying amount of our equity method investments was $308 million at year-end 2023 and $335 million at year-end 2022. This value exceeded our share of the book value of the investees’ net assets by $231 million at year-end 2023 and $238 million at year-end 2022, primarily due to the value that we assigned to land, contracts, and buildings owned by the investees.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Parties</w:t>
      </w:r>
    </w:p>
    <w:p>
      <w:pPr>
        <w:spacing w:after="0" w:line="17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earned management fees of approximately $13 million in 2023, $11 million in 2022, and $6 million in 2021, plus reimbursement of certain expenses, from our operation of properties in which JWM Family Enterprises, L.P., which is beneficially owned and controlled by J.W. Marriott, Jr., Deborah Marriott Harrison, David S. Marriott, and other members of the Marriott family, indirectly holds varying percentages of ownership. We earned gross fee revenues of approximately $4 million in 2023, $4 million in 2022, and $1 million in 2021, plus reimbursement of certain expenses, from managed and franchised properties in which other members of the Marriott family hold varying interests.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evaluated the effectiveness of our disclosure controls and procedures (as such term is defined in Rules 13a-15(e) and 15d-15(e) under the Securities Exchange Act of 1934 (the “Exchange Act”)) as of the end of the period covered by this annual report under the supervision and with the participation of our management, including our Chief Executive Officer and Chief Financial Officer.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have set forth management’s report on internal control over financial reporting and the attestation report of our independent registered public accounting firm on our internal control over financial reporting in Part II, Item 8 of this Form 10-K, and we incorporate those reports here by reference.</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made no changes in internal control over financial reporting during the 2023 fourth quarter that materially affected, or are reasonably likely to materially affect, our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75"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During the 2023 fourth quarter, no director or Section 16 officer adopted or terminated any Rule 10b5-1 plans or non-Rule 10b5-1 trading arrangements.</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14.</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described below, we incorporate by reference in this Annual Report on Form 10-K certain information appearing in the Proxy Statement that we will furnish to our stockholders for our 2024 Annual Meeting of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incorporate this information by reference to “Nominees to our Board of</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Directors,” “Committees of the Board — Audit Committee,” “Transactions</w:t>
            </w:r>
          </w:p>
        </w:tc>
      </w:tr>
      <w:tr>
        <w:trPr>
          <w:trHeight w:val="184"/>
        </w:trPr>
        <w:tc>
          <w:tcPr>
            <w:tcW w:w="5500" w:type="dxa"/>
            <w:vAlign w:val="bottom"/>
          </w:tcPr>
          <w:p>
            <w:pPr>
              <w:spacing w:after="0"/>
              <w:rPr>
                <w:sz w:val="16"/>
                <w:szCs w:val="16"/>
                <w:color w:val="auto"/>
              </w:rPr>
            </w:pPr>
          </w:p>
        </w:tc>
        <w:tc>
          <w:tcPr>
            <w:tcW w:w="57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with Related Persons,” “Delinquent Section 16(a) Reports,” and “Selection</w:t>
            </w:r>
          </w:p>
        </w:tc>
      </w:tr>
      <w:tr>
        <w:trPr>
          <w:trHeight w:val="180"/>
        </w:trPr>
        <w:tc>
          <w:tcPr>
            <w:tcW w:w="5500" w:type="dxa"/>
            <w:vAlign w:val="bottom"/>
          </w:tcPr>
          <w:p>
            <w:pPr>
              <w:spacing w:after="0"/>
              <w:rPr>
                <w:sz w:val="15"/>
                <w:szCs w:val="15"/>
                <w:color w:val="auto"/>
              </w:rPr>
            </w:pPr>
          </w:p>
        </w:tc>
        <w:tc>
          <w:tcPr>
            <w:tcW w:w="574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of Director Nominees” sections of our Proxy Statement. We have included</w:t>
            </w:r>
          </w:p>
        </w:tc>
      </w:tr>
      <w:tr>
        <w:trPr>
          <w:trHeight w:val="234"/>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regarding our executive officers and our Code of Ethics below.</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incorporate this information by reference to the “Executive and Director</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Compensation” and “Compensation Committee Interlocks and Insider</w:t>
            </w:r>
          </w:p>
        </w:tc>
      </w:tr>
      <w:tr>
        <w:trPr>
          <w:trHeight w:val="234"/>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 sections of our Proxy Statement.</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incorporate this information by reference to the “Securities Authorized</w:t>
            </w:r>
          </w:p>
        </w:tc>
      </w:tr>
      <w:tr>
        <w:trPr>
          <w:trHeight w:val="175"/>
        </w:trPr>
        <w:tc>
          <w:tcPr>
            <w:tcW w:w="5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Management and Related Stockholder Matters.</w:t>
            </w:r>
          </w:p>
        </w:tc>
        <w:tc>
          <w:tcPr>
            <w:tcW w:w="5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for Issuance Under Equity Compensation Plans” and the “Stock Ownership”</w:t>
            </w:r>
          </w:p>
        </w:tc>
      </w:tr>
      <w:tr>
        <w:trPr>
          <w:trHeight w:val="234"/>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sections of our Proxy Statement.</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w:t>
            </w: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incorporate this information by reference to the “Transactions with</w:t>
            </w:r>
          </w:p>
        </w:tc>
      </w:tr>
      <w:tr>
        <w:trPr>
          <w:trHeight w:val="176"/>
        </w:trPr>
        <w:tc>
          <w:tcPr>
            <w:tcW w:w="5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Independence.</w:t>
            </w:r>
          </w:p>
        </w:tc>
        <w:tc>
          <w:tcPr>
            <w:tcW w:w="5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Related Persons” and “Director Independence” sections of our Proxy</w:t>
            </w:r>
          </w:p>
        </w:tc>
      </w:tr>
      <w:tr>
        <w:trPr>
          <w:trHeight w:val="234"/>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incorporate this information by reference to the “Independent Registered</w:t>
            </w:r>
          </w:p>
        </w:tc>
      </w:tr>
      <w:tr>
        <w:trPr>
          <w:trHeight w:val="176"/>
        </w:trPr>
        <w:tc>
          <w:tcPr>
            <w:tcW w:w="5500" w:type="dxa"/>
            <w:vAlign w:val="bottom"/>
          </w:tcPr>
          <w:p>
            <w:pPr>
              <w:spacing w:after="0"/>
              <w:rPr>
                <w:sz w:val="15"/>
                <w:szCs w:val="15"/>
                <w:color w:val="auto"/>
              </w:rPr>
            </w:pPr>
          </w:p>
        </w:tc>
        <w:tc>
          <w:tcPr>
            <w:tcW w:w="5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Public Accounting Firm Fee Disclosure” and the “Pre-Approval of</w:t>
            </w:r>
          </w:p>
        </w:tc>
      </w:tr>
      <w:tr>
        <w:trPr>
          <w:trHeight w:val="184"/>
        </w:trPr>
        <w:tc>
          <w:tcPr>
            <w:tcW w:w="5500" w:type="dxa"/>
            <w:vAlign w:val="bottom"/>
          </w:tcPr>
          <w:p>
            <w:pPr>
              <w:spacing w:after="0"/>
              <w:rPr>
                <w:sz w:val="16"/>
                <w:szCs w:val="16"/>
                <w:color w:val="auto"/>
              </w:rPr>
            </w:pPr>
          </w:p>
        </w:tc>
        <w:tc>
          <w:tcPr>
            <w:tcW w:w="57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Independent Auditor Fees and Services Policy” sections of our Proxy</w:t>
            </w:r>
          </w:p>
        </w:tc>
      </w:tr>
      <w:tr>
        <w:trPr>
          <w:trHeight w:val="234"/>
        </w:trPr>
        <w:tc>
          <w:tcPr>
            <w:tcW w:w="550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w:t>
            </w:r>
          </w:p>
        </w:tc>
      </w:tr>
      <w:tr>
        <w:trPr>
          <w:trHeight w:val="850"/>
        </w:trPr>
        <w:tc>
          <w:tcPr>
            <w:tcW w:w="5500" w:type="dxa"/>
            <w:vAlign w:val="bottom"/>
          </w:tcPr>
          <w:p>
            <w:pPr>
              <w:spacing w:after="0"/>
              <w:rPr>
                <w:sz w:val="24"/>
                <w:szCs w:val="24"/>
                <w:color w:val="auto"/>
              </w:rPr>
            </w:pPr>
          </w:p>
        </w:tc>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62</w:t>
            </w:r>
          </w:p>
        </w:tc>
      </w:tr>
      <w:tr>
        <w:trPr>
          <w:trHeight w:val="115"/>
        </w:trPr>
        <w:tc>
          <w:tcPr>
            <w:tcW w:w="550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include below certain information on our executive officers. This information is as of February 1, 2024, except where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6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r>
      <w:tr>
        <w:trPr>
          <w:trHeight w:val="169"/>
        </w:trPr>
        <w:tc>
          <w:tcPr>
            <w:tcW w:w="36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Anthony G. (Tony) Capuano</w:t>
            </w:r>
          </w:p>
        </w:tc>
        <w:tc>
          <w:tcPr>
            <w:tcW w:w="120" w:type="dxa"/>
            <w:vAlign w:val="bottom"/>
          </w:tcPr>
          <w:p>
            <w:pPr>
              <w:spacing w:after="0"/>
              <w:rPr>
                <w:sz w:val="14"/>
                <w:szCs w:val="14"/>
                <w:color w:val="auto"/>
              </w:rPr>
            </w:pPr>
          </w:p>
        </w:tc>
        <w:tc>
          <w:tcPr>
            <w:tcW w:w="4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4"/>
                <w:szCs w:val="14"/>
                <w:color w:val="auto"/>
              </w:rPr>
            </w:pPr>
          </w:p>
        </w:tc>
        <w:tc>
          <w:tcPr>
            <w:tcW w:w="6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Tony Capuano was appointed Chief Executive Officer (“CEO”) in February 2021 and was</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additionally designated President in February 2023. Prior to his appointment as CEO, Mr.</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Capuano was Group President, Global Development, Design and Operations Services, a role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he assumed in January 2020. In that role, he was responsible for leading the Company’s global</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and design efforts and overseeing the Company’s Global Operations discipline.</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Mr. Capuano began his Marriott career in 1995 as part of the Market Planning and Feasibility</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team. Between 1997 and 2005, he led Marriott’s full-service development efforts in the</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Western U.S. and Canada. From 2005 to 2008, Mr. Capuano served as Senior Vice President</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 full-service development for North America. In 2008, his responsibilities expanded to</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 all of U.S. and Canada and the Caribbean and Latin America, and he became</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Executive Vice President and Global Chief Development Officer in 2009. Mr. Capuano earned</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his bachelor’s degree in Hotel Administration from Cornell University. He is a member of the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Cornell Hotel Society, The Cornell School of Hotel Administration Dean’s Advisory Board,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Business Roundtable, and the American Hotel and Lodging Association’s IREFAC</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Council. Additionally, Mr. Capuano serves on the Board of Directors of McDonald’s</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and Save Venice, a nonprofit organization dedicated to preserving the artistic</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heritage of Venice, Italy.</w:t>
            </w:r>
          </w:p>
        </w:tc>
      </w:tr>
      <w:tr>
        <w:trPr>
          <w:trHeight w:val="40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Satyajit (Satya) Anand</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59   Satya Anand was appointed President, Europe, Middle East &amp; Africa (EMEA) in October</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Europe, Middle East &amp; Africa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2020, and is responsible for developing and managing Marriott's portfolio in the region. Mr.</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Anand began his career with Marriott International in 1988 and prior to assuming his role as</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EMEA, he served as Chief Operations Officer, Luxury &amp; Southern Europe and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Global Design EMEA from July 2016. Prior to this, Mr. Anand was Marriott’s Chief Financial</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 for Europe for four years and held Area Vice President roles for Western and Central</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 respectively as well as various Cluster General Manager, operations and finance</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positions both on and above property. Mr. Anand holds a bachelor’s degree in Accounting</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Bangalore’s MES College of Commerce and completed his Diploma in Hotel and</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Tourism Management from the Institute of Tourism &amp; Hotel Management in Semmering,</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40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T. (Ty) Breland</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48   Ty Breland was appointed Executive Vice President and Chief Human Resources Officer</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effective October 2021. Prior to that appointment, Mr. Breland served as Global HR Officer</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Human Resources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 Talent Development &amp; Organizational Capability, a role he assumed in 2016. In that role,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Mr. Breland had executive oversight for talent management, including leadership</w:t>
            </w:r>
          </w:p>
        </w:tc>
      </w:t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development, organizational capability, and change management. Mr. Breland also oversaw</w:t>
            </w:r>
          </w:p>
        </w:tc>
      </w:tr>
    </w:tbl>
    <w:p>
      <w:pPr>
        <w:ind w:left="4360" w:right="120"/>
        <w:spacing w:after="0" w:line="208" w:lineRule="auto"/>
        <w:rPr>
          <w:sz w:val="20"/>
          <w:szCs w:val="20"/>
          <w:color w:val="auto"/>
        </w:rPr>
      </w:pPr>
      <w:r>
        <w:rPr>
          <w:rFonts w:ascii="Times New Roman" w:cs="Times New Roman" w:eastAsia="Times New Roman" w:hAnsi="Times New Roman"/>
          <w:sz w:val="18"/>
          <w:szCs w:val="18"/>
          <w:color w:val="auto"/>
        </w:rPr>
        <w:t>The Ritz-Carlton Leadership Center and served as the senior Human Resources leader for the Company’s Global Development, Design &amp; Operations Services disciplines. Mr. Breland joined Marriott in 2004 as a member of the Company’s Talent Management and Analytics</w:t>
      </w:r>
    </w:p>
    <w:p>
      <w:pPr>
        <w:spacing w:after="0" w:line="2" w:lineRule="exact"/>
        <w:rPr>
          <w:sz w:val="20"/>
          <w:szCs w:val="20"/>
          <w:color w:val="auto"/>
        </w:rPr>
      </w:pPr>
    </w:p>
    <w:p>
      <w:pPr>
        <w:ind w:left="4360" w:right="40"/>
        <w:spacing w:after="0" w:line="220" w:lineRule="auto"/>
        <w:rPr>
          <w:sz w:val="20"/>
          <w:szCs w:val="20"/>
          <w:color w:val="auto"/>
        </w:rPr>
      </w:pPr>
      <w:r>
        <w:rPr>
          <w:rFonts w:ascii="Times New Roman" w:cs="Times New Roman" w:eastAsia="Times New Roman" w:hAnsi="Times New Roman"/>
          <w:sz w:val="17"/>
          <w:szCs w:val="17"/>
          <w:color w:val="auto"/>
        </w:rPr>
        <w:t>group and held a variety of other senior human resources leadership positions, including Global HR Integration Officer, responsible for the Human Resources integration for Marriott’s merger with Starwood Hotels &amp; Resorts. From 2011 to 2015, Mr. Breland served as Regional</w:t>
      </w:r>
    </w:p>
    <w:p>
      <w:pPr>
        <w:spacing w:after="0" w:line="2" w:lineRule="exact"/>
        <w:rPr>
          <w:sz w:val="20"/>
          <w:szCs w:val="20"/>
          <w:color w:val="auto"/>
        </w:rPr>
      </w:pPr>
    </w:p>
    <w:p>
      <w:pPr>
        <w:ind w:left="4360" w:right="60"/>
        <w:spacing w:after="0" w:line="231" w:lineRule="auto"/>
        <w:rPr>
          <w:sz w:val="20"/>
          <w:szCs w:val="20"/>
          <w:color w:val="auto"/>
        </w:rPr>
      </w:pPr>
      <w:r>
        <w:rPr>
          <w:rFonts w:ascii="Times New Roman" w:cs="Times New Roman" w:eastAsia="Times New Roman" w:hAnsi="Times New Roman"/>
          <w:sz w:val="17"/>
          <w:szCs w:val="17"/>
          <w:color w:val="auto"/>
        </w:rPr>
        <w:t>Vice President of Human Resources for the Eastern Region of the U.S. Mr. Breland earned his Bachelor of Science in Psychology and Ph.D. in Industrial/Organizational Psychology from Virginia Tech, where he is a board member for the Virginia Tech Hospitality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6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r>
      <w:tr>
        <w:trPr>
          <w:trHeight w:val="169"/>
        </w:trPr>
        <w:tc>
          <w:tcPr>
            <w:tcW w:w="36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William P. (Liam) Brown</w:t>
            </w:r>
          </w:p>
        </w:tc>
        <w:tc>
          <w:tcPr>
            <w:tcW w:w="120" w:type="dxa"/>
            <w:vAlign w:val="bottom"/>
          </w:tcPr>
          <w:p>
            <w:pPr>
              <w:spacing w:after="0"/>
              <w:rPr>
                <w:sz w:val="14"/>
                <w:szCs w:val="14"/>
                <w:color w:val="auto"/>
              </w:rPr>
            </w:pPr>
          </w:p>
        </w:tc>
        <w:tc>
          <w:tcPr>
            <w:tcW w:w="4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4"/>
                <w:szCs w:val="14"/>
                <w:color w:val="auto"/>
              </w:rPr>
            </w:pPr>
          </w:p>
        </w:tc>
        <w:tc>
          <w:tcPr>
            <w:tcW w:w="6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Liam Brown was appointed Group President, United States and Canada effective January</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Group President, United States and Canada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2021, and is responsible for developing and managing Marriott's portfolio in the region. Prior</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to this role, Mr. Brown served as the President and Managing Director of Europe from 2018 to</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2019, followed by Group President of Europe, Middle East &amp; Africa in 2020. Mr. Brown</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joined Marriott in 1989 and served as President for Franchising, Owner Services and Managed</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by Marriott Select Brands, North America from 2012 to 2018. Other key positions previously</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held by Mr. Brown include Chief Operations Officer for the Americas for Select Service &amp;</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Extended Stay Lodging and Owner &amp; Franchise Services, as well as Senior Vice President and</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of Development for Marriott’s Select Service &amp; Extended Stay</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lodging products. Mr. Brown also serves on the Executive Committee of the American Hotel</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Lodging Association. He holds a Hotel Diploma and Business Degree from the Dublin</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Institute of Technology, Trinity College and earned his Master of Business Administration</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the Robert H. Smith School of Management at the University of Maryland.</w:t>
            </w:r>
          </w:p>
        </w:tc>
      </w:tr>
      <w:tr>
        <w:trPr>
          <w:trHeight w:val="38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Felitia O. Lee</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62   Felitia Lee was appointed Marriott’s Controller and Chief Accounting Officer and principal</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Controller and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accounting officer effective August 2020, with responsibility for the global accounting</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Accounting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operations of the Company including oversight of financial reporting and analysis, accounting</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policy, general accounting, finance and accounting governance, finance shared services, and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contract compliance. Ms. Lee joined Marriott in May 2020, supporting the</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of the Company’s accounting operations. Prior to joining Marriott, Ms. Lee was</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Senior Vice President and Controller for Kohl’s Corporation since 2018, and prior to</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joining Kohl’s Corporation, Ms. Lee held the title of Vice President and Controller of the</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Pepsi Beverage Company along with a number of other leadership positions with PepsiCo,</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 She earned her Bachelor of Science in Accounting from Santa Clara University. She is a</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Certified Public Accountant and a member of the American Institute of Certified Public</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Accountants.</w:t>
            </w:r>
          </w:p>
        </w:tc>
      </w:tr>
      <w:tr>
        <w:trPr>
          <w:trHeight w:val="39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Yibing Mao</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60   Yibing Mao was appointed President, Greater China in February 2023, and is responsible for</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Greater China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developing and managing Marriott's portfolio in the region. Ms. Mao joined Marriott in 1996</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held the title of Senior Vice President &amp; Chief Counsel, Asia Pacific from May 2016 until</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she stepped down in 2020. From 2021 to February 2023, she was a member of the Board of</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Directors of Las Vegas Sands Corporation. She currently serves on the Leadership Council of</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Duke Women’s Impact Network. Ms. Mao received a Bachelor of Laws from Jilin University,</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Master of Law from Peking University, and a J.D. degree from Duke University School of</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w:t>
            </w:r>
          </w:p>
        </w:tc>
      </w:tr>
      <w:tr>
        <w:trPr>
          <w:trHeight w:val="40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Rajeev (Raj) Menon</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55   Rajeev Menon was appointed President, Asia Pacific excluding China (APEC) in October</w:t>
            </w:r>
          </w:p>
        </w:tc>
      </w:tr>
      <w:tr>
        <w:trPr>
          <w:trHeight w:val="204"/>
        </w:trPr>
        <w:tc>
          <w:tcPr>
            <w:tcW w:w="37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President, Asia Pacific Excluding China</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2019, and is responsible for developing and managing Marriott's portfolio in the region. Prior</w:t>
            </w:r>
          </w:p>
        </w:tc>
      </w:tr>
    </w:tbl>
    <w:p>
      <w:pPr>
        <w:ind w:left="4360" w:right="60"/>
        <w:spacing w:after="0" w:line="220" w:lineRule="auto"/>
        <w:rPr>
          <w:sz w:val="20"/>
          <w:szCs w:val="20"/>
          <w:color w:val="auto"/>
        </w:rPr>
      </w:pPr>
      <w:r>
        <w:rPr>
          <w:rFonts w:ascii="Times New Roman" w:cs="Times New Roman" w:eastAsia="Times New Roman" w:hAnsi="Times New Roman"/>
          <w:sz w:val="17"/>
          <w:szCs w:val="17"/>
          <w:color w:val="auto"/>
        </w:rPr>
        <w:t>to being appointed President, APEC, Mr. Menon served as the Chief Operating Officer for APEC from March 2015 through September 2019. Mr. Menon joined Marriott International in April 2001 as the General Manager of Renaissance Mumbai Hotel and Convention Center and</w:t>
      </w:r>
    </w:p>
    <w:p>
      <w:pPr>
        <w:spacing w:after="0" w:line="2" w:lineRule="exact"/>
        <w:rPr>
          <w:sz w:val="20"/>
          <w:szCs w:val="20"/>
          <w:color w:val="auto"/>
        </w:rPr>
      </w:pPr>
    </w:p>
    <w:p>
      <w:pPr>
        <w:ind w:left="4360" w:right="500"/>
        <w:spacing w:after="0" w:line="218" w:lineRule="auto"/>
        <w:rPr>
          <w:sz w:val="20"/>
          <w:szCs w:val="20"/>
          <w:color w:val="auto"/>
        </w:rPr>
      </w:pPr>
      <w:r>
        <w:rPr>
          <w:rFonts w:ascii="Times New Roman" w:cs="Times New Roman" w:eastAsia="Times New Roman" w:hAnsi="Times New Roman"/>
          <w:sz w:val="18"/>
          <w:szCs w:val="18"/>
          <w:color w:val="auto"/>
        </w:rPr>
        <w:t>Marriott Executive Apartments, Mumbai. He completed his education including Hotel Management in New Delhi and is also a graduate of the Advance Management Program (AMP Class 194) at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6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r>
      <w:tr>
        <w:trPr>
          <w:trHeight w:val="169"/>
        </w:trPr>
        <w:tc>
          <w:tcPr>
            <w:tcW w:w="36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Kathleen K. (Leeny) Oberg</w:t>
            </w:r>
          </w:p>
        </w:tc>
        <w:tc>
          <w:tcPr>
            <w:tcW w:w="120" w:type="dxa"/>
            <w:vAlign w:val="bottom"/>
          </w:tcPr>
          <w:p>
            <w:pPr>
              <w:spacing w:after="0"/>
              <w:rPr>
                <w:sz w:val="14"/>
                <w:szCs w:val="14"/>
                <w:color w:val="auto"/>
              </w:rPr>
            </w:pPr>
          </w:p>
        </w:tc>
        <w:tc>
          <w:tcPr>
            <w:tcW w:w="4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4"/>
                <w:szCs w:val="14"/>
                <w:color w:val="auto"/>
              </w:rPr>
            </w:pPr>
          </w:p>
        </w:tc>
        <w:tc>
          <w:tcPr>
            <w:tcW w:w="6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Leeny Oberg was appointed Executive Vice President and Chief Financial Officer effective</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Financial Officer and Executive Vice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2016 and was additionally designated Executive Vice President, Business Operations</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Development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 October 2021. In February 2023, Ms. Oberg began leading the Company’s Global</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Development organization and was appointed Chief Financial Officer and Executive Vice</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Development. Previously, Ms. Oberg was the Chief Financial Officer for The Ritz-</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Carlton since 2013. Prior to assuming that role, Ms. Oberg served in a range of financial</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leadership positions with Marriott, including Senior Vice President, Corporate and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Finance and Senior Vice President, International Project Finance and Asset</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for Europe and the Middle East and Africa. Ms. Oberg first joined Marriott as</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 of its Investor Relations group in 1999. Ms. Oberg is an active member of the American</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Hotel and Lodging Association’s IREFAC Council, and she currently serves on the Board of</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Directors of Adobe Inc. She earned her Bachelor of Science in Commerce, with</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concentrations in Finance and Management Information Systems, from the University of</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Virginia, McIntire School of Commerce and received her Master of Business Administration</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Stanford University Graduate School of Business.</w:t>
            </w:r>
          </w:p>
        </w:tc>
      </w:tr>
      <w:tr>
        <w:trPr>
          <w:trHeight w:val="39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Drew L. Pinto</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52   Drew Pinto was appointed Executive Vice President and Chief Revenue &amp; Technology Officer</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Revenue &amp;</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 February 2023, and is responsible for leading global sales and support channels, revenue</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Technology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digital, and information technology strategy for the Company. Since joining the</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in 2004, Mr. Pinto has held various leadership roles, including Global Officer,</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Global Sales, Distribution, and Revenue Management from January 2021 to February 2023</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Senior Vice President, Distribution &amp; Revenue Strategy from January 2019 to January</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2021. Mr. Pinto serves on advisory boards for the American Hotel &amp; Lodging Association and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several industry-related ventures. Mr. Pinto earned a Bachelor of Arts degree from Yale</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University and his Master of Business Administration from The University of Michigan Ross</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School of Business.</w:t>
            </w:r>
          </w:p>
        </w:tc>
      </w:tr>
      <w:tr>
        <w:trPr>
          <w:trHeight w:val="38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Rena Hozore Reiss</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64   Rena Hozore Reiss was appointed Executive Vice President and General Counsel effective</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2017. Ms. Reiss previously held the position of Executive Vice President, General</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General Counsel</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Counsel and Corporate Secretary at Hyatt Hotels. Prior to her position with Hyatt, Ms. Reiss</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was an attorney in Marriott’s law department from 2000 to 2010 building her career in roles</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with increasing responsibility, ultimately holding the position of Senior Vice President and</w:t>
            </w:r>
          </w:p>
        </w:tc>
      </w:tr>
      <w:tr>
        <w:trPr>
          <w:trHeight w:val="180"/>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Associate General Counsel in which she led Marriott’s managed development efforts in the</w:t>
            </w:r>
          </w:p>
        </w:tc>
      </w:t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Americas region. Ms. Reiss serves on the Board of Directors of the American Hotel and</w:t>
            </w: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Lodging Association and of Legal Aid DC. She earned her A.B. from Princeton University</w:t>
            </w: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her J.D. from Harvard Law School.</w:t>
            </w:r>
          </w:p>
        </w:tc>
      </w:tr>
      <w:tr>
        <w:trPr>
          <w:trHeight w:val="39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Peggy F. Roe</w:t>
            </w:r>
          </w:p>
        </w:tc>
        <w:tc>
          <w:tcPr>
            <w:tcW w:w="7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52   Peggy Roe was appointed Executive Vice President and Chief Customer Officer in February</w:t>
            </w:r>
          </w:p>
        </w:tc>
      </w:tr>
      <w:tr>
        <w:trPr>
          <w:trHeight w:val="184"/>
        </w:trPr>
        <w:tc>
          <w:tcPr>
            <w:tcW w:w="3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Customer</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and is responsible for overseeing development and execution of all aspects of Marriott’s</w:t>
            </w: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global consumer strategy. Since joining Marriott in 2003, Ms. Roe has held various leadership</w:t>
            </w:r>
          </w:p>
        </w:tc>
      </w:t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roles focused on growth and innovation. From January 2020 to February 2023, she served as</w:t>
            </w:r>
          </w:p>
        </w:tc>
      </w:t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Global Officer, Customer Experience, Loyalty, and New Ventures, and from October 2013 to</w:t>
            </w:r>
          </w:p>
        </w:tc>
      </w:tr>
    </w:tbl>
    <w:p>
      <w:pPr>
        <w:ind w:left="4360" w:right="300"/>
        <w:spacing w:after="0" w:line="220" w:lineRule="auto"/>
        <w:rPr>
          <w:sz w:val="20"/>
          <w:szCs w:val="20"/>
          <w:color w:val="auto"/>
        </w:rPr>
      </w:pPr>
      <w:r>
        <w:rPr>
          <w:rFonts w:ascii="Times New Roman" w:cs="Times New Roman" w:eastAsia="Times New Roman" w:hAnsi="Times New Roman"/>
          <w:sz w:val="17"/>
          <w:szCs w:val="17"/>
          <w:color w:val="auto"/>
        </w:rPr>
        <w:t>December 2019, she served as Chief Sales and Marketing Officer, Asia Pacific. She co-founded the Marriott Women in Leadership initiative in Asia Pacific in 2014 and is a board member of the Hong Kong chapter of the Asian University for Women. She currently leads</w:t>
      </w:r>
    </w:p>
    <w:p>
      <w:pPr>
        <w:spacing w:after="0" w:line="2" w:lineRule="exact"/>
        <w:rPr>
          <w:sz w:val="20"/>
          <w:szCs w:val="20"/>
          <w:color w:val="auto"/>
        </w:rPr>
      </w:pPr>
    </w:p>
    <w:p>
      <w:pPr>
        <w:ind w:left="4360" w:right="340"/>
        <w:spacing w:after="0" w:line="239" w:lineRule="auto"/>
        <w:rPr>
          <w:sz w:val="20"/>
          <w:szCs w:val="20"/>
          <w:color w:val="auto"/>
        </w:rPr>
      </w:pPr>
      <w:r>
        <w:rPr>
          <w:rFonts w:ascii="Times New Roman" w:cs="Times New Roman" w:eastAsia="Times New Roman" w:hAnsi="Times New Roman"/>
          <w:sz w:val="17"/>
          <w:szCs w:val="17"/>
          <w:color w:val="auto"/>
        </w:rPr>
        <w:t>Marriott’s Women’s Associate Resource Group. Ms. Roe is a graduate of the University of Michigan and holds a Master of Business Administration from Harvard Business School.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 Guide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has long maintained and enforced a Code of Ethics that applies to all Marriott associates, including our Chief Executive Officer, Chief Financial Officer, and Principal Accounting Officer, and to each member of the Board. The Code of Ethics is encompassed in our Business Conduct Guide, which is available in the Investor Relations section of our website (Marriott.com/investor) by clicking on “Governance” and then “Documents &amp; Charters.” We intend to post on that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website any future changes or amendments to our Code of Ethics, and any waiver of our Code of Ethics that applies to any of our executive officers or a member of our Board within four business days following the date of the amendment or waiver.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DOCUMENTS FILED AS PART OF THIS REPORT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include this portion of Item 15 under Part II, Item 8 of this Annual Report on Form 10-K.</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1" w:lineRule="exact"/>
        <w:rPr>
          <w:sz w:val="20"/>
          <w:szCs w:val="20"/>
          <w:color w:val="auto"/>
        </w:rPr>
      </w:pPr>
    </w:p>
    <w:p>
      <w:pPr>
        <w:ind w:left="1140" w:right="200"/>
        <w:spacing w:after="0" w:line="282" w:lineRule="auto"/>
        <w:rPr>
          <w:sz w:val="20"/>
          <w:szCs w:val="20"/>
          <w:color w:val="auto"/>
        </w:rPr>
      </w:pPr>
      <w:r>
        <w:rPr>
          <w:rFonts w:ascii="Times New Roman" w:cs="Times New Roman" w:eastAsia="Times New Roman" w:hAnsi="Times New Roman"/>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 EXHIBITS</w:t>
      </w:r>
    </w:p>
    <w:p>
      <w:pPr>
        <w:spacing w:after="0" w:line="171"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Any stockholder who wants a copy of the following Exhibits may obtain one from us upon request at a charge that reflects the reproduction cost of such Exhibits. Requests should be made to the Secretary, Marriott International, Inc., 7750 Wisconsin Avenue, Department 52/862, Bethesda, MD 20814.</w:t>
      </w:r>
    </w:p>
    <w:p>
      <w:pPr>
        <w:spacing w:after="0" w:line="122" w:lineRule="exact"/>
        <w:rPr>
          <w:sz w:val="20"/>
          <w:szCs w:val="20"/>
          <w:color w:val="auto"/>
        </w:rPr>
      </w:pPr>
    </w:p>
    <w:p>
      <w:pPr>
        <w:ind w:left="1140" w:right="20"/>
        <w:spacing w:after="0" w:line="261" w:lineRule="auto"/>
        <w:rPr>
          <w:sz w:val="20"/>
          <w:szCs w:val="20"/>
          <w:color w:val="auto"/>
        </w:rPr>
      </w:pPr>
      <w:r>
        <w:rPr>
          <w:rFonts w:ascii="Times New Roman" w:cs="Times New Roman" w:eastAsia="Times New Roman" w:hAnsi="Times New Roman"/>
          <w:sz w:val="18"/>
          <w:szCs w:val="18"/>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percent of the total assets of the Company’s and its consolidated subsidiaries. The Company agrees to furnish a copy of any such instrument to the Commission upon request.</w:t>
      </w:r>
    </w:p>
    <w:p>
      <w:pPr>
        <w:spacing w:after="0" w:line="14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w:t>
            </w:r>
          </w:p>
        </w:tc>
        <w:tc>
          <w:tcPr>
            <w:tcW w:w="0" w:type="dxa"/>
            <w:vAlign w:val="bottom"/>
          </w:tcPr>
          <w:p>
            <w:pPr>
              <w:spacing w:after="0"/>
              <w:rPr>
                <w:sz w:val="1"/>
                <w:szCs w:val="1"/>
                <w:color w:val="auto"/>
              </w:rPr>
            </w:pPr>
          </w:p>
        </w:tc>
      </w:tr>
      <w:tr>
        <w:trPr>
          <w:trHeight w:val="146"/>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vMerge w:val="restart"/>
          </w:tcPr>
          <w:p>
            <w:pPr>
              <w:spacing w:after="0"/>
              <w:rPr>
                <w:sz w:val="12"/>
                <w:szCs w:val="12"/>
                <w:color w:val="auto"/>
              </w:rPr>
            </w:pP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2"/>
                <w:szCs w:val="12"/>
                <w:color w:val="auto"/>
              </w:rPr>
            </w:pPr>
          </w:p>
        </w:tc>
        <w:tc>
          <w:tcPr>
            <w:tcW w:w="44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document has been previously filed with the SEC and the applicable</w:t>
            </w: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is incorporated by reference thereto)</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180"/>
          </w:cols>
          <w:pgMar w:left="320" w:top="121" w:right="399" w:bottom="1440" w:gutter="0" w:footer="0" w:header="0"/>
        </w:sectPr>
      </w:pPr>
    </w:p>
    <w:tbl>
      <w:tblPr>
        <w:tblLayout w:type="fixed"/>
        <w:tblInd w:w="6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Restated Certificate of Incorporation.</w:t>
            </w:r>
          </w:p>
        </w:tc>
      </w:tr>
      <w:tr>
        <w:trPr>
          <w:trHeight w:val="48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47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Indenture, dated as of November 16, 1998, between the</w:t>
            </w:r>
          </w:p>
        </w:tc>
      </w:tr>
      <w:tr>
        <w:trPr>
          <w:trHeight w:val="184"/>
        </w:trPr>
        <w:tc>
          <w:tcPr>
            <w:tcW w:w="800" w:type="dxa"/>
            <w:vAlign w:val="bottom"/>
          </w:tcPr>
          <w:p>
            <w:pPr>
              <w:spacing w:after="0"/>
              <w:rPr>
                <w:sz w:val="16"/>
                <w:szCs w:val="16"/>
                <w:color w:val="auto"/>
              </w:rPr>
            </w:pPr>
          </w:p>
        </w:tc>
        <w:tc>
          <w:tcPr>
            <w:tcW w:w="46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Company and The Bank of New York Mellon, as successor</w:t>
            </w:r>
          </w:p>
        </w:tc>
      </w:tr>
      <w:tr>
        <w:trPr>
          <w:trHeight w:val="180"/>
        </w:trPr>
        <w:tc>
          <w:tcPr>
            <w:tcW w:w="800" w:type="dxa"/>
            <w:vAlign w:val="bottom"/>
          </w:tcPr>
          <w:p>
            <w:pPr>
              <w:spacing w:after="0"/>
              <w:rPr>
                <w:sz w:val="15"/>
                <w:szCs w:val="15"/>
                <w:color w:val="auto"/>
              </w:rPr>
            </w:pPr>
          </w:p>
        </w:tc>
        <w:tc>
          <w:tcPr>
            <w:tcW w:w="46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to JPMorgan Chase Bank, N.A., formerly known as The</w:t>
            </w:r>
          </w:p>
        </w:tc>
      </w:tr>
      <w:tr>
        <w:trPr>
          <w:trHeight w:val="234"/>
        </w:trPr>
        <w:tc>
          <w:tcPr>
            <w:tcW w:w="80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Chase Manhattan Bank.</w:t>
            </w:r>
          </w:p>
        </w:tc>
      </w:tr>
      <w:tr>
        <w:trPr>
          <w:trHeight w:val="2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Registrant’s Securities.</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$4,500,000 Sixth Amended and Restated Credit</w:t>
            </w:r>
          </w:p>
        </w:tc>
      </w:tr>
      <w:tr>
        <w:trPr>
          <w:trHeight w:val="184"/>
        </w:trPr>
        <w:tc>
          <w:tcPr>
            <w:tcW w:w="800" w:type="dxa"/>
            <w:vAlign w:val="bottom"/>
          </w:tcPr>
          <w:p>
            <w:pPr>
              <w:spacing w:after="0"/>
              <w:rPr>
                <w:sz w:val="16"/>
                <w:szCs w:val="16"/>
                <w:color w:val="auto"/>
              </w:rPr>
            </w:pPr>
          </w:p>
        </w:tc>
        <w:tc>
          <w:tcPr>
            <w:tcW w:w="46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Agreement dated as of December 14, 2022 with Bank of</w:t>
            </w:r>
          </w:p>
        </w:tc>
      </w:tr>
      <w:tr>
        <w:trPr>
          <w:trHeight w:val="234"/>
        </w:trPr>
        <w:tc>
          <w:tcPr>
            <w:tcW w:w="80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 N.A. as administrative agent and certain banks.</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License, Services and Development Agreement entered into</w:t>
            </w:r>
          </w:p>
        </w:tc>
      </w:tr>
      <w:tr>
        <w:trPr>
          <w:trHeight w:val="184"/>
        </w:trPr>
        <w:tc>
          <w:tcPr>
            <w:tcW w:w="800" w:type="dxa"/>
            <w:vAlign w:val="bottom"/>
          </w:tcPr>
          <w:p>
            <w:pPr>
              <w:spacing w:after="0"/>
              <w:rPr>
                <w:sz w:val="16"/>
                <w:szCs w:val="16"/>
                <w:color w:val="auto"/>
              </w:rPr>
            </w:pPr>
          </w:p>
        </w:tc>
        <w:tc>
          <w:tcPr>
            <w:tcW w:w="46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on November 17, 2011, among the Company, Marriott</w:t>
            </w:r>
          </w:p>
        </w:tc>
      </w:tr>
      <w:tr>
        <w:trPr>
          <w:trHeight w:val="180"/>
        </w:trPr>
        <w:tc>
          <w:tcPr>
            <w:tcW w:w="800" w:type="dxa"/>
            <w:vAlign w:val="bottom"/>
          </w:tcPr>
          <w:p>
            <w:pPr>
              <w:spacing w:after="0"/>
              <w:rPr>
                <w:sz w:val="15"/>
                <w:szCs w:val="15"/>
                <w:color w:val="auto"/>
              </w:rPr>
            </w:pPr>
          </w:p>
        </w:tc>
        <w:tc>
          <w:tcPr>
            <w:tcW w:w="46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Worldwide Corporation, Marriott Vacations Worldwide</w:t>
            </w:r>
          </w:p>
        </w:tc>
      </w:tr>
      <w:tr>
        <w:trPr>
          <w:trHeight w:val="234"/>
        </w:trPr>
        <w:tc>
          <w:tcPr>
            <w:tcW w:w="80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 and the other signatories thereto.</w:t>
            </w:r>
          </w:p>
        </w:tc>
      </w:tr>
      <w:tr>
        <w:trPr>
          <w:trHeight w:val="22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License, Services, and Development</w:t>
            </w:r>
          </w:p>
        </w:tc>
      </w:tr>
      <w:tr>
        <w:trPr>
          <w:trHeight w:val="204"/>
        </w:trPr>
        <w:tc>
          <w:tcPr>
            <w:tcW w:w="800" w:type="dxa"/>
            <w:vAlign w:val="bottom"/>
          </w:tcPr>
          <w:p>
            <w:pPr>
              <w:spacing w:after="0"/>
              <w:rPr>
                <w:sz w:val="17"/>
                <w:szCs w:val="17"/>
                <w:color w:val="auto"/>
              </w:rPr>
            </w:pPr>
          </w:p>
        </w:tc>
        <w:tc>
          <w:tcPr>
            <w:tcW w:w="4660" w:type="dxa"/>
            <w:vAlign w:val="bottom"/>
          </w:tcPr>
          <w:p>
            <w:pPr>
              <w:ind w:left="340"/>
              <w:spacing w:after="0" w:line="204" w:lineRule="exact"/>
              <w:rPr>
                <w:sz w:val="20"/>
                <w:szCs w:val="20"/>
                <w:color w:val="auto"/>
              </w:rPr>
            </w:pPr>
            <w:r>
              <w:rPr>
                <w:rFonts w:ascii="Times New Roman" w:cs="Times New Roman" w:eastAsia="Times New Roman" w:hAnsi="Times New Roman"/>
                <w:sz w:val="18"/>
                <w:szCs w:val="18"/>
                <w:color w:val="auto"/>
              </w:rPr>
              <w:t>Agreement for Marriott Projects, dated February 26, 2018,</w:t>
            </w:r>
          </w:p>
        </w:tc>
      </w:tr>
    </w:tbl>
    <w:p>
      <w:pPr>
        <w:ind w:left="1760" w:right="200"/>
        <w:spacing w:after="0" w:line="218" w:lineRule="auto"/>
        <w:rPr>
          <w:sz w:val="20"/>
          <w:szCs w:val="20"/>
          <w:color w:val="auto"/>
        </w:rPr>
      </w:pPr>
      <w:r>
        <w:rPr>
          <w:rFonts w:ascii="Times New Roman" w:cs="Times New Roman" w:eastAsia="Times New Roman" w:hAnsi="Times New Roman"/>
          <w:sz w:val="18"/>
          <w:szCs w:val="18"/>
          <w:color w:val="auto"/>
        </w:rPr>
        <w:t>among the Company, Marriott Worldwide Corporation, Marriott Vacations Worldwide Corporation, and the other signatories thereto.</w:t>
      </w:r>
    </w:p>
    <w:p>
      <w:pPr>
        <w:spacing w:after="0" w:line="20" w:lineRule="exact"/>
        <w:rPr>
          <w:sz w:val="20"/>
          <w:szCs w:val="20"/>
          <w:color w:val="auto"/>
        </w:rPr>
      </w:pPr>
      <w:r>
        <w:rPr>
          <w:sz w:val="20"/>
          <w:szCs w:val="20"/>
          <w:color w:val="auto"/>
        </w:rPr>
        <w:br w:type="column"/>
      </w:r>
    </w:p>
    <w:p>
      <w:pPr>
        <w:ind w:right="900"/>
        <w:spacing w:after="0" w:line="237"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Exhibit No. 3.(i) to our Form 8-K filed August 22, 2006</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(File No. 001-13881).</w:t>
        </w:r>
      </w:hyperlink>
    </w:p>
    <w:p>
      <w:pPr>
        <w:spacing w:after="0" w:line="77" w:lineRule="exact"/>
        <w:rPr>
          <w:sz w:val="20"/>
          <w:szCs w:val="20"/>
          <w:color w:val="auto"/>
        </w:rPr>
      </w:pPr>
    </w:p>
    <w:p>
      <w:pPr>
        <w:ind w:right="680"/>
        <w:spacing w:after="0" w:line="237"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Exhibit No. 3.1 to our Form 8-K filed August 4, 2023 (File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No. 001-13881).</w:t>
        </w:r>
      </w:hyperlink>
    </w:p>
    <w:p>
      <w:pPr>
        <w:spacing w:after="0" w:line="64" w:lineRule="exact"/>
        <w:rPr>
          <w:sz w:val="20"/>
          <w:szCs w:val="20"/>
          <w:color w:val="auto"/>
        </w:rPr>
      </w:pPr>
    </w:p>
    <w:p>
      <w:pPr>
        <w:ind w:right="920"/>
        <w:spacing w:after="0" w:line="237"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Exhibit No. 4.5 to our Form S-3ASR filed December 8,</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2005 (File No. 333-130212).</w:t>
        </w:r>
      </w:hyperlink>
    </w:p>
    <w:p>
      <w:pPr>
        <w:spacing w:after="0" w:line="77" w:lineRule="exact"/>
        <w:rPr>
          <w:sz w:val="20"/>
          <w:szCs w:val="20"/>
          <w:color w:val="auto"/>
        </w:rPr>
      </w:pPr>
    </w:p>
    <w:p>
      <w:pPr>
        <w:ind w:right="660"/>
        <w:spacing w:after="0" w:line="237"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Exhibit No. 4.1 to our Form 10-K for the fiscal year- ended</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January 1, 1999 (File No. 001-13881).</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Filed with this report.</w:t>
      </w:r>
    </w:p>
    <w:p>
      <w:pPr>
        <w:spacing w:after="0" w:line="92" w:lineRule="exact"/>
        <w:rPr>
          <w:sz w:val="20"/>
          <w:szCs w:val="20"/>
          <w:color w:val="auto"/>
        </w:rPr>
      </w:pPr>
    </w:p>
    <w:p>
      <w:pPr>
        <w:ind w:right="800"/>
        <w:spacing w:after="0" w:line="26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Exhibit No. 10 to our Form 8-K filed December 15, 2022</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(File No. 001-13881).</w:t>
        </w:r>
      </w:hyperlink>
    </w:p>
    <w:p>
      <w:pPr>
        <w:spacing w:after="0" w:line="176" w:lineRule="exact"/>
        <w:rPr>
          <w:sz w:val="20"/>
          <w:szCs w:val="20"/>
          <w:color w:val="auto"/>
        </w:rPr>
      </w:pPr>
    </w:p>
    <w:p>
      <w:pPr>
        <w:ind w:right="640"/>
        <w:spacing w:after="0" w:line="237"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Exhibit No. 10.1 to our Form 8-K filed November 21, 2011</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15" w:lineRule="exact"/>
        <w:rPr>
          <w:sz w:val="20"/>
          <w:szCs w:val="20"/>
          <w:color w:val="auto"/>
        </w:rPr>
      </w:pPr>
    </w:p>
    <w:p>
      <w:pPr>
        <w:ind w:right="760"/>
        <w:spacing w:after="0" w:line="237"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Exhibit No. 10.1 to our Form 8-K filed February 27, 2018</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(File No. 001-13881).</w:t>
        </w:r>
      </w:hyperlink>
    </w:p>
    <w:p>
      <w:pPr>
        <w:spacing w:after="0" w:line="739" w:lineRule="exact"/>
        <w:rPr>
          <w:sz w:val="20"/>
          <w:szCs w:val="20"/>
          <w:color w:val="auto"/>
        </w:rPr>
      </w:pPr>
    </w:p>
    <w:p>
      <w:pPr>
        <w:sectPr>
          <w:pgSz w:w="11900" w:h="16838" w:orient="portrait"/>
          <w:cols w:equalWidth="0" w:num="2">
            <w:col w:w="6080" w:space="180"/>
            <w:col w:w="4920"/>
          </w:cols>
          <w:pgMar w:left="320" w:top="121" w:right="3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169"/>
        </w:trPr>
        <w:tc>
          <w:tcPr>
            <w:tcW w:w="9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14"/>
                <w:szCs w:val="14"/>
                <w:color w:val="auto"/>
              </w:rPr>
            </w:pPr>
          </w:p>
        </w:tc>
        <w:tc>
          <w:tcPr>
            <w:tcW w:w="4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Letter of Agreement, effective as of September 1, 2018,</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the Company, Marriott Worldwide Corporation,</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Marriott Rewards, LLC, Starwood Hotels &amp; Resorts</w:t>
            </w:r>
          </w:p>
        </w:tc>
      </w:tr>
      <w:tr>
        <w:trPr>
          <w:trHeight w:val="176"/>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Worldwide, LLC, Marriott Vacations Worldwide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Corporation, Marriott Ownership Resorts, Inc., Vistana</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 Experiences, Inc. and ILG, LLC.</w:t>
            </w: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of Agreement, effective as of January 1, 2022, among</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Company, Marriott Worldwide Corporation, Marriott</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Vacations Worldwide Corporation, Starwood Hotels &amp;</w:t>
            </w:r>
          </w:p>
        </w:tc>
      </w:tr>
      <w:tr>
        <w:trPr>
          <w:trHeight w:val="176"/>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Resorts Worldwide, LLC, Marriott Ownership Resorts, Inc.,</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Vistana Signature Experiences, Inc. and ILG, LLC.</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of Agreement, dated as of March 4, 2022, among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Marriott Worldwide Corporation, Marriott</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Vacations Worldwide Corporation, Starwood Hotels &amp;</w:t>
            </w: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Resorts Worldwide, LLC, Vistana Signature Experiences,</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and ILG, LLC.</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License, Services, and Development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Marriott Projects, dated May 19, 2022,</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among the Company, Marriott Worldwide Corporation,</w:t>
            </w: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Marriott Vacations Worldwide Corporation, Starwood</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Hotels &amp; Resorts Worldwide, LLC, Vistana Signature</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Experiences, Inc. and ILG, LLC.</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Services and Development Agreement entered into</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on November 17, 2011, among The Ritz-Carlton Hotel</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L.L.C., Marriott Vacations Worldwide</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and the other signatories thereto.</w:t>
            </w: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License, Services, and Development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Ritz-Carlton Projects, dated February 26,</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2018, among The Ritz-Carlton Hotel Company, L.L.C.,</w:t>
            </w: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Marriott Vacations Worldwide Corporation, and the other</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signatories thereto.</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Marriott Bonvoy Affiliation Agreement entered into on</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10, 2021, among the Company, Marriott</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Rewards, L.L.C., Marriott Vacations Worldwide</w:t>
            </w: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and certain of its subsidiaries,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Resorts, Inc., and the other signatories thereto.</w:t>
            </w:r>
          </w:p>
        </w:tc>
      </w:t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Side Letter Agreement - Program</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Affiliation, dated February 26, 2018, among the Company,</w:t>
            </w: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Marriott Vacations Worldwide, and certain of their</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w:t>
            </w: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Marriott International, Inc. Stock and Cash Incentive</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 Sub-Plan of the 2023 Marriott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2023).</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Deferred Share Award</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the 2023 Marriott International, Inc. Stock</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Cash Incentive Plan (June 2023).</w:t>
            </w:r>
          </w:p>
        </w:tc>
      </w:tr>
      <w:tr>
        <w:trPr>
          <w:trHeight w:val="24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Deferred Fee Award</w:t>
            </w:r>
          </w:p>
        </w:tc>
      </w:tr>
    </w:tbl>
    <w:p>
      <w:pPr>
        <w:ind w:left="1760" w:right="240"/>
        <w:spacing w:after="0" w:line="233" w:lineRule="auto"/>
        <w:rPr>
          <w:sz w:val="20"/>
          <w:szCs w:val="20"/>
          <w:color w:val="auto"/>
        </w:rPr>
      </w:pPr>
      <w:r>
        <w:rPr>
          <w:rFonts w:ascii="Times New Roman" w:cs="Times New Roman" w:eastAsia="Times New Roman" w:hAnsi="Times New Roman"/>
          <w:sz w:val="18"/>
          <w:szCs w:val="18"/>
          <w:color w:val="auto"/>
        </w:rPr>
        <w:t>Agreement for the 2023 Marriott International, Inc. Stock and Cash Incentive Plan (June 2023).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w:t>
      </w:r>
    </w:p>
    <w:p>
      <w:pPr>
        <w:spacing w:after="0" w:line="6"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4"/>
          <w:szCs w:val="14"/>
          <w:b w:val="1"/>
          <w:bCs w:val="1"/>
          <w:color w:val="auto"/>
        </w:rPr>
        <w:t>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wp:posOffset>
            </wp:positionV>
            <wp:extent cx="2802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Exhibit No. 10.2 to our Form 10-Q filed November 6, 2018</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Exhibit No. 10.2.4 to our Form 10-K filed February 15,</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2022 (File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Exhibit No. 10.1 to our Form 10-Q filed May 4, 2022 (File</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No. 001-13881).</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40"/>
        <w:spacing w:after="0" w:line="237"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Exhibit No. 10.1 to our Form 10-Q filed August 2, 2022</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Exhibit No. 10.2 to our Form 8-K filed November 21, 2011</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15"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Exhibit No. 10.2 to our Form 8-K filed February 27, 2018</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Exhibit No. 10.4.1 to our Form 10-K filed February 15,</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2022 (File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Exhibit No. 10.5 to our Form 8-K filed February 27, 2018</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(File No. 001-13881).</w:t>
        </w:r>
      </w:hyperlink>
    </w:p>
    <w:p>
      <w:pPr>
        <w:spacing w:after="0" w:line="200" w:lineRule="exact"/>
        <w:rPr>
          <w:sz w:val="20"/>
          <w:szCs w:val="20"/>
          <w:color w:val="auto"/>
        </w:rPr>
      </w:pPr>
    </w:p>
    <w:p>
      <w:pPr>
        <w:spacing w:after="0" w:line="215"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Exhibit No. 10.1 to our Form 8-K filed May 16, 2023 (File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No. 001-13881).</w:t>
        </w:r>
      </w:hyperlink>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FF"/>
        </w:rPr>
        <w:t>Filed with this report.</w:t>
      </w:r>
    </w:p>
    <w:p>
      <w:pPr>
        <w:spacing w:after="0" w:line="200" w:lineRule="exact"/>
        <w:rPr>
          <w:sz w:val="20"/>
          <w:szCs w:val="20"/>
          <w:color w:val="auto"/>
        </w:rPr>
      </w:pPr>
    </w:p>
    <w:p>
      <w:pPr>
        <w:spacing w:after="0" w:line="243" w:lineRule="exact"/>
        <w:rPr>
          <w:sz w:val="20"/>
          <w:szCs w:val="20"/>
          <w:color w:val="auto"/>
        </w:rPr>
      </w:pPr>
    </w:p>
    <w:p>
      <w:pPr>
        <w:ind w:right="240"/>
        <w:spacing w:after="0" w:line="237"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Exhibit No. 10.2 to our Form 10-Q filed August 1, 2023</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(File No. 001-13881).</w:t>
        </w:r>
      </w:hyperlink>
    </w:p>
    <w:p>
      <w:pPr>
        <w:spacing w:after="0" w:line="239" w:lineRule="exact"/>
        <w:rPr>
          <w:sz w:val="20"/>
          <w:szCs w:val="20"/>
          <w:color w:val="auto"/>
        </w:rPr>
      </w:pPr>
    </w:p>
    <w:p>
      <w:pPr>
        <w:ind w:right="240"/>
        <w:spacing w:after="0" w:line="237"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Exhibit No. 10.3 to our Form 10-Q filed August 1, 2023</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(File No. 001-13881).</w:t>
        </w:r>
      </w:hyperlink>
    </w:p>
    <w:p>
      <w:pPr>
        <w:sectPr>
          <w:pgSz w:w="11900" w:h="16838" w:orient="portrait"/>
          <w:cols w:equalWidth="0" w:num="2">
            <w:col w:w="6160" w:space="100"/>
            <w:col w:w="4280"/>
          </w:cols>
          <w:pgMar w:left="320" w:top="121" w:right="10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169"/>
        </w:trPr>
        <w:tc>
          <w:tcPr>
            <w:tcW w:w="9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4"/>
                <w:szCs w:val="14"/>
                <w:color w:val="auto"/>
              </w:rPr>
            </w:pPr>
          </w:p>
        </w:tc>
        <w:tc>
          <w:tcPr>
            <w:tcW w:w="44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of Non-Employee Director Stock Appreciation Right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the 2023 Marriott International, Inc. Stock</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Cash Incentive Plan (June 2023).</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through February 13, 2014.</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August 7, 2014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September 23, 2016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November 10, 2016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May 5, 2017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February 15, 2019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May 10, 2019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*10.9.8</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dated May 8, 2020 to the Marriott</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Inc. Stock and Cash Incentive Plan.</w:t>
            </w: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*10.10.1</w:t>
            </w: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MI Shares Agreement for the Marriott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International, Inc. Stock and Cash Incentive Plan (March</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*10.10.2</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Retention Executive Restricted Stock Unit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Incentive Plan (March 2019).</w:t>
            </w: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*10.10.3</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Executive Restricted Stock Unit/MI Shares</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Incentive Plan (February 2021).</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*10.10.4</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MI Shares Agreement for the Marriott</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International, Inc. Stock and Cash Incentive Plan (February</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Appreciation Rights Agreement for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(pre-February 2018).</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*10.11.2</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Appreciation Rights Agreement for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2018).</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*10.11.3</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Appreciation Rights Agreement for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2019).</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*10.11.4</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Appreciation Rights Agreement for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2021).</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*10.11.5</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Appreciation Rights Agreement for the</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Marriott International, Inc. Stock and Cash Incentive Plan</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2023).</w:t>
            </w: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Deferred Fee Award</w:t>
            </w: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Incentive Plan.</w:t>
            </w: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*10.12.2</w:t>
            </w:r>
          </w:p>
        </w:tc>
        <w:tc>
          <w:tcPr>
            <w:tcW w:w="2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Deferred Share Award</w:t>
            </w:r>
          </w:p>
        </w:tc>
      </w:tr>
      <w:tr>
        <w:trPr>
          <w:trHeight w:val="204"/>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r>
    </w:tbl>
    <w:p>
      <w:pPr>
        <w:ind w:left="1760"/>
        <w:spacing w:after="0"/>
        <w:rPr>
          <w:sz w:val="20"/>
          <w:szCs w:val="20"/>
          <w:color w:val="auto"/>
        </w:rPr>
      </w:pPr>
      <w:r>
        <w:rPr>
          <w:rFonts w:ascii="Times New Roman" w:cs="Times New Roman" w:eastAsia="Times New Roman" w:hAnsi="Times New Roman"/>
          <w:sz w:val="18"/>
          <w:szCs w:val="18"/>
          <w:color w:val="auto"/>
        </w:rPr>
        <w:t>Cash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w:t>
      </w:r>
    </w:p>
    <w:p>
      <w:pPr>
        <w:spacing w:after="0" w:line="6"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4"/>
          <w:szCs w:val="14"/>
          <w:b w:val="1"/>
          <w:bCs w:val="1"/>
          <w:color w:val="auto"/>
        </w:rPr>
        <w:t>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wp:posOffset>
            </wp:positionV>
            <wp:extent cx="2802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2"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Exhibit No. 10.4 to our Form 10-Q filed August 1, 2023</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(File No. 001-13881).</w:t>
        </w:r>
      </w:hyperlink>
    </w:p>
    <w:p>
      <w:pPr>
        <w:spacing w:after="0" w:line="239"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Exhibit A to our Definitive Proxy Statement filed April 4,</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2014 (File No. 001-13881).</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Exhibit No. 10 to our Form 10-Q filed October 29, 2014</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(File No. 001-13881).</w:t>
        </w:r>
      </w:hyperlink>
    </w:p>
    <w:p>
      <w:pPr>
        <w:spacing w:after="0" w:line="64"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Exhibit No. 10.8.2 to our Form 10-K filed February 15,</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2018 (File No. 001-13881).</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Exhibit No. 10.22 to our Form 10-K filed February 15, 2018</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(File No. 001-13881).</w:t>
        </w:r>
      </w:hyperlink>
    </w:p>
    <w:p>
      <w:pPr>
        <w:spacing w:after="0" w:line="64"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Exhibit No. 10.8.3 to our Form 10-K filed February 15,</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2018 (File No. 001-13881).</w:t>
        </w:r>
      </w:hyperlink>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Exhibit No. 10.7.5 to our Form 10-K filed March 1, 2019</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(File No. 001-13881).</w:t>
        </w:r>
      </w:hyperlink>
    </w:p>
    <w:p>
      <w:pPr>
        <w:spacing w:after="0" w:line="64"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Exhibit No. 10.1 to our Form 10-Q filed August 6, 2019</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(File No. 001-13881).</w:t>
        </w:r>
      </w:hyperlink>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Exhibit No. 10.1 to our Form 10-Q filed August 10, 2020</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(File No. 001-13881).</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Exhibit No. 10.1 to our Form 10-Q filed May 10, 2019 (File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Exhibit No. 10.2 to our Form 10-Q filed May 10, 2019 (File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Exhibit No. 10.4 to our Form 10-Q filed May 10, 2021 (File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Exhibit No. 10.1 to our Form 10-Q filed May 2, 2023 (File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Exhibit No. 10.12 to our Form 10-K filed February 15, 2018</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(File No. 001-13881).</w:t>
        </w:r>
      </w:hyperlink>
    </w:p>
    <w:p>
      <w:pPr>
        <w:spacing w:after="0" w:line="23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Exhibit No. 10.7 to our Form 10-Q filed May 10, 2018 (File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Exhibit No. 10.3 to our Form 10-Q filed May 10, 2019 (File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Exhibit No. 10.5 to our Form 10-Q filed May 10, 2021 (File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Exhibit No. 10.3 to our Form 10-Q filed May 2, 2023 (File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Exhibit No. 10.2 to our Form 10-Q filed August 2, 2022</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(File No. 001-13881).</w:t>
        </w:r>
      </w:hyperlink>
    </w:p>
    <w:p>
      <w:pPr>
        <w:spacing w:after="0" w:line="239"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Exhibit No. 10.3 to our Form 10-Q filed August 2, 2022</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(File No. 001-13881).</w:t>
        </w:r>
      </w:hyperlink>
    </w:p>
    <w:p>
      <w:pPr>
        <w:spacing w:after="0" w:line="382" w:lineRule="exact"/>
        <w:rPr>
          <w:sz w:val="20"/>
          <w:szCs w:val="20"/>
          <w:color w:val="auto"/>
        </w:rPr>
      </w:pPr>
    </w:p>
    <w:p>
      <w:pPr>
        <w:sectPr>
          <w:pgSz w:w="11900" w:h="16838" w:orient="portrait"/>
          <w:cols w:equalWidth="0" w:num="2">
            <w:col w:w="6160" w:space="100"/>
            <w:col w:w="4340"/>
          </w:cols>
          <w:pgMar w:left="320" w:top="121" w:right="9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w:t>
            </w:r>
          </w:p>
        </w:tc>
        <w:tc>
          <w:tcPr>
            <w:tcW w:w="0" w:type="dxa"/>
            <w:vAlign w:val="bottom"/>
          </w:tcPr>
          <w:p>
            <w:pPr>
              <w:spacing w:after="0"/>
              <w:rPr>
                <w:sz w:val="1"/>
                <w:szCs w:val="1"/>
                <w:color w:val="auto"/>
              </w:rPr>
            </w:pPr>
          </w:p>
        </w:tc>
      </w:tr>
      <w:tr>
        <w:trPr>
          <w:trHeight w:val="146"/>
        </w:trPr>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2"/>
                <w:szCs w:val="12"/>
                <w:color w:val="auto"/>
              </w:rPr>
            </w:pPr>
          </w:p>
        </w:tc>
        <w:tc>
          <w:tcPr>
            <w:tcW w:w="4400" w:type="dxa"/>
            <w:vAlign w:val="bottom"/>
            <w:gridSpan w:val="5"/>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document has been previously filed with the SEC and the applicable</w:t>
            </w: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is incorporated by reference thereto)</w:t>
            </w: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*10.13.1</w:t>
            </w:r>
          </w:p>
        </w:tc>
        <w:tc>
          <w:tcPr>
            <w:tcW w:w="240" w:type="dxa"/>
            <w:vAlign w:val="bottom"/>
          </w:tcPr>
          <w:p>
            <w:pPr>
              <w:spacing w:after="0"/>
              <w:rPr>
                <w:sz w:val="16"/>
                <w:szCs w:val="16"/>
                <w:color w:val="auto"/>
              </w:rPr>
            </w:pPr>
          </w:p>
        </w:tc>
        <w:tc>
          <w:tcPr>
            <w:tcW w:w="4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Non-Employee Director Stock Appreciation Right</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5"/>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Exhibit No. 10.12.2 to our Form 10-K filed February 15,</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c>
          <w:tcPr>
            <w:tcW w:w="20" w:type="dxa"/>
            <w:vAlign w:val="bottom"/>
          </w:tcPr>
          <w:p>
            <w:pPr>
              <w:spacing w:after="0"/>
              <w:rPr>
                <w:sz w:val="13"/>
                <w:szCs w:val="13"/>
                <w:color w:val="auto"/>
              </w:rPr>
            </w:pPr>
          </w:p>
        </w:tc>
        <w:tc>
          <w:tcPr>
            <w:tcW w:w="408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2018 (File No. 001-13881).</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Incentive Plan (Pre-May 2022).</w:t>
            </w:r>
          </w:p>
        </w:tc>
        <w:tc>
          <w:tcPr>
            <w:tcW w:w="20" w:type="dxa"/>
            <w:vAlign w:val="bottom"/>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*10.13.2</w:t>
            </w:r>
          </w:p>
        </w:tc>
        <w:tc>
          <w:tcPr>
            <w:tcW w:w="24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Non-Employee Director Stock Appreciation Right</w:t>
            </w:r>
          </w:p>
        </w:tc>
        <w:tc>
          <w:tcPr>
            <w:tcW w:w="20" w:type="dxa"/>
            <w:vAlign w:val="bottom"/>
          </w:tcPr>
          <w:p>
            <w:pPr>
              <w:spacing w:after="0"/>
              <w:rPr>
                <w:sz w:val="20"/>
                <w:szCs w:val="20"/>
                <w:color w:val="auto"/>
              </w:rPr>
            </w:pPr>
          </w:p>
        </w:tc>
        <w:tc>
          <w:tcPr>
            <w:tcW w:w="4400" w:type="dxa"/>
            <w:vAlign w:val="bottom"/>
            <w:gridSpan w:val="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No. 10.4 to our Form 10-Q filed August 2, 2022</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Agreement for the Marriott International, Inc. Stock and</w:t>
            </w: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(File No. 001-13881).</w:t>
              </w:r>
            </w:hyperlink>
          </w:p>
        </w:tc>
        <w:tc>
          <w:tcPr>
            <w:tcW w:w="2460" w:type="dxa"/>
            <w:vAlign w:val="bottom"/>
            <w:tcBorders>
              <w:top w:val="single" w:sz="8" w:color="0000FF"/>
            </w:tcBorders>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ind w:left="1760"/>
        <w:spacing w:after="0"/>
        <w:rPr>
          <w:sz w:val="20"/>
          <w:szCs w:val="20"/>
          <w:color w:val="auto"/>
        </w:rPr>
      </w:pPr>
      <w:r>
        <w:rPr>
          <w:rFonts w:ascii="Times New Roman" w:cs="Times New Roman" w:eastAsia="Times New Roman" w:hAnsi="Times New Roman"/>
          <w:sz w:val="18"/>
          <w:szCs w:val="18"/>
          <w:color w:val="auto"/>
        </w:rPr>
        <w:t>Cash Incentive Plan (May 2022).</w:t>
      </w:r>
    </w:p>
    <w:p>
      <w:pPr>
        <w:sectPr>
          <w:pgSz w:w="11900" w:h="16838" w:orient="portrait"/>
          <w:cols w:equalWidth="0" w:num="1">
            <w:col w:w="10660"/>
          </w:cols>
          <w:pgMar w:left="320" w:top="121" w:right="919" w:bottom="1440" w:gutter="0" w:footer="0" w:header="0"/>
        </w:sectPr>
      </w:pPr>
    </w:p>
    <w:p>
      <w:pPr>
        <w:spacing w:after="0" w:line="58" w:lineRule="exact"/>
        <w:rPr>
          <w:sz w:val="20"/>
          <w:szCs w:val="20"/>
          <w:color w:val="auto"/>
        </w:rPr>
      </w:pPr>
    </w:p>
    <w:p>
      <w:pPr>
        <w:ind w:left="1760" w:hanging="1146"/>
        <w:spacing w:after="0" w:line="236" w:lineRule="auto"/>
        <w:tabs>
          <w:tab w:leader="none" w:pos="1740" w:val="left"/>
        </w:tabs>
        <w:rPr>
          <w:sz w:val="20"/>
          <w:szCs w:val="20"/>
          <w:color w:val="auto"/>
        </w:rPr>
      </w:pPr>
      <w:r>
        <w:rPr>
          <w:rFonts w:ascii="Times New Roman" w:cs="Times New Roman" w:eastAsia="Times New Roman" w:hAnsi="Times New Roman"/>
          <w:sz w:val="18"/>
          <w:szCs w:val="18"/>
          <w:color w:val="auto"/>
        </w:rPr>
        <w:t>*10.14.1</w:t>
      </w:r>
      <w:r>
        <w:rPr>
          <w:sz w:val="20"/>
          <w:szCs w:val="20"/>
          <w:color w:val="auto"/>
        </w:rPr>
        <w:tab/>
      </w:r>
      <w:r>
        <w:rPr>
          <w:rFonts w:ascii="Times New Roman" w:cs="Times New Roman" w:eastAsia="Times New Roman" w:hAnsi="Times New Roman"/>
          <w:sz w:val="17"/>
          <w:szCs w:val="17"/>
          <w:color w:val="auto"/>
        </w:rPr>
        <w:t>Form of Performance Share Unit Award Agreement for the Marriott International, Inc. Stock and Cash Incentive Plan</w:t>
      </w:r>
    </w:p>
    <w:p>
      <w:pPr>
        <w:ind w:left="1760"/>
        <w:spacing w:after="0"/>
        <w:rPr>
          <w:sz w:val="20"/>
          <w:szCs w:val="20"/>
          <w:color w:val="auto"/>
        </w:rPr>
      </w:pPr>
      <w:r>
        <w:rPr>
          <w:rFonts w:ascii="Times New Roman" w:cs="Times New Roman" w:eastAsia="Times New Roman" w:hAnsi="Times New Roman"/>
          <w:sz w:val="18"/>
          <w:szCs w:val="18"/>
          <w:color w:val="auto"/>
        </w:rPr>
        <w:t>(March 2019).</w:t>
      </w:r>
    </w:p>
    <w:p>
      <w:pPr>
        <w:spacing w:after="0" w:line="57" w:lineRule="exact"/>
        <w:rPr>
          <w:sz w:val="20"/>
          <w:szCs w:val="20"/>
          <w:color w:val="auto"/>
        </w:rPr>
      </w:pPr>
    </w:p>
    <w:p>
      <w:pPr>
        <w:ind w:left="1760" w:hanging="1146"/>
        <w:spacing w:after="0" w:line="236" w:lineRule="auto"/>
        <w:tabs>
          <w:tab w:leader="none" w:pos="1740" w:val="left"/>
        </w:tabs>
        <w:rPr>
          <w:sz w:val="20"/>
          <w:szCs w:val="20"/>
          <w:color w:val="auto"/>
        </w:rPr>
      </w:pPr>
      <w:r>
        <w:rPr>
          <w:rFonts w:ascii="Times New Roman" w:cs="Times New Roman" w:eastAsia="Times New Roman" w:hAnsi="Times New Roman"/>
          <w:sz w:val="18"/>
          <w:szCs w:val="18"/>
          <w:color w:val="auto"/>
        </w:rPr>
        <w:t>*10.14.2</w:t>
      </w:r>
      <w:r>
        <w:rPr>
          <w:sz w:val="20"/>
          <w:szCs w:val="20"/>
          <w:color w:val="auto"/>
        </w:rPr>
        <w:tab/>
      </w:r>
      <w:r>
        <w:rPr>
          <w:rFonts w:ascii="Times New Roman" w:cs="Times New Roman" w:eastAsia="Times New Roman" w:hAnsi="Times New Roman"/>
          <w:sz w:val="17"/>
          <w:szCs w:val="17"/>
          <w:color w:val="auto"/>
        </w:rPr>
        <w:t>Form of Performance Share Unit Award Agreement for the Marriott International, Inc. Stock and Cash Incentive Plan</w:t>
      </w:r>
    </w:p>
    <w:p>
      <w:pPr>
        <w:ind w:left="1760"/>
        <w:spacing w:after="0"/>
        <w:rPr>
          <w:sz w:val="20"/>
          <w:szCs w:val="20"/>
          <w:color w:val="auto"/>
        </w:rPr>
      </w:pPr>
      <w:r>
        <w:rPr>
          <w:rFonts w:ascii="Times New Roman" w:cs="Times New Roman" w:eastAsia="Times New Roman" w:hAnsi="Times New Roman"/>
          <w:sz w:val="18"/>
          <w:szCs w:val="18"/>
          <w:color w:val="auto"/>
        </w:rPr>
        <w:t>(February 2021).</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Exhibit No. 10.4 to our Form 10-Q filed May 10, 2019 (File</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80"/>
        <w:spacing w:after="0" w:line="237" w:lineRule="auto"/>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u w:val="single" w:color="auto"/>
            <w:color w:val="0000FF"/>
          </w:rPr>
          <w:t>Exhibit No. 10.6 to our Form 10-Q filed May 10, 2021 (File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No. 001-13881)</w:t>
        </w:r>
        <w:r>
          <w:rPr>
            <w:rFonts w:ascii="Times New Roman" w:cs="Times New Roman" w:eastAsia="Times New Roman" w:hAnsi="Times New Roman"/>
            <w:sz w:val="18"/>
            <w:szCs w:val="18"/>
            <w:color w:val="000000"/>
          </w:rPr>
          <w:t>.</w:t>
        </w:r>
      </w:hyperlink>
    </w:p>
    <w:p>
      <w:pPr>
        <w:spacing w:after="0" w:line="239" w:lineRule="exact"/>
        <w:rPr>
          <w:sz w:val="20"/>
          <w:szCs w:val="20"/>
          <w:color w:val="auto"/>
        </w:rPr>
      </w:pPr>
    </w:p>
    <w:p>
      <w:pPr>
        <w:sectPr>
          <w:pgSz w:w="11900" w:h="16838" w:orient="portrait"/>
          <w:cols w:equalWidth="0" w:num="2">
            <w:col w:w="6020" w:space="240"/>
            <w:col w:w="4400"/>
          </w:cols>
          <w:pgMar w:left="320" w:top="121" w:right="919" w:bottom="1440" w:gutter="0" w:footer="0" w:header="0"/>
          <w:type w:val="continuous"/>
        </w:sectPr>
      </w:pPr>
    </w:p>
    <w:p>
      <w:pPr>
        <w:ind w:left="1760" w:hanging="1146"/>
        <w:spacing w:after="0" w:line="236" w:lineRule="auto"/>
        <w:tabs>
          <w:tab w:leader="none" w:pos="1740" w:val="left"/>
        </w:tabs>
        <w:rPr>
          <w:sz w:val="20"/>
          <w:szCs w:val="20"/>
          <w:color w:val="auto"/>
        </w:rPr>
      </w:pPr>
      <w:r>
        <w:rPr>
          <w:rFonts w:ascii="Times New Roman" w:cs="Times New Roman" w:eastAsia="Times New Roman" w:hAnsi="Times New Roman"/>
          <w:sz w:val="18"/>
          <w:szCs w:val="18"/>
          <w:color w:val="auto"/>
        </w:rPr>
        <w:t>*10.14.3</w:t>
      </w:r>
      <w:r>
        <w:rPr>
          <w:sz w:val="20"/>
          <w:szCs w:val="20"/>
          <w:color w:val="auto"/>
        </w:rPr>
        <w:tab/>
      </w:r>
      <w:r>
        <w:rPr>
          <w:rFonts w:ascii="Times New Roman" w:cs="Times New Roman" w:eastAsia="Times New Roman" w:hAnsi="Times New Roman"/>
          <w:sz w:val="17"/>
          <w:szCs w:val="17"/>
          <w:color w:val="auto"/>
        </w:rPr>
        <w:t>Form of Performance Share Unit Award Agreement for the Marriott International, Inc. Stock and Cash Incentive Plan</w:t>
      </w:r>
    </w:p>
    <w:p>
      <w:pPr>
        <w:ind w:left="1760"/>
        <w:spacing w:after="0"/>
        <w:rPr>
          <w:sz w:val="20"/>
          <w:szCs w:val="20"/>
          <w:color w:val="auto"/>
        </w:rPr>
      </w:pPr>
      <w:r>
        <w:rPr>
          <w:rFonts w:ascii="Times New Roman" w:cs="Times New Roman" w:eastAsia="Times New Roman" w:hAnsi="Times New Roman"/>
          <w:sz w:val="18"/>
          <w:szCs w:val="18"/>
          <w:color w:val="auto"/>
        </w:rPr>
        <w:t>(February 2023).</w:t>
      </w:r>
    </w:p>
    <w:p>
      <w:pPr>
        <w:spacing w:after="0" w:line="57" w:lineRule="exact"/>
        <w:rPr>
          <w:sz w:val="20"/>
          <w:szCs w:val="20"/>
          <w:color w:val="auto"/>
        </w:rPr>
      </w:pPr>
    </w:p>
    <w:p>
      <w:pPr>
        <w:ind w:left="1760" w:right="120" w:hanging="1146"/>
        <w:spacing w:after="0" w:line="222" w:lineRule="auto"/>
        <w:tabs>
          <w:tab w:leader="none" w:pos="1740" w:val="left"/>
        </w:tabs>
        <w:rPr>
          <w:sz w:val="20"/>
          <w:szCs w:val="20"/>
          <w:color w:val="auto"/>
        </w:rPr>
      </w:pPr>
      <w:r>
        <w:rPr>
          <w:rFonts w:ascii="Times New Roman" w:cs="Times New Roman" w:eastAsia="Times New Roman" w:hAnsi="Times New Roman"/>
          <w:sz w:val="18"/>
          <w:szCs w:val="18"/>
          <w:color w:val="auto"/>
        </w:rPr>
        <w:t>*10.15.1</w:t>
      </w:r>
      <w:r>
        <w:rPr>
          <w:sz w:val="20"/>
          <w:szCs w:val="20"/>
          <w:color w:val="auto"/>
        </w:rPr>
        <w:tab/>
      </w:r>
      <w:r>
        <w:rPr>
          <w:rFonts w:ascii="Times New Roman" w:cs="Times New Roman" w:eastAsia="Times New Roman" w:hAnsi="Times New Roman"/>
          <w:sz w:val="18"/>
          <w:szCs w:val="18"/>
          <w:color w:val="auto"/>
        </w:rPr>
        <w:t>Marriott International, Inc. Executive Deferred Compensation Plan, amended and restated as of February</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11, 2022.</w:t>
      </w:r>
    </w:p>
    <w:p>
      <w:pPr>
        <w:spacing w:after="0" w:line="20" w:lineRule="exact"/>
        <w:rPr>
          <w:sz w:val="20"/>
          <w:szCs w:val="20"/>
          <w:color w:val="auto"/>
        </w:rPr>
      </w:pPr>
      <w:r>
        <w:rPr>
          <w:sz w:val="20"/>
          <w:szCs w:val="20"/>
          <w:color w:val="auto"/>
        </w:rPr>
        <w:br w:type="column"/>
      </w:r>
    </w:p>
    <w:p>
      <w:pPr>
        <w:ind w:right="160"/>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Exhibit No. 10.2 to our Form 10-Q filed May 2, 2023 (File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No. 001-13881).</w:t>
        </w:r>
      </w:hyperlink>
    </w:p>
    <w:p>
      <w:pPr>
        <w:spacing w:after="0" w:line="239" w:lineRule="exact"/>
        <w:rPr>
          <w:sz w:val="20"/>
          <w:szCs w:val="20"/>
          <w:color w:val="auto"/>
        </w:rPr>
      </w:pPr>
    </w:p>
    <w:p>
      <w:pPr>
        <w:ind w:right="420"/>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Exhibit No. 10.6.1 to our Form 10-K filed February 15,</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2022 (File No. 001-13881).</w:t>
        </w:r>
      </w:hyperlink>
    </w:p>
    <w:p>
      <w:pPr>
        <w:spacing w:after="0" w:line="225" w:lineRule="exact"/>
        <w:rPr>
          <w:sz w:val="20"/>
          <w:szCs w:val="20"/>
          <w:color w:val="auto"/>
        </w:rPr>
      </w:pPr>
    </w:p>
    <w:p>
      <w:pPr>
        <w:sectPr>
          <w:pgSz w:w="11900" w:h="16838" w:orient="portrait"/>
          <w:cols w:equalWidth="0" w:num="2">
            <w:col w:w="6020" w:space="240"/>
            <w:col w:w="4400"/>
          </w:cols>
          <w:pgMar w:left="320" w:top="121" w:right="919" w:bottom="1440" w:gutter="0" w:footer="0" w:header="0"/>
          <w:type w:val="continuous"/>
        </w:sectPr>
      </w:pPr>
    </w:p>
    <w:tbl>
      <w:tblPr>
        <w:tblLayout w:type="fixed"/>
        <w:tblInd w:w="6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*10.15.2</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 Amendment to the Marriott International, Inc.</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No. 10.7.2 to our Form 10-K filed February 14,</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Executive Deferred Compensation Plan, effective as of</w:t>
            </w:r>
          </w:p>
        </w:tc>
        <w:tc>
          <w:tcPr>
            <w:tcW w:w="39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2023 (File No. 001-13881).</w:t>
              </w:r>
            </w:hyperlink>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October 31, 2022.</w:t>
            </w:r>
          </w:p>
        </w:tc>
        <w:tc>
          <w:tcPr>
            <w:tcW w:w="192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246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*10.15.3</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Amendment to the Marriott International, Inc.</w:t>
            </w:r>
          </w:p>
        </w:tc>
        <w:tc>
          <w:tcPr>
            <w:tcW w:w="1920" w:type="dxa"/>
            <w:vAlign w:val="bottom"/>
            <w:gridSpan w:val="4"/>
            <w:vMerge w:val="continue"/>
          </w:tcPr>
          <w:p>
            <w:pPr>
              <w:spacing w:after="0"/>
              <w:rPr>
                <w:sz w:val="20"/>
                <w:szCs w:val="20"/>
                <w:color w:val="auto"/>
              </w:rPr>
            </w:pPr>
          </w:p>
        </w:tc>
        <w:tc>
          <w:tcPr>
            <w:tcW w:w="246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760" w:type="dxa"/>
            <w:vAlign w:val="bottom"/>
          </w:tcPr>
          <w:p>
            <w:pPr>
              <w:ind w:left="260"/>
              <w:spacing w:after="0" w:line="150" w:lineRule="exact"/>
              <w:rPr>
                <w:sz w:val="20"/>
                <w:szCs w:val="20"/>
                <w:color w:val="auto"/>
              </w:rPr>
            </w:pPr>
            <w:r>
              <w:rPr>
                <w:rFonts w:ascii="Times New Roman" w:cs="Times New Roman" w:eastAsia="Times New Roman" w:hAnsi="Times New Roman"/>
                <w:sz w:val="17"/>
                <w:szCs w:val="17"/>
                <w:color w:val="auto"/>
              </w:rPr>
              <w:t>Executive Deferred Compensation Plan, effective as of</w:t>
            </w:r>
          </w:p>
        </w:tc>
        <w:tc>
          <w:tcPr>
            <w:tcW w:w="15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1, 2024.</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*10.16.1</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Starwood 2013 Long-Term Incentive Compensation Plan.</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Exhibit No. 4.4 to Starwood’s Form S-8 filed June 28, 2013</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43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(File No. 333-189674).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*10.16.2</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dated June 29, 2016 to the Starwood 2013</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Exhibit No. 10.20 to our Form 10-K filed February 15, 2018</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Long-Term Incentive Compensation Plan.</w:t>
            </w:r>
          </w:p>
        </w:tc>
        <w:tc>
          <w:tcPr>
            <w:tcW w:w="1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(File No. 001-13881).</w:t>
              </w:r>
            </w:hyperlink>
          </w:p>
        </w:tc>
        <w:tc>
          <w:tcPr>
            <w:tcW w:w="2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*10.16.3</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dated September 23, 2016 to the Starwood</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Exhibit No. 10.21 to our Form 10-K filed February 15, 2018</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2013 Long-Term Incentive Compensation Plan.</w:t>
            </w:r>
          </w:p>
        </w:tc>
        <w:tc>
          <w:tcPr>
            <w:tcW w:w="1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(File No. 001-13881).</w:t>
              </w:r>
            </w:hyperlink>
          </w:p>
        </w:tc>
        <w:tc>
          <w:tcPr>
            <w:tcW w:w="2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*10.16.4</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dated May 5, 2017 to the Starwood 2013 Long-</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No. 10.19.1 to our Form 10-K filed February 15,</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Term Incentive Compensation Plan.</w:t>
            </w:r>
          </w:p>
        </w:tc>
        <w:tc>
          <w:tcPr>
            <w:tcW w:w="40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2018 (File No. 001-13881).</w:t>
              </w:r>
            </w:hyperlink>
          </w:p>
        </w:tc>
        <w:tc>
          <w:tcPr>
            <w:tcW w:w="2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36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Aircraft Time Sharing Agreement,</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Exhibit No. 10.2 to our Form 10-Q filed November 2, 2023</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effective as of September 14, 2023, between Marriott</w:t>
            </w:r>
          </w:p>
        </w:tc>
        <w:tc>
          <w:tcPr>
            <w:tcW w:w="42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(File No. 001-13881).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International Administrative Services, Inc. and Anthony</w:t>
            </w: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Capuano.</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Aircraft Time Sharing</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Exhibit No. 10.1 to our Form 10-Q filed November 2, 2023</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Agreement, effective as of September 14, 2023, between</w:t>
            </w:r>
          </w:p>
        </w:tc>
        <w:tc>
          <w:tcPr>
            <w:tcW w:w="42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 No. 001-13881).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Marriott International Administrative Services, Inc. and J.</w:t>
            </w: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Willard Marriott, Jr.</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Aircraft Time Sharing Agreement, effective as of February</w:t>
            </w:r>
          </w:p>
        </w:tc>
        <w:tc>
          <w:tcPr>
            <w:tcW w:w="4380" w:type="dxa"/>
            <w:vAlign w:val="bottom"/>
            <w:gridSpan w:val="1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 xml:space="preserve">Exhibit No. 10.16 to our Form 10-K filed February 14, </w:t>
              </w:r>
            </w:hyperlink>
            <w:r>
              <w:rPr>
                <w:rFonts w:ascii="Times New Roman" w:cs="Times New Roman" w:eastAsia="Times New Roman" w:hAnsi="Times New Roman"/>
                <w:sz w:val="18"/>
                <w:szCs w:val="18"/>
                <w:color w:val="0000FF"/>
              </w:rPr>
              <w:t>2023</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47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9, 2023, between Marriott International Administrative</w:t>
            </w:r>
          </w:p>
        </w:tc>
        <w:tc>
          <w:tcPr>
            <w:tcW w:w="1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(File No. 001-13881).</w:t>
              </w:r>
            </w:hyperlink>
          </w:p>
        </w:tc>
        <w:tc>
          <w:tcPr>
            <w:tcW w:w="27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Services, Inc. and David Marriott.</w:t>
            </w:r>
          </w:p>
        </w:tc>
        <w:tc>
          <w:tcPr>
            <w:tcW w:w="4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Subsidiaries of Marriott International, Inc.</w:t>
            </w:r>
          </w:p>
        </w:tc>
        <w:tc>
          <w:tcPr>
            <w:tcW w:w="4380" w:type="dxa"/>
            <w:vAlign w:val="bottom"/>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438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w:t>
            </w:r>
          </w:p>
        </w:tc>
        <w:tc>
          <w:tcPr>
            <w:tcW w:w="438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13a-14(a).</w:t>
            </w:r>
          </w:p>
        </w:tc>
        <w:tc>
          <w:tcPr>
            <w:tcW w:w="1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8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4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w:t>
            </w:r>
          </w:p>
        </w:tc>
        <w:tc>
          <w:tcPr>
            <w:tcW w:w="4380" w:type="dxa"/>
            <w:vAlign w:val="bottom"/>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13a-14(a).</w:t>
            </w:r>
          </w:p>
        </w:tc>
        <w:tc>
          <w:tcPr>
            <w:tcW w:w="1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80" w:type="dxa"/>
            <w:vAlign w:val="bottom"/>
          </w:tcPr>
          <w:p>
            <w:pPr>
              <w:spacing w:after="0"/>
              <w:rPr>
                <w:sz w:val="18"/>
                <w:szCs w:val="18"/>
                <w:color w:val="auto"/>
              </w:rPr>
            </w:pPr>
          </w:p>
        </w:tc>
        <w:tc>
          <w:tcPr>
            <w:tcW w:w="4760" w:type="dxa"/>
            <w:vAlign w:val="bottom"/>
            <w:vMerge w:val="continue"/>
          </w:tcPr>
          <w:p>
            <w:pPr>
              <w:spacing w:after="0"/>
              <w:rPr>
                <w:sz w:val="18"/>
                <w:szCs w:val="18"/>
                <w:color w:val="auto"/>
              </w:rPr>
            </w:pPr>
          </w:p>
        </w:tc>
        <w:tc>
          <w:tcPr>
            <w:tcW w:w="4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i w:val="1"/>
                <w:iCs w:val="1"/>
                <w:color w:val="0000FF"/>
              </w:rPr>
              <w:t>Furnished with this report.</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4380" w:type="dxa"/>
            <w:vAlign w:val="bottom"/>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20" w:top="121" w:right="9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w:t>
            </w:r>
          </w:p>
        </w:tc>
        <w:tc>
          <w:tcPr>
            <w:tcW w:w="0" w:type="dxa"/>
            <w:vAlign w:val="bottom"/>
          </w:tcPr>
          <w:p>
            <w:pPr>
              <w:spacing w:after="0"/>
              <w:rPr>
                <w:sz w:val="1"/>
                <w:szCs w:val="1"/>
                <w:color w:val="auto"/>
              </w:rPr>
            </w:pPr>
          </w:p>
        </w:tc>
      </w:tr>
      <w:tr>
        <w:trPr>
          <w:trHeight w:val="146"/>
        </w:trPr>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2"/>
                <w:szCs w:val="12"/>
                <w:color w:val="auto"/>
              </w:rPr>
            </w:pPr>
          </w:p>
        </w:tc>
        <w:tc>
          <w:tcPr>
            <w:tcW w:w="44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document has been previously filed with the SEC and the applicable</w:t>
            </w: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is incorporated by reference thereto)</w:t>
            </w: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6"/>
                <w:szCs w:val="16"/>
                <w:color w:val="auto"/>
              </w:rPr>
            </w:pPr>
          </w:p>
        </w:tc>
        <w:tc>
          <w:tcPr>
            <w:tcW w:w="4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Marriott International, Inc. Rule 10D-1 Clawback Policy.</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0000FF"/>
              </w:rPr>
              <w:t>Filed with this report.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1"/>
                <w:szCs w:val="21"/>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financial statements from Marriott</w:t>
            </w:r>
          </w:p>
        </w:tc>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International, Inc.’s Annual Report on Form 10-K for the</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year ended December 31, 2023, formatted in Inline XBRL</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(Extensible Business Reporting Language): (i) the</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Consolidated Statements of Income for the year ended</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2023, December 31, 2022, and December 31,</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2021; (ii) the Consolidated Balance Sheets at December 31,</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and December 31, 2022; (iii) the Consolidated</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Statements of Cash Flows for the year ended December 31,</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2023, December 31, 2022, and December 31, 2021; (iv) the</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Consolidated Statements of Comprehensive Income for the</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year ended December 31, 2023, December 31, 2022, and</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31, 2021; (v) the Consolidated Statements of</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Stockholders’ (Deficit) Equity for the year ended</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2023, December 31, 2022, and December 31,</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and (vi) Notes to Consolidated Financial Statements.</w:t>
            </w: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8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cover page from Marriott International, Inc.’s Annual</w:t>
            </w:r>
          </w:p>
        </w:tc>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Report on Form 10-K for the year ended December 31,</w:t>
            </w: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spacing w:after="0"/>
        <w:rPr>
          <w:sz w:val="20"/>
          <w:szCs w:val="20"/>
          <w:color w:val="auto"/>
        </w:rPr>
      </w:pPr>
      <w:r>
        <w:rPr>
          <w:rFonts w:ascii="Times New Roman" w:cs="Times New Roman" w:eastAsia="Times New Roman" w:hAnsi="Times New Roman"/>
          <w:sz w:val="18"/>
          <w:szCs w:val="18"/>
          <w:color w:val="auto"/>
        </w:rPr>
        <w:t>2023, formatted in Inline XBRL (included as Exhibit 101).</w:t>
      </w:r>
    </w:p>
    <w:p>
      <w:pPr>
        <w:spacing w:after="0" w:line="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Denotes management contract or compensatory plan.</w:t>
      </w:r>
    </w:p>
    <w:p>
      <w:pPr>
        <w:spacing w:after="0" w:line="63" w:lineRule="exact"/>
        <w:rPr>
          <w:sz w:val="20"/>
          <w:szCs w:val="20"/>
          <w:color w:val="auto"/>
        </w:rPr>
      </w:pPr>
    </w:p>
    <w:p>
      <w:pPr>
        <w:ind w:left="420" w:hanging="412"/>
        <w:spacing w:after="0" w:line="282" w:lineRule="auto"/>
        <w:tabs>
          <w:tab w:leader="none" w:pos="2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we have duly caused this Form 10-K to be signed on our behalf by the undersigned, thereunto duly authorized, on this 13th day of February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MARRIOTT INTERNATIONAL, INC.</w:t>
      </w:r>
    </w:p>
    <w:p>
      <w:pPr>
        <w:spacing w:after="0" w:line="50"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5717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Anthony G. Capuano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Form 10-K has been signed by the following persons on our behalf in the capacities indicated and on the date indicated above.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/s/Anthony G. Capuano</w:t>
            </w:r>
          </w:p>
        </w:tc>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7"/>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Anthony G. Capuano</w:t>
            </w:r>
          </w:p>
        </w:tc>
        <w:tc>
          <w:tcPr>
            <w:tcW w:w="5260" w:type="dxa"/>
            <w:vAlign w:val="bottom"/>
          </w:tcPr>
          <w:p>
            <w:pPr>
              <w:spacing w:after="0"/>
              <w:rPr>
                <w:sz w:val="20"/>
                <w:szCs w:val="20"/>
                <w:color w:val="auto"/>
              </w:rPr>
            </w:pPr>
          </w:p>
        </w:tc>
      </w:tr>
      <w:tr>
        <w:trPr>
          <w:trHeight w:val="50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260" w:type="dxa"/>
            <w:vAlign w:val="bottom"/>
          </w:tcPr>
          <w:p>
            <w:pPr>
              <w:spacing w:after="0"/>
              <w:rPr>
                <w:sz w:val="24"/>
                <w:szCs w:val="24"/>
                <w:color w:val="auto"/>
              </w:rPr>
            </w:pPr>
          </w:p>
        </w:tc>
      </w:tr>
      <w:tr>
        <w:trPr>
          <w:trHeight w:val="499"/>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/s/Kathleen K. Oberg</w:t>
            </w:r>
          </w:p>
        </w:tc>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Chief Financial Officer and Executive Vice President, Development</w:t>
            </w:r>
          </w:p>
        </w:tc>
      </w:tr>
      <w:tr>
        <w:trPr>
          <w:trHeight w:val="27"/>
        </w:trPr>
        <w:tc>
          <w:tcPr>
            <w:tcW w:w="54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2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Kathleen K. Oberg</w:t>
            </w:r>
          </w:p>
        </w:tc>
        <w:tc>
          <w:tcPr>
            <w:tcW w:w="5260" w:type="dxa"/>
            <w:vAlign w:val="bottom"/>
          </w:tcPr>
          <w:p>
            <w:pPr>
              <w:spacing w:after="0"/>
              <w:rPr>
                <w:sz w:val="19"/>
                <w:szCs w:val="19"/>
                <w:color w:val="auto"/>
              </w:rPr>
            </w:pPr>
          </w:p>
        </w:tc>
      </w:tr>
      <w:tr>
        <w:trPr>
          <w:trHeight w:val="44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5260" w:type="dxa"/>
            <w:vAlign w:val="bottom"/>
          </w:tcPr>
          <w:p>
            <w:pPr>
              <w:spacing w:after="0"/>
              <w:rPr>
                <w:sz w:val="24"/>
                <w:szCs w:val="24"/>
                <w:color w:val="auto"/>
              </w:rPr>
            </w:pPr>
          </w:p>
        </w:tc>
      </w:tr>
      <w:tr>
        <w:trPr>
          <w:trHeight w:val="499"/>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/s/Felitia O. Lee</w:t>
            </w:r>
          </w:p>
        </w:tc>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r>
        <w:trPr>
          <w:trHeight w:val="27"/>
        </w:trPr>
        <w:tc>
          <w:tcPr>
            <w:tcW w:w="542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r>
      <w:tr>
        <w:trPr>
          <w:trHeight w:val="22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Felitia O. Lee</w:t>
            </w:r>
          </w:p>
        </w:tc>
        <w:tc>
          <w:tcPr>
            <w:tcW w:w="5260" w:type="dxa"/>
            <w:vAlign w:val="bottom"/>
          </w:tcPr>
          <w:p>
            <w:pPr>
              <w:spacing w:after="0"/>
              <w:rPr>
                <w:sz w:val="19"/>
                <w:szCs w:val="19"/>
                <w:color w:val="auto"/>
              </w:rPr>
            </w:pPr>
          </w:p>
        </w:tc>
      </w:tr>
      <w:tr>
        <w:trPr>
          <w:trHeight w:val="44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526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1120"/>
          </w:cols>
          <w:pgMar w:left="320" w:top="121" w:right="459" w:bottom="1440" w:gutter="0" w:footer="0" w:header="0"/>
        </w:sectPr>
      </w:pPr>
    </w:p>
    <w:p>
      <w:pPr>
        <w:jc w:val="center"/>
        <w:ind w:right="1180"/>
        <w:spacing w:after="0"/>
        <w:rPr>
          <w:sz w:val="20"/>
          <w:szCs w:val="20"/>
          <w:color w:val="auto"/>
        </w:rPr>
      </w:pPr>
      <w:r>
        <w:rPr>
          <w:rFonts w:ascii="Times New Roman" w:cs="Times New Roman" w:eastAsia="Times New Roman" w:hAnsi="Times New Roman"/>
          <w:sz w:val="18"/>
          <w:szCs w:val="18"/>
          <w:color w:val="auto"/>
        </w:rPr>
        <w:t>/s/David S.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7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David S. Marriott, Chairman of the Board</w:t>
      </w:r>
    </w:p>
    <w:p>
      <w:pPr>
        <w:spacing w:after="0" w:line="29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/s/Isabella D. Goren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Isabella D. Goren, Director</w:t>
      </w:r>
    </w:p>
    <w:p>
      <w:pPr>
        <w:spacing w:after="0" w:line="3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7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Deborah Marriott Harrison,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7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Frederick A. Henderson, Director</w:t>
      </w:r>
    </w:p>
    <w:p>
      <w:pPr>
        <w:spacing w:after="0" w:line="2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7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Eric Hippeau, Director</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/s/Lauren R. Hobart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37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Lauren R. Hobart, Director</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Times New Roman" w:cs="Times New Roman" w:eastAsia="Times New Roman" w:hAnsi="Times New Roman"/>
          <w:sz w:val="18"/>
          <w:szCs w:val="18"/>
          <w:color w:val="auto"/>
        </w:rPr>
        <w:t>/s/Debra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34290</wp:posOffset>
            </wp:positionV>
            <wp:extent cx="34715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4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Debra L. Lee, Director</w:t>
      </w:r>
    </w:p>
    <w:p>
      <w:pPr>
        <w:spacing w:after="0" w:line="252"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34290</wp:posOffset>
            </wp:positionV>
            <wp:extent cx="34715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Aylwin B. Lewis, Director</w:t>
      </w:r>
    </w:p>
    <w:p>
      <w:pPr>
        <w:spacing w:after="0" w:line="320"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/s/Margaret M.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34290</wp:posOffset>
            </wp:positionV>
            <wp:extent cx="34715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Margaret M. McCarthy, Director</w:t>
      </w:r>
    </w:p>
    <w:p>
      <w:pPr>
        <w:spacing w:after="0" w:line="29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/s/Grant F.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34715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Grant F. Reid, Director</w:t>
      </w:r>
    </w:p>
    <w:p>
      <w:pPr>
        <w:spacing w:after="0" w:line="225"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34715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Horacio D. Rozanski, Director</w:t>
      </w:r>
    </w:p>
    <w:p>
      <w:pPr>
        <w:spacing w:after="0" w:line="225"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34715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Susan C. Schwab, Director</w:t>
      </w:r>
    </w:p>
    <w:p>
      <w:pPr>
        <w:spacing w:after="0" w:line="200" w:lineRule="exact"/>
        <w:rPr>
          <w:sz w:val="20"/>
          <w:szCs w:val="20"/>
          <w:color w:val="auto"/>
        </w:rPr>
      </w:pPr>
    </w:p>
    <w:p>
      <w:pPr>
        <w:sectPr>
          <w:pgSz w:w="11900" w:h="16838" w:orient="portrait"/>
          <w:cols w:equalWidth="0" w:num="2">
            <w:col w:w="6600" w:space="720"/>
            <w:col w:w="3800"/>
          </w:cols>
          <w:pgMar w:left="320" w:top="121" w:right="45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121" w:right="45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75"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2"/>
          <w:szCs w:val="22"/>
          <w:color w:val="auto"/>
        </w:rPr>
        <w:t>Marriott International, Inc. (“Marriott”) has one class of securities registered under Section 12 of the Securities Exchange Act of 1934, as amended: our Class A Common Stock, par value $0.01 per share (our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27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2"/>
          <w:szCs w:val="22"/>
          <w:color w:val="auto"/>
        </w:rPr>
        <w:t>The following summary description sets forth some of the general terms and provisions of our common stock. Because this is a summary description, it does not contain all of the information that may be important to you. For a more detailed description of our common stock, you should refer to the provisions of our restated certificate of incorporation (our “certificate of incorporation”) and our amended and restated bylaws (our “bylaws”), each of which are exhibits to the Annual Report on Form 10-K to which this description is an exhibit.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3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2"/>
          <w:szCs w:val="22"/>
          <w:color w:val="auto"/>
        </w:rPr>
        <w:t>Under our certificate of incorporation, Marriott is authorized to issue up to eight hundred million (800,000,000) shares of our common stock and up to ten million (10,000,000) shares of preferred stock, without par value (our “preferred stock”), 800,000 shares of which have been designated Series A Junior Participating Preferred Stock. The shares of our common stock currently outstanding are fully paid and non-assessable. No shares of preferred stock are currently outstanding.</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Preemptive, Redemption or Conversion Rights</w:t>
      </w:r>
    </w:p>
    <w:p>
      <w:pPr>
        <w:spacing w:after="0" w:line="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2"/>
          <w:szCs w:val="22"/>
          <w:color w:val="auto"/>
        </w:rPr>
        <w:t>Our common stock is not redeemable, is not subject to sinking fund provisions, does not have any conversion rights and is not subject to call. Holders of shares of common stock do not have preemptive rights to acquire newly issued shares, but our certificate of incorporation states that our board of directors may provide for such rights in the future in its discretion.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3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2"/>
          <w:szCs w:val="22"/>
          <w:color w:val="auto"/>
        </w:rPr>
        <w:t>We have one class of stock outstanding, our common stock, all holders of which have ten votes per share in all elections of directors and on all other matters submitted to a vote of stockholders of Marriott. Holders of shares of common stock do not have cumulative voting rights. Directors elected at a meeting of stockholders are elected by the vote of the majority of the votes cast (as defined in our bylaws), provided, that if the number of nominees exceeds the number of directors to be elected, the directors, not exceeding the authorized number of directors as fixed by the board of directors in accordance with the bylaws, receiving the greatest number of votes of the stockholders entitled to vote thereon, present in person or by proxy, will be elected. All other matters submitted to a vote of stockholders are decided by the affirmative vote of a majority of the voting power of the shares present in person or represented by proxy and entitled to vote</w:t>
      </w:r>
    </w:p>
    <w:p>
      <w:pPr>
        <w:sectPr>
          <w:pgSz w:w="11900" w:h="16838" w:orient="portrait"/>
          <w:cols w:equalWidth="0" w:num="1">
            <w:col w:w="11240"/>
          </w:cols>
          <w:pgMar w:left="320" w:top="122" w:right="339" w:bottom="1440" w:gutter="0" w:footer="0" w:header="0"/>
        </w:sectPr>
      </w:pPr>
    </w:p>
    <w:bookmarkStart w:id="72" w:name="page73"/>
    <w:bookmarkEnd w:id="72"/>
    <w:p>
      <w:pPr>
        <w:ind w:right="1040"/>
        <w:spacing w:after="0" w:line="296" w:lineRule="auto"/>
        <w:rPr>
          <w:sz w:val="20"/>
          <w:szCs w:val="20"/>
          <w:color w:val="auto"/>
        </w:rPr>
      </w:pPr>
      <w:r>
        <w:rPr>
          <w:rFonts w:ascii="Times New Roman" w:cs="Times New Roman" w:eastAsia="Times New Roman" w:hAnsi="Times New Roman"/>
          <w:sz w:val="22"/>
          <w:szCs w:val="22"/>
          <w:color w:val="auto"/>
        </w:rPr>
        <w:t>thereon, unless the matter is one upon which a different vote is required by express provision of law, our certificate of incorporation or our bylaws.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3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2"/>
          <w:szCs w:val="22"/>
          <w:color w:val="auto"/>
        </w:rPr>
        <w:t>Our board of directors is not classified. Our board of directors has the authority to make, alter, amend and repeal bylaws, subject to certain limitations set forth in our certificate of incorporation and bylaws.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Dividend Rights</w:t>
      </w:r>
    </w:p>
    <w:p>
      <w:pPr>
        <w:spacing w:after="0" w:line="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2"/>
          <w:szCs w:val="22"/>
          <w:color w:val="auto"/>
        </w:rPr>
        <w:t>Subject to the preferences applicable to any outstanding shares of preferred stock, the holders of common stock are entitled to receive dividends, if any, as and when declared, from time to time, by our board of directors out of funds legally available therefor.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Liquidation, Dissolution or Similar Rights</w:t>
      </w:r>
    </w:p>
    <w:p>
      <w:pPr>
        <w:spacing w:after="0" w:line="35" w:lineRule="exact"/>
        <w:rPr>
          <w:sz w:val="20"/>
          <w:szCs w:val="20"/>
          <w:color w:val="auto"/>
        </w:rPr>
      </w:pPr>
    </w:p>
    <w:p>
      <w:pPr>
        <w:jc w:val="both"/>
        <w:ind w:right="620"/>
        <w:spacing w:after="0" w:line="276" w:lineRule="auto"/>
        <w:rPr>
          <w:sz w:val="20"/>
          <w:szCs w:val="20"/>
          <w:color w:val="auto"/>
        </w:rPr>
      </w:pPr>
      <w:r>
        <w:rPr>
          <w:rFonts w:ascii="Times New Roman" w:cs="Times New Roman" w:eastAsia="Times New Roman" w:hAnsi="Times New Roman"/>
          <w:sz w:val="22"/>
          <w:szCs w:val="22"/>
          <w:color w:val="auto"/>
        </w:rPr>
        <w:t>Upon dissolution, after satisfaction of the claims of creditors, the assets of Marriott would be distributed to stockholders in accordance with their respective interests, including any rights a holder of shares of preferred stock may have to preferred distributions upon dissolution or liquidation of Marriott.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3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2"/>
          <w:szCs w:val="22"/>
          <w:color w:val="auto"/>
        </w:rPr>
        <w:t>Under our certificate of incorporation, without further stockholder action, our board of directors is authorized, subject to any limitations prescribed by Delaware law, to provide for the issuance of shares of preferred stock in one or more series, to establish from time to time the number of shares to be included in each such series, to set the voting powers of each such series, and to fix the designations, preferences and relative, participating, optional or other special rights, and qualifications, limitations or restrictions of each such series.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Forum Selection Clause</w:t>
      </w:r>
    </w:p>
    <w:p>
      <w:pPr>
        <w:spacing w:after="0" w:line="3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2"/>
          <w:szCs w:val="22"/>
          <w:color w:val="auto"/>
        </w:rPr>
        <w:t>Under our bylaws, unless Marriott consents in writing to the selection of an alternative forum, (a) the sole and exclusive forum for any current or former stockholder to bring internal corporate claims (as defined below) shall be the Court of Chancery of the State of Delaware (or, if the Court of Chancery does not have jurisdiction, another state court or a federal court located within the State of Delaware); and (b) the sole and exclusive forum for any complaint asserting a cause of action arising under the Securities Act of 1933 shall be the federal district courts of the United States of America. “Internal corporate claims” means claims, including claims in the right of Marriott, (i) that are based upon a violation of a duty by a current or former director, officer, employee or stockholder in such capacity, or (ii) as to which the Delaware General Corporation Law (the “DGCL”) confers jurisdiction upon the Court of Chancery.</w:t>
      </w:r>
    </w:p>
    <w:p>
      <w:pPr>
        <w:spacing w:after="0" w:line="213" w:lineRule="exact"/>
        <w:rPr>
          <w:sz w:val="20"/>
          <w:szCs w:val="20"/>
          <w:color w:val="auto"/>
        </w:rPr>
      </w:pPr>
    </w:p>
    <w:p>
      <w:pPr>
        <w:ind w:right="380" w:firstLine="756"/>
        <w:spacing w:after="0" w:line="284" w:lineRule="auto"/>
        <w:rPr>
          <w:sz w:val="20"/>
          <w:szCs w:val="20"/>
          <w:color w:val="auto"/>
        </w:rPr>
      </w:pPr>
      <w:r>
        <w:rPr>
          <w:rFonts w:ascii="Times New Roman" w:cs="Times New Roman" w:eastAsia="Times New Roman" w:hAnsi="Times New Roman"/>
          <w:sz w:val="22"/>
          <w:szCs w:val="22"/>
          <w:b w:val="1"/>
          <w:bCs w:val="1"/>
          <w:color w:val="auto"/>
        </w:rPr>
        <w:t xml:space="preserve">Other Anti-Takeover Effects of Provisions of our Certificate of Incorporation, Bylaws, and Delaware Law </w:t>
      </w:r>
      <w:r>
        <w:rPr>
          <w:rFonts w:ascii="Times New Roman" w:cs="Times New Roman" w:eastAsia="Times New Roman" w:hAnsi="Times New Roman"/>
          <w:sz w:val="22"/>
          <w:szCs w:val="22"/>
          <w:color w:val="auto"/>
        </w:rPr>
        <w:t>Our certificate of incorporation and bylaws and Delaware law contain provisions that, in addition to being applicable in other contexts, could delay or discourage some transactions involving an</w:t>
      </w:r>
    </w:p>
    <w:p>
      <w:pPr>
        <w:sectPr>
          <w:pgSz w:w="11900" w:h="16838" w:orient="portrait"/>
          <w:cols w:equalWidth="0" w:num="1">
            <w:col w:w="11220"/>
          </w:cols>
          <w:pgMar w:left="320" w:top="1422" w:right="359" w:bottom="1440" w:gutter="0" w:footer="0" w:header="0"/>
        </w:sectPr>
      </w:pPr>
    </w:p>
    <w:bookmarkStart w:id="73" w:name="page74"/>
    <w:bookmarkEnd w:id="73"/>
    <w:p>
      <w:pPr>
        <w:spacing w:after="0" w:line="273" w:lineRule="auto"/>
        <w:rPr>
          <w:sz w:val="20"/>
          <w:szCs w:val="20"/>
          <w:color w:val="auto"/>
        </w:rPr>
      </w:pPr>
      <w:r>
        <w:rPr>
          <w:rFonts w:ascii="Times New Roman" w:cs="Times New Roman" w:eastAsia="Times New Roman" w:hAnsi="Times New Roman"/>
          <w:sz w:val="22"/>
          <w:szCs w:val="22"/>
          <w:color w:val="auto"/>
        </w:rPr>
        <w:t>actual or potential change in control of Marriott or its management. For example, under Section 203 of the DGCL a stockholder holding 15% or more of our outstanding voting stock could not acquire us without consent of our board of directors for at least three years after the date the stockholder first held 15% or more of the voting stock. Our governing corporate documents also, among other things, require supermajority votes for mergers and similar transactions, for certain transactions with any interested stockholder (as defined in our certificate of incorporation), as well as to remove a director, and to amend certain provisions of our certificate of incorporation and bylaws. In addition, our board of directors could, without stockholder approval, implement other anti-takeover defenses, such as a stockholder rights plan.</w:t>
      </w:r>
    </w:p>
    <w:p>
      <w:pPr>
        <w:sectPr>
          <w:pgSz w:w="11900" w:h="16838" w:orient="portrait"/>
          <w:cols w:equalWidth="0" w:num="1">
            <w:col w:w="11200"/>
          </w:cols>
          <w:pgMar w:left="320" w:top="1422"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RESOLUTION TO ADOPT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UNITED KINGDOM SUB-PLAN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MARRIOTT INTERNATIONAL, INC. STOCK AND CASH INCENTIVE PLAN</w:t>
      </w:r>
    </w:p>
    <w:p>
      <w:pPr>
        <w:spacing w:after="0" w:line="395" w:lineRule="exact"/>
        <w:rPr>
          <w:sz w:val="20"/>
          <w:szCs w:val="20"/>
          <w:color w:val="auto"/>
        </w:rPr>
      </w:pPr>
    </w:p>
    <w:p>
      <w:pPr>
        <w:jc w:val="both"/>
        <w:ind w:firstLine="40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Marriott International, Inc. (the “Company”) sponsors the 2023 Marriott International, Inc. Stock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(the “Plan”);</w:t>
      </w:r>
    </w:p>
    <w:p>
      <w:pPr>
        <w:spacing w:after="0" w:line="83" w:lineRule="exact"/>
        <w:rPr>
          <w:sz w:val="20"/>
          <w:szCs w:val="20"/>
          <w:color w:val="auto"/>
        </w:rPr>
      </w:pPr>
    </w:p>
    <w:p>
      <w:pPr>
        <w:jc w:val="both"/>
        <w:ind w:firstLine="40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Sections 3.2 and 16.1 of the Plan permit the Company’s most senior human resources officer (“HR Officer”)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the Plan at any time and from time to time, provided that no such amendment shall materially increase the cost of the Plan to the Company;</w:t>
      </w:r>
    </w:p>
    <w:p>
      <w:pPr>
        <w:spacing w:after="0" w:line="112" w:lineRule="exact"/>
        <w:rPr>
          <w:sz w:val="20"/>
          <w:szCs w:val="20"/>
          <w:color w:val="auto"/>
        </w:rPr>
      </w:pPr>
    </w:p>
    <w:p>
      <w:pPr>
        <w:jc w:val="both"/>
        <w:ind w:firstLine="40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HR Officer desires to adopt the United Kingdom Sub-Plan (the “Sub-Plan”), the provisions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 all awards offered, granted or issued to U.K. Employees (as defined in the Sub-Plan);</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such amendment does not materially increase the cost to the Company of maintaining the Plan;</w:t>
      </w:r>
    </w:p>
    <w:p>
      <w:pPr>
        <w:spacing w:after="0" w:line="166" w:lineRule="exact"/>
        <w:rPr>
          <w:sz w:val="20"/>
          <w:szCs w:val="20"/>
          <w:color w:val="auto"/>
        </w:rPr>
      </w:pPr>
    </w:p>
    <w:p>
      <w:pPr>
        <w:jc w:val="both"/>
        <w:ind w:firstLine="40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 BE IT RESOLVED</w:t>
      </w:r>
      <w:r>
        <w:rPr>
          <w:rFonts w:ascii="Times New Roman" w:cs="Times New Roman" w:eastAsia="Times New Roman" w:hAnsi="Times New Roman"/>
          <w:sz w:val="22"/>
          <w:szCs w:val="22"/>
          <w:color w:val="auto"/>
        </w:rPr>
        <w:t>, the HR Officer hereby adopts and approves this resolution and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Kingdom Sub-Plan, substantially in the form attached as Exhibit A.</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HR Officer has adopted this resolution and amendment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December 2023.</w:t>
      </w:r>
    </w:p>
    <w:p>
      <w:pPr>
        <w:spacing w:after="0" w:line="200" w:lineRule="exact"/>
        <w:rPr>
          <w:sz w:val="20"/>
          <w:szCs w:val="20"/>
          <w:color w:val="auto"/>
        </w:rPr>
      </w:pPr>
    </w:p>
    <w:p>
      <w:pPr>
        <w:spacing w:after="0" w:line="2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u w:val="single" w:color="auto"/>
          <w:color w:val="auto"/>
        </w:rPr>
        <w:t>/s/ Benjamin T. Breland</w:t>
      </w:r>
    </w:p>
    <w:p>
      <w:pPr>
        <w:spacing w:after="0" w:line="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Benjamin T. Breland,</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Executive Vice President and Chief Human</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Resources Officer</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MARRIOTT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AND CASH INCENTIVE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Kingdom Sub-Plan</w:t>
      </w:r>
    </w:p>
    <w:p>
      <w:pPr>
        <w:spacing w:after="0" w:line="341" w:lineRule="exact"/>
        <w:rPr>
          <w:sz w:val="20"/>
          <w:szCs w:val="20"/>
          <w:color w:val="auto"/>
        </w:rPr>
      </w:pPr>
    </w:p>
    <w:p>
      <w:pPr>
        <w:jc w:val="both"/>
        <w:ind w:firstLine="408"/>
        <w:spacing w:after="0" w:line="250" w:lineRule="auto"/>
        <w:rPr>
          <w:sz w:val="20"/>
          <w:szCs w:val="20"/>
          <w:color w:val="auto"/>
        </w:rPr>
      </w:pPr>
      <w:r>
        <w:rPr>
          <w:rFonts w:ascii="Times New Roman" w:cs="Times New Roman" w:eastAsia="Times New Roman" w:hAnsi="Times New Roman"/>
          <w:sz w:val="22"/>
          <w:szCs w:val="22"/>
          <w:color w:val="auto"/>
        </w:rPr>
        <w:t xml:space="preserve">This United Kingdom Sub-Plan (the </w:t>
      </w:r>
      <w:r>
        <w:rPr>
          <w:rFonts w:ascii="Times New Roman" w:cs="Times New Roman" w:eastAsia="Times New Roman" w:hAnsi="Times New Roman"/>
          <w:sz w:val="22"/>
          <w:szCs w:val="22"/>
          <w:b w:val="1"/>
          <w:bCs w:val="1"/>
          <w:color w:val="auto"/>
        </w:rPr>
        <w:t>“Sub-Plan”</w:t>
      </w:r>
      <w:r>
        <w:rPr>
          <w:rFonts w:ascii="Times New Roman" w:cs="Times New Roman" w:eastAsia="Times New Roman" w:hAnsi="Times New Roman"/>
          <w:sz w:val="22"/>
          <w:szCs w:val="22"/>
          <w:color w:val="auto"/>
        </w:rPr>
        <w:t xml:space="preserve">) is a sub-plan of the 2023 Marriott International, Inc. Stock and Cash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has been created and approved in accordance with the provisions of Sections 3.2 and 16.1 of the Plan. The provisions of the Plan shall apply to all Awards offered, granted, or issued to U.K. Employees, as defined herein, unless otherwise provided by the provisions in this Sub-Plan, such that this Sub-Plan shall constitute an “Employee share scheme” within the meaning of the United Kingdom Financial Services and Markets Act 2000 (Financial Promotion) Order 2005 and the Financial Services and Markets Act 2000 (Regulated Activities) Order 2001. Terms defined in the Plan shall have the same meanings in this Sub-Plan unless otherwise defined herein.</w:t>
      </w:r>
    </w:p>
    <w:p>
      <w:pPr>
        <w:spacing w:after="0" w:line="126" w:lineRule="exact"/>
        <w:rPr>
          <w:sz w:val="20"/>
          <w:szCs w:val="20"/>
          <w:color w:val="auto"/>
        </w:rPr>
      </w:pPr>
    </w:p>
    <w:p>
      <w:pPr>
        <w:jc w:val="both"/>
        <w:ind w:left="660" w:hanging="328"/>
        <w:spacing w:after="0" w:line="253" w:lineRule="auto"/>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of the Plan. </w:t>
      </w:r>
      <w:r>
        <w:rPr>
          <w:rFonts w:ascii="Times New Roman" w:cs="Times New Roman" w:eastAsia="Times New Roman" w:hAnsi="Times New Roman"/>
          <w:sz w:val="22"/>
          <w:szCs w:val="22"/>
          <w:color w:val="auto"/>
        </w:rPr>
        <w:t>Section 1.2 of the Plan applies to this Sub-Plan, except that this Sub-Plan will apply to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to U.K. Employees, such that the purpose of the Sub-Plan is to promote and enhance the long-term growth of the Company by aligning the personal interests of U.K. Employees to those of Company stockholders and allowing such U.K. Employees to participate in the growth, development, and financial performance of the Company.</w:t>
      </w:r>
    </w:p>
    <w:p>
      <w:pPr>
        <w:spacing w:after="0" w:line="134"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69" w:lineRule="exact"/>
        <w:rPr>
          <w:rFonts w:ascii="Times New Roman" w:cs="Times New Roman" w:eastAsia="Times New Roman" w:hAnsi="Times New Roman"/>
          <w:sz w:val="22"/>
          <w:szCs w:val="22"/>
          <w:b w:val="1"/>
          <w:bCs w:val="1"/>
          <w:color w:val="auto"/>
        </w:rPr>
      </w:pPr>
    </w:p>
    <w:p>
      <w:pPr>
        <w:jc w:val="both"/>
        <w:ind w:left="1300" w:hanging="320"/>
        <w:spacing w:after="0" w:line="252" w:lineRule="auto"/>
        <w:tabs>
          <w:tab w:leader="none" w:pos="128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Sub-Plan, “U.K. Employee” means an employee or former employee of the Company or of another member of the same Group as the Company who resides in the United Kingdom at the time of the offer, who would otherwise qualify as an Employee under the Plan. “Group” has the meaning given in section 421 of the Financial Services and Markets Act 2000.</w:t>
      </w:r>
    </w:p>
    <w:p>
      <w:pPr>
        <w:spacing w:after="0" w:line="138"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3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 applies to this Sub-Plan except that the words “Non-Employee Director Deferred Share Awards or Stock Units” are omitted such that Non-Employee Director Deferred Share Awards and Stock Units may not be granted under this Sub-Plan.</w:t>
      </w:r>
    </w:p>
    <w:p>
      <w:pPr>
        <w:spacing w:after="0" w:line="118"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28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2.23 (“Fee Deferral Election”), Section 2.24 (“Fees”), Section 2.29 (“Non-Employee Director Deferred Share Award”), Section 2.43 (“Stock Unit Account”), Section 2.44 (“Stock Units”) and Section 2.46 (“Termination of Service”) shall not apply to this Sub-Plan.</w:t>
      </w:r>
    </w:p>
    <w:p>
      <w:pPr>
        <w:spacing w:after="0" w:line="109" w:lineRule="exact"/>
        <w:rPr>
          <w:rFonts w:ascii="Times New Roman" w:cs="Times New Roman" w:eastAsia="Times New Roman" w:hAnsi="Times New Roman"/>
          <w:sz w:val="22"/>
          <w:szCs w:val="22"/>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Section 3.2 applies to this Sub-Plan except that the words “Directors and Consultants” are omitted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only U.K. Employees shall be selected to participate in the Sub-Plan.</w:t>
      </w:r>
    </w:p>
    <w:p>
      <w:pPr>
        <w:spacing w:after="0" w:line="95"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and Participatio</w:t>
      </w:r>
      <w:r>
        <w:rPr>
          <w:rFonts w:ascii="Times New Roman" w:cs="Times New Roman" w:eastAsia="Times New Roman" w:hAnsi="Times New Roman"/>
          <w:sz w:val="22"/>
          <w:szCs w:val="22"/>
          <w:color w:val="auto"/>
        </w:rPr>
        <w:t>n. Sections 5.1 and 5.2 of the Plan apply to this Sub-Plan except that the words “Non-Employee Directors and Consultants” are omitted, such that this Sub-Plan provides eligibility for participation only to U.K.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3431753_5</w:t>
      </w:r>
      <w:r>
        <w:rPr>
          <w:sz w:val="20"/>
          <w:szCs w:val="20"/>
          <w:color w:val="auto"/>
        </w:rPr>
        <w:tab/>
      </w: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76" w:name="page77"/>
    <w:bookmarkEnd w:id="76"/>
    <w:p>
      <w:pPr>
        <w:spacing w:after="0" w:line="140" w:lineRule="exact"/>
        <w:rPr>
          <w:sz w:val="20"/>
          <w:szCs w:val="20"/>
          <w:color w:val="auto"/>
        </w:rPr>
      </w:pPr>
    </w:p>
    <w:p>
      <w:pPr>
        <w:ind w:left="328" w:hanging="328"/>
        <w:spacing w:after="0" w:line="275"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SARs and Stock Options. </w:t>
      </w:r>
      <w:r>
        <w:rPr>
          <w:rFonts w:ascii="Times New Roman" w:cs="Times New Roman" w:eastAsia="Times New Roman" w:hAnsi="Times New Roman"/>
          <w:sz w:val="22"/>
          <w:szCs w:val="22"/>
          <w:color w:val="auto"/>
        </w:rPr>
        <w:t>Section 6.1 of the Plan applies to this Sub-Plan except that the words “Non-Employee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or Consultants” are omitted.</w:t>
      </w:r>
    </w:p>
    <w:p>
      <w:pPr>
        <w:spacing w:after="0" w:line="95" w:lineRule="exact"/>
        <w:rPr>
          <w:rFonts w:ascii="Times New Roman" w:cs="Times New Roman" w:eastAsia="Times New Roman" w:hAnsi="Times New Roman"/>
          <w:sz w:val="22"/>
          <w:szCs w:val="22"/>
          <w:b w:val="1"/>
          <w:bCs w:val="1"/>
          <w:color w:val="auto"/>
        </w:rPr>
      </w:pPr>
    </w:p>
    <w:p>
      <w:pPr>
        <w:ind w:left="328" w:right="20" w:hanging="328"/>
        <w:spacing w:after="0" w:line="287"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w:t>
      </w:r>
      <w:r>
        <w:rPr>
          <w:rFonts w:ascii="Times New Roman" w:cs="Times New Roman" w:eastAsia="Times New Roman" w:hAnsi="Times New Roman"/>
          <w:sz w:val="22"/>
          <w:szCs w:val="22"/>
          <w:color w:val="auto"/>
        </w:rPr>
        <w:t>Section 7.1 of the Plan applies to this Sub-Plan except that the words “Non-Employee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are omitted.</w:t>
      </w:r>
    </w:p>
    <w:p>
      <w:pPr>
        <w:spacing w:after="0" w:line="83" w:lineRule="exact"/>
        <w:rPr>
          <w:rFonts w:ascii="Times New Roman" w:cs="Times New Roman" w:eastAsia="Times New Roman" w:hAnsi="Times New Roman"/>
          <w:sz w:val="22"/>
          <w:szCs w:val="22"/>
          <w:b w:val="1"/>
          <w:bCs w:val="1"/>
          <w:color w:val="auto"/>
        </w:rPr>
      </w:pPr>
    </w:p>
    <w:p>
      <w:pPr>
        <w:ind w:left="328" w:hanging="328"/>
        <w:spacing w:after="0" w:line="275"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Units. </w:t>
      </w:r>
      <w:r>
        <w:rPr>
          <w:rFonts w:ascii="Times New Roman" w:cs="Times New Roman" w:eastAsia="Times New Roman" w:hAnsi="Times New Roman"/>
          <w:sz w:val="22"/>
          <w:szCs w:val="22"/>
          <w:color w:val="auto"/>
        </w:rPr>
        <w:t>Section 8.1 of the Plan applies to this Sub-Plan except that the words “Non-Employee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Consultants” are omitted.</w:t>
      </w:r>
    </w:p>
    <w:p>
      <w:pPr>
        <w:spacing w:after="0" w:line="95" w:lineRule="exact"/>
        <w:rPr>
          <w:rFonts w:ascii="Times New Roman" w:cs="Times New Roman" w:eastAsia="Times New Roman" w:hAnsi="Times New Roman"/>
          <w:sz w:val="22"/>
          <w:szCs w:val="22"/>
          <w:b w:val="1"/>
          <w:bCs w:val="1"/>
          <w:color w:val="auto"/>
        </w:rPr>
      </w:pPr>
    </w:p>
    <w:p>
      <w:pPr>
        <w:ind w:left="328" w:hanging="328"/>
        <w:spacing w:after="0" w:line="275"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Awards</w:t>
      </w:r>
      <w:r>
        <w:rPr>
          <w:rFonts w:ascii="Times New Roman" w:cs="Times New Roman" w:eastAsia="Times New Roman" w:hAnsi="Times New Roman"/>
          <w:sz w:val="22"/>
          <w:szCs w:val="22"/>
          <w:color w:val="auto"/>
        </w:rPr>
        <w:t>. Section 9.1 of the Plan applies to this Sub-Plan except that the words “Non-Employee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are omitted.</w:t>
      </w:r>
    </w:p>
    <w:p>
      <w:pPr>
        <w:spacing w:after="0" w:line="108" w:lineRule="exact"/>
        <w:rPr>
          <w:rFonts w:ascii="Times New Roman" w:cs="Times New Roman" w:eastAsia="Times New Roman" w:hAnsi="Times New Roman"/>
          <w:sz w:val="22"/>
          <w:szCs w:val="22"/>
          <w:b w:val="1"/>
          <w:bCs w:val="1"/>
          <w:color w:val="auto"/>
        </w:rPr>
      </w:pPr>
    </w:p>
    <w:p>
      <w:pPr>
        <w:ind w:left="328" w:right="20" w:hanging="328"/>
        <w:spacing w:after="0" w:line="275"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Non-Employee Director Awards. </w:t>
      </w:r>
      <w:r>
        <w:rPr>
          <w:rFonts w:ascii="Times New Roman" w:cs="Times New Roman" w:eastAsia="Times New Roman" w:hAnsi="Times New Roman"/>
          <w:sz w:val="22"/>
          <w:szCs w:val="22"/>
          <w:color w:val="auto"/>
        </w:rPr>
        <w:t>Article 12 of the Plan shall not apply to this Sub-Plan such that Non-Employee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Awards may not be granted under this Sub-Plan.</w:t>
      </w:r>
    </w:p>
    <w:p>
      <w:pPr>
        <w:spacing w:after="0" w:line="95" w:lineRule="exact"/>
        <w:rPr>
          <w:rFonts w:ascii="Times New Roman" w:cs="Times New Roman" w:eastAsia="Times New Roman" w:hAnsi="Times New Roman"/>
          <w:sz w:val="22"/>
          <w:szCs w:val="22"/>
          <w:b w:val="1"/>
          <w:bCs w:val="1"/>
          <w:color w:val="auto"/>
        </w:rPr>
      </w:pPr>
    </w:p>
    <w:p>
      <w:pPr>
        <w:ind w:left="328" w:right="20" w:hanging="328"/>
        <w:spacing w:after="0" w:line="275" w:lineRule="auto"/>
        <w:tabs>
          <w:tab w:leader="none" w:pos="328"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Modification, and Termination. </w:t>
      </w:r>
      <w:r>
        <w:rPr>
          <w:rFonts w:ascii="Times New Roman" w:cs="Times New Roman" w:eastAsia="Times New Roman" w:hAnsi="Times New Roman"/>
          <w:sz w:val="22"/>
          <w:szCs w:val="22"/>
          <w:color w:val="auto"/>
        </w:rPr>
        <w:t>Section 16.4 of the Plan applies to this Sub-Plan except that the words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or consultants” and “Directors or Consultants” are omitted.</w:t>
      </w:r>
    </w:p>
    <w:p>
      <w:pPr>
        <w:spacing w:after="0" w:line="95" w:lineRule="exact"/>
        <w:rPr>
          <w:rFonts w:ascii="Times New Roman" w:cs="Times New Roman" w:eastAsia="Times New Roman" w:hAnsi="Times New Roman"/>
          <w:sz w:val="22"/>
          <w:szCs w:val="22"/>
          <w:b w:val="1"/>
          <w:bCs w:val="1"/>
          <w:color w:val="auto"/>
        </w:rPr>
      </w:pPr>
    </w:p>
    <w:p>
      <w:pPr>
        <w:ind w:left="328" w:right="20" w:hanging="328"/>
        <w:spacing w:after="0" w:line="275" w:lineRule="auto"/>
        <w:tabs>
          <w:tab w:leader="none" w:pos="31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Non-U.K. Employees. </w:t>
      </w:r>
      <w:r>
        <w:rPr>
          <w:rFonts w:ascii="Times New Roman" w:cs="Times New Roman" w:eastAsia="Times New Roman" w:hAnsi="Times New Roman"/>
          <w:sz w:val="22"/>
          <w:szCs w:val="22"/>
          <w:color w:val="auto"/>
        </w:rPr>
        <w:t>Non-U.K. Employees, Non-Employee Directors and Consultants are not eligible to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44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SECOND AMENDMENT TO THE</w:t>
      </w:r>
    </w:p>
    <w:p>
      <w:pPr>
        <w:spacing w:after="0" w:line="2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MARRIOTT INTERNATIONAL, INC.</w:t>
      </w:r>
    </w:p>
    <w:p>
      <w:pPr>
        <w:spacing w:after="0" w:line="2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EXECUTIVE DEFERRED COMPENSATION PLAN</w:t>
      </w:r>
    </w:p>
    <w:p>
      <w:pPr>
        <w:spacing w:after="0" w:line="238" w:lineRule="exact"/>
        <w:rPr>
          <w:sz w:val="20"/>
          <w:szCs w:val="20"/>
          <w:color w:val="auto"/>
        </w:rPr>
      </w:pPr>
    </w:p>
    <w:p>
      <w:pPr>
        <w:ind w:right="1080" w:firstLine="648"/>
        <w:spacing w:after="0" w:line="228"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Marriot Internatonal, Inc. (the “Company”) sponsors the Marriot Internatonal, Inc. Executve Deferred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Plan, amended and restated February 11, 2022 and efectve January 1, 2022;</w:t>
      </w:r>
    </w:p>
    <w:p>
      <w:pPr>
        <w:spacing w:after="0" w:line="157"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Sectons 1.15 and 7.3(c) of the Plan permit the Company’s most senior human resources executve (the “HR Ofcer”)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amend the Plan any tme and from tme to tme, provided that no such amendment materially increases the cost to the Company of maintaining the Plan;</w:t>
      </w:r>
    </w:p>
    <w:p>
      <w:pPr>
        <w:spacing w:after="0" w:line="157"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HR Ofcer desires to clarify the eligibility determinaton process under the Plan, to enable such determinatons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prior to the enrollment period;</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HR Ofcer desires to clarify the descripton of installments payments under the Plan; and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 xml:space="preserve">WHEREAS, </w:t>
      </w:r>
      <w:r>
        <w:rPr>
          <w:rFonts w:ascii="Calibri" w:cs="Calibri" w:eastAsia="Calibri" w:hAnsi="Calibri"/>
          <w:sz w:val="20"/>
          <w:szCs w:val="20"/>
          <w:color w:val="auto"/>
        </w:rPr>
        <w:t>such amendments do not materially increase the cost to the Company of maintaining the Plan;</w:t>
      </w:r>
    </w:p>
    <w:p>
      <w:pPr>
        <w:spacing w:after="0" w:line="171"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b w:val="1"/>
          <w:bCs w:val="1"/>
          <w:color w:val="auto"/>
        </w:rPr>
        <w:t>NOW THEREFORE BE IT RESOLVED</w:t>
      </w:r>
      <w:r>
        <w:rPr>
          <w:rFonts w:ascii="Calibri" w:cs="Calibri" w:eastAsia="Calibri" w:hAnsi="Calibri"/>
          <w:sz w:val="20"/>
          <w:szCs w:val="20"/>
          <w:color w:val="auto"/>
        </w:rPr>
        <w:t>, Plan Secton 1.19(a) (Partcipant) is replaced as follows efectve for electon years beginning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on or afer January 1, 2024:</w:t>
      </w:r>
    </w:p>
    <w:p>
      <w:pPr>
        <w:spacing w:after="0" w:line="161" w:lineRule="exact"/>
        <w:rPr>
          <w:sz w:val="20"/>
          <w:szCs w:val="20"/>
          <w:color w:val="auto"/>
        </w:rPr>
      </w:pPr>
    </w:p>
    <w:p>
      <w:pPr>
        <w:ind w:left="660" w:hanging="328"/>
        <w:spacing w:after="0"/>
        <w:tabs>
          <w:tab w:leader="none" w:pos="660"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An Employee who satsfes all of the following:</w:t>
      </w:r>
    </w:p>
    <w:p>
      <w:pPr>
        <w:spacing w:after="0" w:line="147" w:lineRule="exact"/>
        <w:rPr>
          <w:rFonts w:ascii="Calibri" w:cs="Calibri" w:eastAsia="Calibri" w:hAnsi="Calibri"/>
          <w:sz w:val="20"/>
          <w:szCs w:val="20"/>
          <w:color w:val="auto"/>
        </w:rPr>
      </w:pPr>
    </w:p>
    <w:p>
      <w:pPr>
        <w:ind w:left="1300" w:hanging="320"/>
        <w:spacing w:after="0"/>
        <w:tabs>
          <w:tab w:leader="none" w:pos="1300" w:val="left"/>
        </w:tabs>
        <w:numPr>
          <w:ilvl w:val="1"/>
          <w:numId w:val="26"/>
        </w:numPr>
        <w:rPr>
          <w:rFonts w:ascii="Calibri" w:cs="Calibri" w:eastAsia="Calibri" w:hAnsi="Calibri"/>
          <w:sz w:val="20"/>
          <w:szCs w:val="20"/>
          <w:color w:val="auto"/>
        </w:rPr>
      </w:pPr>
      <w:r>
        <w:rPr>
          <w:rFonts w:ascii="Calibri" w:cs="Calibri" w:eastAsia="Calibri" w:hAnsi="Calibri"/>
          <w:sz w:val="20"/>
          <w:szCs w:val="20"/>
          <w:color w:val="auto"/>
        </w:rPr>
        <w:t>the Employee is eligible to partcipate in the Retrement Savings Plan as of a date in the Electon Year;</w:t>
      </w:r>
    </w:p>
    <w:p>
      <w:pPr>
        <w:spacing w:after="0" w:line="170" w:lineRule="exact"/>
        <w:rPr>
          <w:rFonts w:ascii="Calibri" w:cs="Calibri" w:eastAsia="Calibri" w:hAnsi="Calibri"/>
          <w:sz w:val="20"/>
          <w:szCs w:val="20"/>
          <w:color w:val="auto"/>
        </w:rPr>
      </w:pPr>
    </w:p>
    <w:p>
      <w:pPr>
        <w:ind w:left="1300" w:right="120" w:hanging="320"/>
        <w:spacing w:after="0" w:line="231" w:lineRule="auto"/>
        <w:tabs>
          <w:tab w:leader="none" w:pos="1300" w:val="left"/>
        </w:tabs>
        <w:numPr>
          <w:ilvl w:val="1"/>
          <w:numId w:val="26"/>
        </w:numPr>
        <w:rPr>
          <w:rFonts w:ascii="Calibri" w:cs="Calibri" w:eastAsia="Calibri" w:hAnsi="Calibri"/>
          <w:sz w:val="20"/>
          <w:szCs w:val="20"/>
          <w:color w:val="auto"/>
        </w:rPr>
      </w:pPr>
      <w:r>
        <w:rPr>
          <w:rFonts w:ascii="Calibri" w:cs="Calibri" w:eastAsia="Calibri" w:hAnsi="Calibri"/>
          <w:sz w:val="20"/>
          <w:szCs w:val="20"/>
          <w:color w:val="auto"/>
        </w:rPr>
        <w:t>the Employee meets or exceeds the “Eligibility Compensaton Threshold” as set forth in subsecton (1) or (2), as determined by the Administrator in its sole discreton immediately prior to the frst day of the enrollment period for the Electon Year (or upon date of hire during the enrollment year, if later):</w:t>
      </w:r>
    </w:p>
    <w:p>
      <w:pPr>
        <w:spacing w:after="0" w:line="172" w:lineRule="exact"/>
        <w:rPr>
          <w:rFonts w:ascii="Calibri" w:cs="Calibri" w:eastAsia="Calibri" w:hAnsi="Calibri"/>
          <w:sz w:val="20"/>
          <w:szCs w:val="20"/>
          <w:color w:val="auto"/>
        </w:rPr>
      </w:pPr>
    </w:p>
    <w:p>
      <w:pPr>
        <w:ind w:left="1960" w:right="20" w:hanging="332"/>
        <w:spacing w:after="0" w:line="228" w:lineRule="auto"/>
        <w:tabs>
          <w:tab w:leader="none" w:pos="1956" w:val="left"/>
        </w:tabs>
        <w:numPr>
          <w:ilvl w:val="2"/>
          <w:numId w:val="26"/>
        </w:numPr>
        <w:rPr>
          <w:rFonts w:ascii="Calibri" w:cs="Calibri" w:eastAsia="Calibri" w:hAnsi="Calibri"/>
          <w:sz w:val="20"/>
          <w:szCs w:val="20"/>
          <w:color w:val="auto"/>
        </w:rPr>
      </w:pPr>
      <w:r>
        <w:rPr>
          <w:rFonts w:ascii="Calibri" w:cs="Calibri" w:eastAsia="Calibri" w:hAnsi="Calibri"/>
          <w:sz w:val="20"/>
          <w:szCs w:val="20"/>
          <w:u w:val="single" w:color="auto"/>
          <w:color w:val="auto"/>
        </w:rPr>
        <w:t>HCE Threshold</w:t>
      </w:r>
      <w:r>
        <w:rPr>
          <w:rFonts w:ascii="Calibri" w:cs="Calibri" w:eastAsia="Calibri" w:hAnsi="Calibri"/>
          <w:sz w:val="20"/>
          <w:szCs w:val="20"/>
          <w:color w:val="auto"/>
        </w:rPr>
        <w:t>: The Employee is classifed as a Highly Compensated Employee in the Company’s payroll system, for the calendar year immediately preceding the Electon Year.</w:t>
      </w:r>
    </w:p>
    <w:p>
      <w:pPr>
        <w:spacing w:after="0" w:line="170" w:lineRule="exact"/>
        <w:rPr>
          <w:rFonts w:ascii="Calibri" w:cs="Calibri" w:eastAsia="Calibri" w:hAnsi="Calibri"/>
          <w:sz w:val="20"/>
          <w:szCs w:val="20"/>
          <w:color w:val="auto"/>
        </w:rPr>
      </w:pPr>
    </w:p>
    <w:p>
      <w:pPr>
        <w:ind w:left="1960" w:right="20" w:hanging="332"/>
        <w:spacing w:after="0" w:line="234" w:lineRule="auto"/>
        <w:tabs>
          <w:tab w:leader="none" w:pos="1956" w:val="left"/>
        </w:tabs>
        <w:numPr>
          <w:ilvl w:val="2"/>
          <w:numId w:val="26"/>
        </w:numPr>
        <w:rPr>
          <w:rFonts w:ascii="Calibri" w:cs="Calibri" w:eastAsia="Calibri" w:hAnsi="Calibri"/>
          <w:sz w:val="20"/>
          <w:szCs w:val="20"/>
          <w:color w:val="auto"/>
        </w:rPr>
      </w:pPr>
      <w:r>
        <w:rPr>
          <w:rFonts w:ascii="Calibri" w:cs="Calibri" w:eastAsia="Calibri" w:hAnsi="Calibri"/>
          <w:sz w:val="20"/>
          <w:szCs w:val="20"/>
          <w:u w:val="single" w:color="auto"/>
          <w:color w:val="auto"/>
        </w:rPr>
        <w:t>Base Salary Rate</w:t>
      </w:r>
      <w:r>
        <w:rPr>
          <w:rFonts w:ascii="Calibri" w:cs="Calibri" w:eastAsia="Calibri" w:hAnsi="Calibri"/>
          <w:sz w:val="20"/>
          <w:szCs w:val="20"/>
          <w:color w:val="auto"/>
        </w:rPr>
        <w:t>: The Employee’s base salary rate equals or exceeds $150,000 immediately prior to the frst day of the enrollment period for the Electon Year.</w:t>
      </w:r>
    </w:p>
    <w:p>
      <w:pPr>
        <w:spacing w:after="0" w:line="158" w:lineRule="exact"/>
        <w:rPr>
          <w:rFonts w:ascii="Calibri" w:cs="Calibri" w:eastAsia="Calibri" w:hAnsi="Calibri"/>
          <w:sz w:val="20"/>
          <w:szCs w:val="20"/>
          <w:color w:val="auto"/>
        </w:rPr>
      </w:pPr>
    </w:p>
    <w:p>
      <w:pPr>
        <w:ind w:left="1300" w:right="440" w:hanging="320"/>
        <w:spacing w:after="0" w:line="231" w:lineRule="auto"/>
        <w:tabs>
          <w:tab w:leader="none" w:pos="1306" w:val="left"/>
        </w:tabs>
        <w:numPr>
          <w:ilvl w:val="1"/>
          <w:numId w:val="26"/>
        </w:numPr>
        <w:rPr>
          <w:rFonts w:ascii="Calibri" w:cs="Calibri" w:eastAsia="Calibri" w:hAnsi="Calibri"/>
          <w:sz w:val="20"/>
          <w:szCs w:val="20"/>
          <w:color w:val="auto"/>
        </w:rPr>
      </w:pPr>
      <w:r>
        <w:rPr>
          <w:rFonts w:ascii="Calibri" w:cs="Calibri" w:eastAsia="Calibri" w:hAnsi="Calibri"/>
          <w:sz w:val="20"/>
          <w:szCs w:val="20"/>
          <w:color w:val="auto"/>
        </w:rPr>
        <w:t>the Employee is classifed in a positon with a compensaton grade level described in the table below, as determined immediately prior to the frst day of the enrollment period for the Electon Year (or upon date of hire during the enrollment year,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193675</wp:posOffset>
            </wp:positionV>
            <wp:extent cx="5528945" cy="968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5528945" cy="968375"/>
                    </a:xfrm>
                    <a:prstGeom prst="rect">
                      <a:avLst/>
                    </a:prstGeom>
                    <a:noFill/>
                  </pic:spPr>
                </pic:pic>
              </a:graphicData>
            </a:graphic>
          </wp:anchor>
        </w:drawing>
      </w:r>
    </w:p>
    <w:p>
      <w:pPr>
        <w:spacing w:after="0" w:line="278"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b w:val="1"/>
          <w:bCs w:val="1"/>
          <w:color w:val="auto"/>
        </w:rPr>
        <w:t>Compensaton Grade Level</w:t>
      </w:r>
    </w:p>
    <w:p>
      <w:pPr>
        <w:spacing w:after="0" w:line="13" w:lineRule="exact"/>
        <w:rPr>
          <w:sz w:val="20"/>
          <w:szCs w:val="20"/>
          <w:color w:val="auto"/>
        </w:rPr>
      </w:pPr>
    </w:p>
    <w:tbl>
      <w:tblPr>
        <w:tblLayout w:type="fixed"/>
        <w:tblInd w:w="1300" w:type="dxa"/>
        <w:tblCellMar>
          <w:top w:w="0" w:type="dxa"/>
          <w:left w:w="0" w:type="dxa"/>
          <w:bottom w:w="0" w:type="dxa"/>
          <w:right w:w="0" w:type="dxa"/>
        </w:tblCellMar>
      </w:tblPr>
      <w:tr>
        <w:trPr>
          <w:trHeight w:val="205"/>
        </w:trPr>
        <w:tc>
          <w:tcPr>
            <w:tcW w:w="4380" w:type="dxa"/>
            <w:vAlign w:val="bottom"/>
            <w:tcBorders>
              <w:top w:val="single" w:sz="8" w:color="auto"/>
              <w:right w:val="single" w:sz="8" w:color="auto"/>
            </w:tcBorders>
            <w:shd w:val="clear" w:color="auto" w:fill="F2F2F2"/>
          </w:tcPr>
          <w:p>
            <w:pPr>
              <w:jc w:val="center"/>
              <w:spacing w:after="0" w:line="205" w:lineRule="exact"/>
              <w:rPr>
                <w:sz w:val="20"/>
                <w:szCs w:val="20"/>
                <w:color w:val="auto"/>
              </w:rPr>
            </w:pPr>
            <w:r>
              <w:rPr>
                <w:rFonts w:ascii="Calibri" w:cs="Calibri" w:eastAsia="Calibri" w:hAnsi="Calibri"/>
                <w:sz w:val="20"/>
                <w:szCs w:val="20"/>
                <w:b w:val="1"/>
                <w:bCs w:val="1"/>
                <w:color w:val="auto"/>
              </w:rPr>
              <w:t>For all positons other than those listed below</w:t>
            </w:r>
          </w:p>
        </w:tc>
        <w:tc>
          <w:tcPr>
            <w:tcW w:w="4340" w:type="dxa"/>
            <w:vAlign w:val="bottom"/>
            <w:tcBorders>
              <w:top w:val="single" w:sz="8" w:color="auto"/>
            </w:tcBorders>
          </w:tcPr>
          <w:p>
            <w:pPr>
              <w:jc w:val="center"/>
              <w:spacing w:after="0" w:line="205" w:lineRule="exact"/>
              <w:rPr>
                <w:sz w:val="20"/>
                <w:szCs w:val="20"/>
                <w:color w:val="auto"/>
              </w:rPr>
            </w:pPr>
            <w:r>
              <w:rPr>
                <w:rFonts w:ascii="Calibri" w:cs="Calibri" w:eastAsia="Calibri" w:hAnsi="Calibri"/>
                <w:sz w:val="20"/>
                <w:szCs w:val="20"/>
                <w:color w:val="auto"/>
              </w:rPr>
              <w:t>U.S. Grade / Market Reference Code 11 or higher</w:t>
            </w:r>
          </w:p>
        </w:tc>
      </w:tr>
      <w:tr>
        <w:trPr>
          <w:trHeight w:val="281"/>
        </w:trPr>
        <w:tc>
          <w:tcPr>
            <w:tcW w:w="4380" w:type="dxa"/>
            <w:vAlign w:val="bottom"/>
            <w:tcBorders>
              <w:bottom w:val="single" w:sz="8" w:color="F2F2F2"/>
              <w:right w:val="single" w:sz="8" w:color="auto"/>
            </w:tcBorders>
            <w:shd w:val="clear" w:color="auto" w:fill="F2F2F2"/>
          </w:tcPr>
          <w:p>
            <w:pPr>
              <w:spacing w:after="0"/>
              <w:rPr>
                <w:sz w:val="24"/>
                <w:szCs w:val="24"/>
                <w:color w:val="auto"/>
              </w:rPr>
            </w:pPr>
          </w:p>
        </w:tc>
        <w:tc>
          <w:tcPr>
            <w:tcW w:w="4340" w:type="dxa"/>
            <w:vAlign w:val="bottom"/>
          </w:tcPr>
          <w:p>
            <w:pPr>
              <w:jc w:val="center"/>
              <w:spacing w:after="0" w:line="234" w:lineRule="exact"/>
              <w:rPr>
                <w:sz w:val="20"/>
                <w:szCs w:val="20"/>
                <w:color w:val="auto"/>
              </w:rPr>
            </w:pPr>
            <w:r>
              <w:rPr>
                <w:rFonts w:ascii="Calibri" w:cs="Calibri" w:eastAsia="Calibri" w:hAnsi="Calibri"/>
                <w:sz w:val="20"/>
                <w:szCs w:val="20"/>
                <w:color w:val="auto"/>
              </w:rPr>
              <w:t>Grade 53 or higher</w:t>
            </w:r>
          </w:p>
        </w:tc>
      </w:tr>
      <w:tr>
        <w:trPr>
          <w:trHeight w:val="250"/>
        </w:trPr>
        <w:tc>
          <w:tcPr>
            <w:tcW w:w="4380" w:type="dxa"/>
            <w:vAlign w:val="bottom"/>
            <w:tcBorders>
              <w:top w:val="single" w:sz="8" w:color="auto"/>
              <w:bottom w:val="single" w:sz="8" w:color="F2F2F2"/>
              <w:right w:val="single" w:sz="8" w:color="auto"/>
            </w:tcBorders>
            <w:shd w:val="clear" w:color="auto" w:fill="F2F2F2"/>
          </w:tcPr>
          <w:p>
            <w:pPr>
              <w:jc w:val="center"/>
              <w:spacing w:after="0" w:line="228" w:lineRule="exact"/>
              <w:rPr>
                <w:sz w:val="20"/>
                <w:szCs w:val="20"/>
                <w:color w:val="auto"/>
              </w:rPr>
            </w:pPr>
            <w:r>
              <w:rPr>
                <w:rFonts w:ascii="Calibri" w:cs="Calibri" w:eastAsia="Calibri" w:hAnsi="Calibri"/>
                <w:sz w:val="20"/>
                <w:szCs w:val="20"/>
                <w:b w:val="1"/>
                <w:bCs w:val="1"/>
                <w:color w:val="auto"/>
                <w:w w:val="99"/>
              </w:rPr>
              <w:t>For General Managers</w:t>
            </w:r>
          </w:p>
        </w:tc>
        <w:tc>
          <w:tcPr>
            <w:tcW w:w="4340" w:type="dxa"/>
            <w:vAlign w:val="bottom"/>
            <w:tcBorders>
              <w:top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U.S. Operatons Grade 85 or higher</w:t>
            </w:r>
          </w:p>
        </w:tc>
      </w:tr>
      <w:tr>
        <w:trPr>
          <w:trHeight w:val="185"/>
        </w:trPr>
        <w:tc>
          <w:tcPr>
            <w:tcW w:w="4380" w:type="dxa"/>
            <w:vAlign w:val="bottom"/>
            <w:tcBorders>
              <w:top w:val="single" w:sz="8" w:color="auto"/>
              <w:right w:val="single" w:sz="8" w:color="auto"/>
            </w:tcBorders>
            <w:shd w:val="clear" w:color="auto" w:fill="F2F2F2"/>
          </w:tcPr>
          <w:p>
            <w:pPr>
              <w:jc w:val="center"/>
              <w:spacing w:after="0" w:line="185" w:lineRule="exact"/>
              <w:rPr>
                <w:sz w:val="20"/>
                <w:szCs w:val="20"/>
                <w:color w:val="auto"/>
              </w:rPr>
            </w:pPr>
            <w:r>
              <w:rPr>
                <w:rFonts w:ascii="Calibri" w:cs="Calibri" w:eastAsia="Calibri" w:hAnsi="Calibri"/>
                <w:sz w:val="20"/>
                <w:szCs w:val="20"/>
                <w:b w:val="1"/>
                <w:bCs w:val="1"/>
                <w:color w:val="auto"/>
              </w:rPr>
              <w:t>For General Managers of Marriot Select Brands</w:t>
            </w:r>
          </w:p>
        </w:tc>
        <w:tc>
          <w:tcPr>
            <w:tcW w:w="4340" w:type="dxa"/>
            <w:vAlign w:val="bottom"/>
            <w:tcBorders>
              <w:top w:val="single" w:sz="8" w:color="auto"/>
            </w:tcBorders>
          </w:tcPr>
          <w:p>
            <w:pPr>
              <w:jc w:val="center"/>
              <w:spacing w:after="0" w:line="185" w:lineRule="exact"/>
              <w:rPr>
                <w:sz w:val="20"/>
                <w:szCs w:val="20"/>
                <w:color w:val="auto"/>
              </w:rPr>
            </w:pPr>
            <w:r>
              <w:rPr>
                <w:rFonts w:ascii="Calibri" w:cs="Calibri" w:eastAsia="Calibri" w:hAnsi="Calibri"/>
                <w:sz w:val="20"/>
                <w:szCs w:val="20"/>
                <w:color w:val="auto"/>
              </w:rPr>
              <w:t>U.S. Operatons Grade 84 or higher</w:t>
            </w:r>
          </w:p>
        </w:tc>
      </w:tr>
      <w:tr>
        <w:trPr>
          <w:trHeight w:val="261"/>
        </w:trPr>
        <w:tc>
          <w:tcPr>
            <w:tcW w:w="4380" w:type="dxa"/>
            <w:vAlign w:val="bottom"/>
            <w:tcBorders>
              <w:bottom w:val="single" w:sz="8" w:color="F2F2F2"/>
              <w:right w:val="single" w:sz="8" w:color="auto"/>
            </w:tcBorders>
            <w:shd w:val="clear" w:color="auto" w:fill="F2F2F2"/>
          </w:tcPr>
          <w:p>
            <w:pPr>
              <w:jc w:val="center"/>
              <w:spacing w:after="0" w:line="234" w:lineRule="exact"/>
              <w:rPr>
                <w:sz w:val="20"/>
                <w:szCs w:val="20"/>
                <w:color w:val="auto"/>
              </w:rPr>
            </w:pPr>
            <w:r>
              <w:rPr>
                <w:rFonts w:ascii="Calibri" w:cs="Calibri" w:eastAsia="Calibri" w:hAnsi="Calibri"/>
                <w:sz w:val="20"/>
                <w:szCs w:val="20"/>
                <w:b w:val="1"/>
                <w:bCs w:val="1"/>
                <w:color w:val="auto"/>
              </w:rPr>
              <w:t>(MSB)</w:t>
            </w:r>
          </w:p>
        </w:tc>
        <w:tc>
          <w:tcPr>
            <w:tcW w:w="4340" w:type="dxa"/>
            <w:vAlign w:val="bottom"/>
          </w:tcPr>
          <w:p>
            <w:pPr>
              <w:spacing w:after="0"/>
              <w:rPr>
                <w:sz w:val="22"/>
                <w:szCs w:val="22"/>
                <w:color w:val="auto"/>
              </w:rPr>
            </w:pPr>
          </w:p>
        </w:tc>
      </w:tr>
      <w:tr>
        <w:trPr>
          <w:trHeight w:val="20"/>
        </w:trPr>
        <w:tc>
          <w:tcPr>
            <w:tcW w:w="4380" w:type="dxa"/>
            <w:vAlign w:val="bottom"/>
            <w:tcBorders>
              <w:right w:val="single" w:sz="8" w:color="auto"/>
            </w:tcBorders>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320"/>
        <w:spacing w:after="0"/>
        <w:tabs>
          <w:tab w:leader="none" w:pos="130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the Employee is exempt from the minimum wage and overtme provisions under the Fair Labor Standards Act; and</w:t>
      </w:r>
    </w:p>
    <w:p>
      <w:pPr>
        <w:spacing w:after="0" w:line="160" w:lineRule="exact"/>
        <w:rPr>
          <w:rFonts w:ascii="Calibri" w:cs="Calibri" w:eastAsia="Calibri" w:hAnsi="Calibri"/>
          <w:sz w:val="20"/>
          <w:szCs w:val="20"/>
          <w:color w:val="auto"/>
        </w:rPr>
      </w:pPr>
    </w:p>
    <w:p>
      <w:pPr>
        <w:ind w:left="1300" w:hanging="320"/>
        <w:spacing w:after="0"/>
        <w:tabs>
          <w:tab w:leader="none" w:pos="130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the Employee is not employed as a temporary Employee in the Company’s Flex Stafng units.</w:t>
      </w:r>
    </w:p>
    <w:p>
      <w:pPr>
        <w:spacing w:after="0" w:line="157" w:lineRule="exact"/>
        <w:rPr>
          <w:rFonts w:ascii="Calibri" w:cs="Calibri" w:eastAsia="Calibri" w:hAnsi="Calibri"/>
          <w:sz w:val="20"/>
          <w:szCs w:val="20"/>
          <w:color w:val="auto"/>
        </w:rPr>
      </w:pPr>
    </w:p>
    <w:p>
      <w:pPr>
        <w:ind w:left="1300" w:right="20"/>
        <w:spacing w:after="0" w:line="231" w:lineRule="auto"/>
        <w:rPr>
          <w:rFonts w:ascii="Calibri" w:cs="Calibri" w:eastAsia="Calibri" w:hAnsi="Calibri"/>
          <w:sz w:val="20"/>
          <w:szCs w:val="20"/>
          <w:color w:val="auto"/>
        </w:rPr>
      </w:pPr>
      <w:r>
        <w:rPr>
          <w:rFonts w:ascii="Calibri" w:cs="Calibri" w:eastAsia="Calibri" w:hAnsi="Calibri"/>
          <w:sz w:val="20"/>
          <w:szCs w:val="20"/>
          <w:color w:val="auto"/>
        </w:rPr>
        <w:t>An Employee will become a Partcipant on the frst day of an Electon Year only if the Administrator has determined, in its sole discreton, that the Employee met all the conditons of the preceding paragraph (except subparagraph (a)(i)) immediately prior to enrollment.</w:t>
      </w:r>
    </w:p>
    <w:p>
      <w:pPr>
        <w:spacing w:after="0" w:line="173" w:lineRule="exact"/>
        <w:rPr>
          <w:sz w:val="20"/>
          <w:szCs w:val="20"/>
          <w:color w:val="auto"/>
        </w:rPr>
      </w:pPr>
    </w:p>
    <w:p>
      <w:pPr>
        <w:ind w:right="20" w:firstLine="648"/>
        <w:spacing w:after="0" w:line="234" w:lineRule="auto"/>
        <w:rPr>
          <w:sz w:val="20"/>
          <w:szCs w:val="20"/>
          <w:color w:val="auto"/>
        </w:rPr>
      </w:pPr>
      <w:r>
        <w:rPr>
          <w:rFonts w:ascii="Calibri" w:cs="Calibri" w:eastAsia="Calibri" w:hAnsi="Calibri"/>
          <w:sz w:val="20"/>
          <w:szCs w:val="20"/>
          <w:b w:val="1"/>
          <w:bCs w:val="1"/>
          <w:color w:val="auto"/>
        </w:rPr>
        <w:t>BE IT FURTHER RESOLVED</w:t>
      </w:r>
      <w:r>
        <w:rPr>
          <w:rFonts w:ascii="Calibri" w:cs="Calibri" w:eastAsia="Calibri" w:hAnsi="Calibri"/>
          <w:sz w:val="20"/>
          <w:szCs w:val="20"/>
          <w:color w:val="auto"/>
        </w:rPr>
        <w:t>, Plan Secton 4.2(a) (Distributon Following Separaton from Service) is amended by replacing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subsecton (iii) as follows, solely to clarify ambiguous plan terms, efectve for electon years beginning on or afer January 1, 2024:</w:t>
      </w:r>
    </w:p>
    <w:p>
      <w:pPr>
        <w:spacing w:after="0" w:line="158" w:lineRule="exact"/>
        <w:rPr>
          <w:sz w:val="20"/>
          <w:szCs w:val="20"/>
          <w:color w:val="auto"/>
        </w:rPr>
      </w:pPr>
    </w:p>
    <w:p>
      <w:pPr>
        <w:ind w:left="1300" w:right="300" w:hanging="320"/>
        <w:spacing w:after="0" w:line="234" w:lineRule="auto"/>
        <w:tabs>
          <w:tab w:leader="none" w:pos="1306"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fve (5) annual cash installments commencing in January of the sixth year following such Partcipant’s Separaton from Service and contnuing in each of the four (4) immediately following years.</w:t>
      </w:r>
    </w:p>
    <w:p>
      <w:pPr>
        <w:spacing w:after="0" w:line="158" w:lineRule="exact"/>
        <w:rPr>
          <w:sz w:val="20"/>
          <w:szCs w:val="20"/>
          <w:color w:val="auto"/>
        </w:rPr>
      </w:pPr>
    </w:p>
    <w:p>
      <w:pPr>
        <w:ind w:right="20" w:firstLine="648"/>
        <w:spacing w:after="0" w:line="234" w:lineRule="auto"/>
        <w:rPr>
          <w:sz w:val="20"/>
          <w:szCs w:val="20"/>
          <w:color w:val="auto"/>
        </w:rPr>
      </w:pPr>
      <w:r>
        <w:rPr>
          <w:rFonts w:ascii="Calibri" w:cs="Calibri" w:eastAsia="Calibri" w:hAnsi="Calibri"/>
          <w:sz w:val="20"/>
          <w:szCs w:val="20"/>
          <w:b w:val="1"/>
          <w:bCs w:val="1"/>
          <w:color w:val="auto"/>
        </w:rPr>
        <w:t>BE IT FURTHER RESOLVED</w:t>
      </w:r>
      <w:r>
        <w:rPr>
          <w:rFonts w:ascii="Calibri" w:cs="Calibri" w:eastAsia="Calibri" w:hAnsi="Calibri"/>
          <w:sz w:val="20"/>
          <w:szCs w:val="20"/>
          <w:color w:val="auto"/>
        </w:rPr>
        <w:t>, Plan Secton 4.4 (Changes in Distributon Electon) is amended by replacing subsecton (ii)(C)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follows, solely to clarify ambiguous plan terms, efectve for electon years beginning on or afer January 1, 2024:</w:t>
      </w:r>
    </w:p>
    <w:p>
      <w:pPr>
        <w:spacing w:after="0" w:line="172" w:lineRule="exact"/>
        <w:rPr>
          <w:sz w:val="20"/>
          <w:szCs w:val="20"/>
          <w:color w:val="auto"/>
        </w:rPr>
      </w:pPr>
    </w:p>
    <w:p>
      <w:pPr>
        <w:ind w:left="1300" w:hanging="320"/>
        <w:spacing w:after="0" w:line="228" w:lineRule="auto"/>
        <w:tabs>
          <w:tab w:leader="none" w:pos="1301"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all such changes in distributon electons must provide for distributons to be paid in fve (5) annual installments commencing in January of the sixth year following Separaton from Service, except upon death or Permanent Disability</w:t>
      </w:r>
    </w:p>
    <w:p>
      <w:pPr>
        <w:spacing w:after="0" w:line="390" w:lineRule="exact"/>
        <w:rPr>
          <w:sz w:val="20"/>
          <w:szCs w:val="20"/>
          <w:color w:val="auto"/>
        </w:rPr>
      </w:pPr>
    </w:p>
    <w:p>
      <w:pPr>
        <w:ind w:left="5380"/>
        <w:spacing w:after="0"/>
        <w:rPr>
          <w:sz w:val="20"/>
          <w:szCs w:val="20"/>
          <w:color w:val="auto"/>
        </w:rPr>
      </w:pPr>
      <w:r>
        <w:rPr>
          <w:rFonts w:ascii="Calibri" w:cs="Calibri" w:eastAsia="Calibri" w:hAnsi="Calibri"/>
          <w:sz w:val="20"/>
          <w:szCs w:val="20"/>
          <w:color w:val="auto"/>
        </w:rPr>
        <w:t>*****</w:t>
      </w:r>
    </w:p>
    <w:p>
      <w:pPr>
        <w:ind w:left="1300"/>
        <w:spacing w:after="0" w:line="199" w:lineRule="auto"/>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HR Ofcer has adopted this resoluton and amendment this 14th day of October, 2023.</w:t>
      </w: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Calibri" w:cs="Calibri" w:eastAsia="Calibri" w:hAnsi="Calibri"/>
          <w:sz w:val="20"/>
          <w:szCs w:val="20"/>
          <w:u w:val="single" w:color="auto"/>
          <w:color w:val="auto"/>
        </w:rPr>
        <w:t>/s/ Benjamin T. Breland</w:t>
      </w:r>
    </w:p>
    <w:p>
      <w:pPr>
        <w:ind w:left="5200"/>
        <w:spacing w:after="0" w:line="212" w:lineRule="auto"/>
        <w:rPr>
          <w:sz w:val="20"/>
          <w:szCs w:val="20"/>
          <w:color w:val="auto"/>
        </w:rPr>
      </w:pPr>
      <w:r>
        <w:rPr>
          <w:rFonts w:ascii="Calibri" w:cs="Calibri" w:eastAsia="Calibri" w:hAnsi="Calibri"/>
          <w:sz w:val="20"/>
          <w:szCs w:val="20"/>
          <w:color w:val="auto"/>
        </w:rPr>
        <w:t>Benjamin T. Breland,</w:t>
      </w:r>
    </w:p>
    <w:p>
      <w:pPr>
        <w:ind w:left="5200"/>
        <w:spacing w:after="0" w:line="225" w:lineRule="auto"/>
        <w:rPr>
          <w:sz w:val="20"/>
          <w:szCs w:val="20"/>
          <w:color w:val="auto"/>
        </w:rPr>
      </w:pPr>
      <w:r>
        <w:rPr>
          <w:rFonts w:ascii="Calibri" w:cs="Calibri" w:eastAsia="Calibri" w:hAnsi="Calibri"/>
          <w:sz w:val="20"/>
          <w:szCs w:val="20"/>
          <w:color w:val="auto"/>
        </w:rPr>
        <w:t>Executve Vice President and Chief Human Resources Ofcer</w:t>
      </w:r>
    </w:p>
    <w:p>
      <w:pPr>
        <w:sectPr>
          <w:pgSz w:w="11900" w:h="16838" w:orient="portrait"/>
          <w:cols w:equalWidth="0" w:num="1">
            <w:col w:w="11240"/>
          </w:cols>
          <w:pgMar w:left="320" w:top="122" w:right="339" w:bottom="1440" w:gutter="0" w:footer="0" w:header="0"/>
        </w:sectPr>
      </w:pPr>
    </w:p>
    <w:bookmarkStart w:id="79" w:name="page80"/>
    <w:bookmarkEnd w:id="79"/>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Subsidiaries of the Registrant</w:t>
      </w:r>
    </w:p>
    <w:p>
      <w:pPr>
        <w:spacing w:after="0" w:line="24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The following is a list of subsidiaries of Marriott International. Inc., omitting certain joint ventures, which considered in the aggregate as a single subsidiary, would not constitute a "significant subsidiary" as defined in Regulation S-X as of December 31, 2023.</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1367357 Alberta ULC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14 East Fifty-Fifth Air Parcel,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14 East Fifty-Fifth Street New York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1567 Broadway Condominium</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315 East Dean Street Aspen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333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3387 Lenox Road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6106 East Camelback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697 Fifth Avenue New York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909 North Michigan Avenue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9701 Collins Avenue,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Aberdeen Hotel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Jersey</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ACHM Gerenciamento Internacional de Hoteis do Brasil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ACHM Global Hospitality Licensing S.à 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ACHM International Management Company (French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ACHM International Management Company S.ar.l, Bertrange, Zurich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ACHM International Management Company S.àr.l.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Adamar International Lodging,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Administracion de Empresas Starwood S de RL de SV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Aeropuerto Shareholder,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Aloft Hotel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Aloft International Hotel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Alpha Steam Acquisition,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Alphaventure Music Publishing Corp.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Alstar Operating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Alstar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AP Arabella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AP Mount Grace (Pty)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Atlanta Acquisition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Bal Harbour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Baltic Investment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Baltimore Marriott Inner Harbor,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BCN Hotel Management Company, S.L.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Berlin Marriott Hotelmanagement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Betaventure Music Publishing Corp.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Blue Marble Co.,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Boston Convention Associates,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169"/>
        </w:trPr>
        <w:tc>
          <w:tcPr>
            <w:tcW w:w="20" w:type="dxa"/>
            <w:vAlign w:val="bottom"/>
          </w:tcPr>
          <w:p>
            <w:pPr>
              <w:spacing w:after="0"/>
              <w:rPr>
                <w:sz w:val="14"/>
                <w:szCs w:val="14"/>
                <w:color w:val="auto"/>
              </w:rPr>
            </w:pPr>
          </w:p>
        </w:tc>
        <w:tc>
          <w:tcPr>
            <w:tcW w:w="8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Branch of the private limited liability company "Luxury Hotels International Management Company" (Moscow</w:t>
            </w:r>
          </w:p>
        </w:tc>
        <w:tc>
          <w:tcPr>
            <w:tcW w:w="29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9"/>
        </w:trPr>
        <w:tc>
          <w:tcPr>
            <w:tcW w:w="20" w:type="dxa"/>
            <w:vAlign w:val="bottom"/>
            <w:tcBorders>
              <w:bottom w:val="single" w:sz="8" w:color="C0C0C0"/>
            </w:tcBorders>
          </w:tcPr>
          <w:p>
            <w:pPr>
              <w:spacing w:after="0"/>
              <w:rPr>
                <w:sz w:val="20"/>
                <w:szCs w:val="20"/>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224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r>
      <w:tr>
        <w:trPr>
          <w:trHeight w:val="227"/>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Branch Office of the Private limited liability company "The Ritz-Carlton Hotel Company B.V." (Russian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BW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r>
      <w:tr>
        <w:trPr>
          <w:trHeight w:val="857"/>
        </w:trPr>
        <w:tc>
          <w:tcPr>
            <w:tcW w:w="834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Camelback Country Club, Inc. (d/b/a Camelback Golf Club)</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Camelback Properties Inn,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Canal Street Holdings,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Capitol Employment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CBM Annex,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Centerline Georgia Investor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Charleston Marriott,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Chicago Hotel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Ciga Gestioni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CIGA Hotels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CIGA Immobiliare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CIGA International Management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Cigahotels Espana S.L.U</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Cologne MH Operating Company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Colony Club (Barbados)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Colony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Columbia Courtyard,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Companhia Palmares Hoteis E Turismo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Corporate General,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Courtyard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Crystal Cove Hotel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Crystal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CTYD III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CY Paris Gare de Lyon Bercy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Daphne’s Restaurant (St. Lucia)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Design Hotels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Design Hotels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Design Hotels New York,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Design Hotels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Destination Services of Scottsdale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Detroit CY,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Detroit Hotel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Detroit MHS,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Detroit Starwood,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Dominican Hotels (B.V.I.)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EDITION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Elan Hotel Beverage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Finance (St. Lucia)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Hotels (Barbados) Management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Hotels BGI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Hotels Group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Restaurant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Elegant Services (St. Lucia)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Empresa de Servicios Reforma 325, S. de R.L.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Emstar Operating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Emstar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Essex House Condominium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 L. Insurance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Hawaii</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7"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20" w:type="dxa"/>
            <w:vAlign w:val="bottom"/>
            <w:tcBorders>
              <w:bottom w:val="single" w:sz="8" w:color="C0C0C0"/>
            </w:tcBorders>
          </w:tcPr>
          <w:p>
            <w:pPr>
              <w:spacing w:after="0" w:line="20" w:lineRule="exact"/>
              <w:rPr>
                <w:sz w:val="1"/>
                <w:szCs w:val="1"/>
                <w:color w:val="auto"/>
              </w:rPr>
            </w:pPr>
          </w:p>
        </w:tc>
        <w:tc>
          <w:tcPr>
            <w:tcW w:w="2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Fairfield FMC,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Fifth Avenue Hotel Suites,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Fiji Cayman Holdings</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FOH Holdco,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Franchise and License (Canadian) Ops Limited Partnership</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System Holdings,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Frankfurt Airport Marriott Hotel Management GmbH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Frankfurt Marriott Hotelmanagement GmbH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Galaxy Hotel Systems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Gateway Beverages,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Geyex International N.V.</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GH Hotel Operating Company Limited</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Global Connextions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Global Hospitality Licensing S.à r.l.</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Granton International, Ltd.</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Guangzhou Gingerroot Information Technology Co., Ltd.</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Guangzhou Starwood Customer Contact Centre Co., Ltd.</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Hamburg Marriott Hotelmanagement GmbH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Headquarters Hotel Management,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Heidelberg Marriott Hotelmanagement GmbH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Hospitality International,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Host Restaurants,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Finance Luxembourg SARL</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Finance Luxembourg,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Global Holding SCS</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International Finance SARL</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International Holding S.A.R.L., Luxembourg, Zurich Branch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International Holding SARL</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 Ventures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Hotel Gym Ventures,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Hotel Investors of Michigan,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Michigan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Hotel Investors of Nebraska,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Nebraska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Hoteles Sheraton del Peru S.A.C.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Hoteles Sheraton, S. de R.L. de C.V.</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Hudson Sheraton Corporation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Hunt Valley Courtyard,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IDF Enterprises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Inmobiliaria Valiant, S. de R.L.de C.V.</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International Hotel Licensing Company S.à r.l, Luxembourg, Zurich Branch</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International Hotel Licensing Company S.àr.l.</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International Luxury Hotels (Singapore) Pte. Limited</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International Tourism Management Services,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ITT Corporation Split Dollar Life/Death Benefits Trust</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 Hospitality Service Company</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 Hotel Management Company</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Kansas Hospitality Services, Inc.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KW Beach Suites Limited Partnership</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LAX Properties, LLC</w:t>
            </w:r>
          </w:p>
        </w:tc>
        <w:tc>
          <w:tcPr>
            <w:tcW w:w="2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7"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Le Centre Sheraton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Leipzig Marriott Hotelmanagement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LF, South Beach,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LHI (MYANMAR)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Myanmar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LHI Rwanda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Rwanda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Limited Liability Company "St. Petersburg CY Hotel Leasing"</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LLC MHR Nizhny Novgorod Hotel Management</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LM IPCO (Italy)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Lottco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Lottco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 Hotels Management Peru S.A.C.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 International Hotels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Canada, ULC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China Hotels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Finance,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Holding of Luxembourg S.àr.l.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 Leasing South Africa (Pty) Ltd (f/k/a PH Hunters Rest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 Management of Bolivia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Bolivia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 Management of Czech Republic s.r.o.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&amp; Resorts (Thailand)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(Barbados)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(China) International Management of Hong Kong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Broad-Based Ownership Trust</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Cape Town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Design &amp; Construction Hong Kong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(Gabon)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Gabon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Company of Jamaica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Jamaica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Lodging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Lodging Ltd. (Cayman Islands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Lodging Ltd. (Panama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Panama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(Bonaire)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Bonaire, Sint Eustatius and Saba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(Oman)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Oman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Austria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Belgium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Colombia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Colombia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(Azerbaijan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Azerbaijan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(El Salvador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El Salvador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(Libya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Libya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(Malaysia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(Portuguese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Taiwan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Company B.V., útibú á Íslandi (Iceland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Iceland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Italy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Mexico,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of Aruba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Aruba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of Guatemala,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Guatemala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7"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of Saudi Arabia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St. Kitts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Kitts and Nevis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Management Switzerland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MEA-KSA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MEA-QFC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Qatar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Canada, ULC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France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Hong Kong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Hong Kong Limited (Hong Kong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Hong Kong Limited (Macao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Japan,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Puerto Rico,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Puerto Rico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Spain S.L.U.</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Tunisia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Tunisia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of Vietnam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Vietnam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OR Tambo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Sales of Israel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Saudi Arabia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South Africa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International Sweden AB</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Irish Holding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(BVI)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(BVI) Limited (Guyana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Guyana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(BVI) Limited (Haiti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Haiti</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(BVI) Limited Ogranak Beograd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Serbia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Bermuda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Ghana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Ghana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MEA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Management St. Lucia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of Costa Rica Management Company, Sociedad de Responsabilidad Limitada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Costa 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of Turks &amp; Caicos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Hotels Uluslararasi Otel Isletmeciligi Limited Sirketi</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International Holdings of Canada, ULC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International Management Nigeria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Nigeria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Lodging (CMB)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Cambodia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MANAGEMENT COMPANY MACEDONIA DOOEL Skopje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North Macedonia,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Reservations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Residences Management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Singapore Holding Company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Swiss Management Company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Swiss Management Company GmbH (Morocco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Morocco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Swiss Management Company GmbH (New Zealand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Swiss Management Company GmbH, Ethiopia International Contracting Office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Ethiopia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 Switzerland Holding Company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LuxuryHotels International of Ecuador Cia.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Ecuador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 Realty Sales,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Maguenine SEO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Caledonia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Malta Regional Hospitality Licensing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Malta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17"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Manhattan Sheraton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 Hoteis de Sao Paulo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(Schweiz)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Acquisition 2002 Subsidiary,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Acquisition 2002,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Argentina Licensing Company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BRASIL LICENCIAMENTO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BRASIL SERVICOS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II,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III,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IV,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VI,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VIII,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Cayman Islands Licensing Company X,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Chile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Claims Services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Crystal City Manager,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Curacao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De Honduras, Sociedad de Responsabilidad Limitada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Honduras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Ecuador Licensing Company MLC CIA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Ecuador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Fifth Avenue,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France Group Companies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Hong Kong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Hospitality Entertainment,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 Holding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 Management Company (Virgin Islands),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 Services Berlin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Hotel-Betriebsgesellschaft, 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Hotelmanagement Cologne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India Private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(Armenia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Armenia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(Caracas, Venezuela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Venezuela, Bolivarian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(Dominican Republic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(Jordan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Jordan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(Portugal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(Seoul MEA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B.V. (Seoul, South Korea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Limited (Belgium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International Limited (French Branch - Liasion Office)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Maldives Private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Maldives</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7"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Management France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of Amsterdam,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Hotels,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Hurghada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Hurghada Management, Inc.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Insurance Agency,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Administrative Services,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Capital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Construction Services,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Design &amp; Construction Services,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Design &amp; Construction Services, Inc. (UK Establishment)</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Finance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Holding Company B.V., Bertrange, Zurich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Holding Company B.V./S.àr.l.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(Argentina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(Ecuador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Ecuador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(Lebanon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Lebanon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(Malaysia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(Philippine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Hotels, Inc. Maryland USA Sucursala Bucuresti Romania (Romanian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Romania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JBS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Licensing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Lodging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(Australian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(Courtyard Suwon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(Daegu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(Dongdaemoon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(Fairfield Busan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(Fairfield Busan Songdo Beach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(Fairfield Yeongdeungpo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(Magok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(Namdaemun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(Seongnam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Management Company B.V. (Seoul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Inversiones y Servicios Limitada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Jamaica Licensing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Jamaica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Magenta Holding Company,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Market Street Hotel,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Mirage City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Mirage City Mangement, Inc.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Oak Brook Hills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P.R. Management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Payment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Payroll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7"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Peru Licensing Company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Ranch Properties,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Rewards Subsidiary,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Rewards,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Rewards,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RHG Acquisition B.V./S.àr.l.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Senior Holding Co.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Sharm El Sheikh Management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Sharm El Sheikh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Switzerland Licensing Company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Switzerland Licensing Company II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Switzerland Licensing Company S.ar.l (Nevis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Kitts and Nevis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Trinidad &amp; Tobago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Trinidad and Tobago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Two Flags Member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Two Flags, LP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U.S. Virgin Islands Licensing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UK Group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UK Management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Worldwide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Worldwide Corporation (Jordan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Jordan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Worldwide Payroll,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 Worldwide Reservation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Marriott's Greenbelt Hotel Services,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Mars Merger Sub,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MC Lodging Investment Opportunities,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Meridien India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Meridien India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Meridien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Meridien SAS,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 Guam,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MHSFR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MHSFR,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MHSI Conference Centers of Texas,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MHSI Hawaii,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CBM Investor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Finance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Fulfillment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Georgia Credits,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Holding, L. 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Hotels of Las Vegas,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Member,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NY Clock Tower,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Park 201,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Tenant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 TH4 INVESTOR,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MICC (California),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MICC SPE I Corp.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Lakeshore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7"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Mexico,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Midland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Oil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Sky,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Square,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Midnight Star,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MIF,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MII Conference Center,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Mission Hills Timeshare,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MQ Services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MRC I Funding,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Munich CY Schwanthaler Operating Company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Nara Hospitality Service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North Dallas Holding Co.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North Dallas Hotel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North Wharf Restaurant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Operadora Marriott,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Osaka St. Regis Hotel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Paynes Bay Investments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Permanent Establishment of Luxury Hotels International Management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Ukraine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Edward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F and I Cape Town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Hazyview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Marine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Roodepoort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 Victoria Junction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Preferred Guest,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Protea Hotels (International)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Protea Hotels and Inns (Pty)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Protea Hotels Empowerment Consortium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PT Indo Pacific Sheraton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PT Luxury Hotels International Indonesia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PT Marriott International Indonesia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PT Ritz Carlton Indonesia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Punta Mita Holding Company, S. de R.L.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Ramasia International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Ramcap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Hotel Holding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Hotel Holding Company Limited (Cayman Islands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Marriott II,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Marriott III,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Marriott,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Paradise Valley Development,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 Rose Holding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RC-UK,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 Boston Hotel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 Boston LP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 Boston Waterfront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7"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Cleveland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Cleveland IOSA,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 (Development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 (JW Sao Paulo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 (Porto Maravilha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 (Recife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do Brasil Hotelaria Ltda. (Sao Paulo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Dusseldorf Hotelmanagement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Hamburg Hotelmanagement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Hollywood Payroll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 Holdings,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 Management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 Operating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B.V. (Kazakhstan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Kazakhstan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Corporation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Corporation Limited (Malaysia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Corporation Limited (Philippine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International Management Belgium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Hotels Marketing Services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Virgin Islands, British</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International Lodging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International Lodging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International Management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International, Inc. (Egyptian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Le Parc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Oakbrook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Services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Services B.V. (Bahrain Representative Office)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Bahrain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Special Purposes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St. Louis Grand,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Renaissance St. Louis Suites,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Residence Inn by Marriott,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RG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RHG Holding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RHG Investments,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RHIL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RHOC Consolidation,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RI BWI Airport,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Rio Hotel Brasil Empreendimentos Imobiliários Ltda.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Ritz-Carlton (Virgin Islands),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Rockville Hotel Associates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Roissy CYBM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Ronevsorg Hotel Operating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 Collection,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Sabrina Operators,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Wisconsin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San Diego Sheraton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San Fernando Sheraton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SC Orlando,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Schaumberg/Oakbrook Marriott Hotels,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Scoops,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Seattle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Seattle Union Street Associates LLP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Senior Living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Servicios Hoteleros Starwood Limitada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Seville Acquisition,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SF Museum Tower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Enterprise Management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Enterprise Management Co., Ltd., Beijing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Enterprise Management Co., Ltd., Guangzhou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Hotel Management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Hotel Management Co., Ltd., Beijing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Shanghai Gingerroot Hotel Management Co., Ltd., Guangzhou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(Bermuda)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Asia-Pacific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Beijing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Centre Toronto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Crescent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de Venezuela CA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Venezuela, Bolivarian Republic of</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Florida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Forty-Five Park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Gaming (Peru)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Gaming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Gateway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Grand Phoenix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Hawaii Hotels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Hawaii</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Hotels (England)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Hotels (U.K.)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Intercontinental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Bahamas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Intercontinental Ltd. - Israel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(Hong Kong)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de Mexico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del Paraguay S.A.C.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Paraguay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IP,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International,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IPCO (Italy)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Key West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License Company Russia,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License Operating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Management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Bahamas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Miami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Middle East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New Jersey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New York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on the Park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Operating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Bahamas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Company Limited, Egypt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Management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Management Corporation - Tunis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Tunisia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Management Corporation (Argentina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Management Corporation (Thailand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Overseas Technical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Peachtree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Puerto Rico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San Antonio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SGC Sub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Suites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Texas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Vermont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Vermont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Sheraton West Houston Beverage,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SII Real Estate Holdings,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SJMEC,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SJMFB,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Acquisition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Atlanta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Indianapolis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Mexico,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SLC Operating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Socho,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Societe des Hotels de Noumea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New Caledonia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Societe des Hotels Meridien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Solar International Holdings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SPG Holding,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Spice Market Holdings,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SPRINGHILL SMC,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Square 369 Hotel Associates,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SRH Chicago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 Francis Hotel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 Regis New York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 Regis New York Operating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 Regis San Francisco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 Regis Sheraton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 Real Estate Licensing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France Holdings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Hotels Holding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Middle East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Middle East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 Services Company,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(Ukraine) Management Company,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Alfonso XIII Hotel Company, S.L.U.</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Asia Pacific Hotels &amp; Resorts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Asia Pacific Hotels &amp; Resorts Pte. Ltd. (Maldives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Maldives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Aspen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Atlanta Colony Square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Atlantic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Australia Hotels Pty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BPP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Canada ULC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Cayman Holdings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Checkmate Holdings,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Chicago City Center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Chicago Lakeshore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Chicago Special Manager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Chicago Special Manager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Chile Holdings,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CMBS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CMBS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Customer Contact Centre (AP)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Development Consulting Services (AP)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EAME License and Services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EAME Services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Edison GP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Edison LP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Egypt Management Company SAE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ESPP Funding,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Fiji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Finance Luxembourg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Flight Operations,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Holdings (HK)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Hong Kong Holdings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 Management Company Greece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(SEA) Sdn. Bhd.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(Shanghai)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(Shanghai) Co., Ltd., Beijing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(Shanghai) Co., Ltd., Guangzhou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India Private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Management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&amp; Resorts Worldwide,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(Thailand)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Hotels Japan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India Private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International Finance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International Holding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International Licensing Company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7"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Israel Hotel Management - Israel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Israel Hotel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Italia S.R.L.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Lahaina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Latin America,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Lexington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Los Angeles Payroll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Luxembourg Holding SARL</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Mexico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Mexico Servicios Compartidos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Mexico,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Nevada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Newton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Omaha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Operator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Operator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Pacific Hotels Pty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Park Ridge GP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Park Ridge LP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Philadelphia Airport Realty 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Philadelphia Airport Realty II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Rancho Mirage Fee Owner,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Reservations (Canada) Co.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Reservations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Resventure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San Francisco Aloft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Seattle Sixth Avenue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Services (UK)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Services Poland Sp. z.o.o.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Sierra Suites License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Taiwan Co.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Wakefield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 Weststate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Starwood-Charlotte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Stuttgart Sindelfingen Hotel 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Suites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SW Business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Tamarind Cove Hotel Co.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Tamcove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Dining Room Corporation</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House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R.C. Management Company of Mexico,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(Berlin)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Canada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Chile S.A.</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Egypt S.A.E.</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Mexico, S.A. de C.V.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Puerto Rico,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Qatar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Qatar</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Singapore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of the Cayman Islands,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L.L.C. (Egyptian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L.L.C. (Malaysian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Company, Ltd. (Bahamas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Bahamas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Hotel Management GmbH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International Construction Services,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International Licensing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International Licensing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International Management Company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Property Management Company (Kyoto)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Property Management Company (Tokyo),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Residences Management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Ritz-Carlton Residential Management Company of Singapore Pte.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Sheraton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The Westin Building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Tokyo Hospitality Service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Torriam Hotel Operating Company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Torriam International Lodging N.V.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Curacao</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Toulouse Operating Company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TownePlace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Townhouse Management Realty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Transamerican Hoteles, S.A.S</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Treasure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Treasure SL 1 Limited. (Barbados Branch)</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Tribute Portfolio IP,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TSQ2,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Turtle Beach Resort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Turtle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Victory Beverages,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Atlanta Buckhead Beverage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Atlanta Midtown Beverage,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 Limited Partnership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Hotels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Hotels Music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Hotels Real Estate,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Hotels TCI GP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Hotels Turks &amp; Caicos LP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Turks and Caicos Islands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International Hotel Management,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International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IPCO (Italy)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7"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734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Leicester Square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Miami Beach Holdings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Montreal Opco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Operating Company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PR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San Diego Hotel,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Scottsdale Beverage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 Turks &amp; Caicos GP,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Washington Sheraton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Water Acquisition,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Waves Hotel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Waves SL 1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Saint Lucia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99C-10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99C-11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99C-12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99C-13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99C-14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99C-2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99C-3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99C-4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99C-5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99C-6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99C-7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99C-8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WEC 99C-9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 Virginia Marriott Hotels,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Western Host,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200,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Arizona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Aruba Hotel Advisors,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Aruba Hotel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Asia Management Co.,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Asset Management Co.</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Beverage Services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Birmingham Operator,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Chicago at North River Payroll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CP Beverage Company, Inc.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Crown Plaza Hotel Company</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DIA Operator,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Hotel Management, L.P.</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Hotels Ireland Ltd.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Hotels Management,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Hotels PRC,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International (Malta) Limited</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Malta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International Europe B.V.</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IPCO (Italy)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Kierland, LLC</w:t>
            </w: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7"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20" w:type="dxa"/>
            <w:vAlign w:val="bottom"/>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864"/>
        </w:trPr>
        <w:tc>
          <w:tcPr>
            <w:tcW w:w="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78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20" w:type="dxa"/>
            <w:vAlign w:val="bottom"/>
            <w:tcBorders>
              <w:bottom w:val="single" w:sz="8" w:color="C0C0C0"/>
            </w:tcBorders>
          </w:tcPr>
          <w:p>
            <w:pPr>
              <w:spacing w:after="0" w:line="20" w:lineRule="exact"/>
              <w:rPr>
                <w:sz w:val="1"/>
                <w:szCs w:val="1"/>
                <w:color w:val="auto"/>
              </w:rPr>
            </w:pPr>
          </w:p>
        </w:tc>
        <w:tc>
          <w:tcPr>
            <w:tcW w:w="980" w:type="dxa"/>
            <w:vAlign w:val="bottom"/>
            <w:tcBorders>
              <w:top w:val="single" w:sz="8" w:color="auto"/>
              <w:bottom w:val="single" w:sz="8" w:color="C0C0C0"/>
            </w:tcBorders>
          </w:tcPr>
          <w:p>
            <w:pPr>
              <w:spacing w:after="0" w:line="20" w:lineRule="exact"/>
              <w:rPr>
                <w:sz w:val="1"/>
                <w:szCs w:val="1"/>
                <w:color w:val="auto"/>
              </w:rPr>
            </w:pPr>
          </w:p>
        </w:tc>
        <w:tc>
          <w:tcPr>
            <w:tcW w:w="3560" w:type="dxa"/>
            <w:vAlign w:val="bottom"/>
            <w:tcBorders>
              <w:bottom w:val="single" w:sz="8" w:color="C0C0C0"/>
            </w:tcBorders>
          </w:tcPr>
          <w:p>
            <w:pPr>
              <w:spacing w:after="0" w:line="20" w:lineRule="exact"/>
              <w:rPr>
                <w:sz w:val="1"/>
                <w:szCs w:val="1"/>
                <w:color w:val="auto"/>
              </w:rPr>
            </w:pPr>
          </w:p>
        </w:tc>
        <w:tc>
          <w:tcPr>
            <w:tcW w:w="3780" w:type="dxa"/>
            <w:vAlign w:val="bottom"/>
            <w:tcBorders>
              <w:bottom w:val="single" w:sz="8" w:color="C0C0C0"/>
            </w:tcBorders>
          </w:tcPr>
          <w:p>
            <w:pPr>
              <w:spacing w:after="0" w:line="20" w:lineRule="exact"/>
              <w:rPr>
                <w:sz w:val="1"/>
                <w:szCs w:val="1"/>
                <w:color w:val="auto"/>
              </w:rPr>
            </w:pPr>
          </w:p>
        </w:tc>
        <w:tc>
          <w:tcPr>
            <w:tcW w:w="2240" w:type="dxa"/>
            <w:vAlign w:val="bottom"/>
            <w:tcBorders>
              <w:top w:val="single" w:sz="8" w:color="auto"/>
              <w:bottom w:val="single" w:sz="8" w:color="C0C0C0"/>
            </w:tcBorders>
          </w:tcPr>
          <w:p>
            <w:pPr>
              <w:spacing w:after="0" w:line="20" w:lineRule="exact"/>
              <w:rPr>
                <w:sz w:val="1"/>
                <w:szCs w:val="1"/>
                <w:color w:val="auto"/>
              </w:rPr>
            </w:pPr>
          </w:p>
        </w:tc>
        <w:tc>
          <w:tcPr>
            <w:tcW w:w="66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License Holding,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Montreal Airport Hotel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O'Hare Hotel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Ontario (London) Hotel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Operator,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Ottawa Management Co.,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Portland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Realty Corp.</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River North, Chicago Beverage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San Antonio Resort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Savannah Holdings,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St. Lucia Management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Two Hundred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Westin Washington Operator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Wetbar New York,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WHC Payroll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Whiskey Blue Boston,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Whiskey Blue New Orleans,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WHLP Acquisition, LLC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WHR Colorado Beverage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WHR Ireland Holding Company Ltd.</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Windward Investments Limited</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Witty Restaurant Group, Inc.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Worldwide Franchise Systems, Inc.</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C0C0C0"/>
            </w:tcBorders>
          </w:tcPr>
          <w:p>
            <w:pPr>
              <w:spacing w:after="0"/>
              <w:rPr>
                <w:sz w:val="19"/>
                <w:szCs w:val="19"/>
                <w:color w:val="auto"/>
              </w:rPr>
            </w:pPr>
          </w:p>
        </w:tc>
        <w:tc>
          <w:tcPr>
            <w:tcW w:w="454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Yokohama Hospitality Service Company</w:t>
            </w:r>
          </w:p>
        </w:tc>
        <w:tc>
          <w:tcPr>
            <w:tcW w:w="3780" w:type="dxa"/>
            <w:vAlign w:val="bottom"/>
            <w:tcBorders>
              <w:bottom w:val="single" w:sz="8" w:color="C0C0C0"/>
            </w:tcBorders>
          </w:tcPr>
          <w:p>
            <w:pPr>
              <w:spacing w:after="0"/>
              <w:rPr>
                <w:sz w:val="19"/>
                <w:szCs w:val="19"/>
                <w:color w:val="auto"/>
              </w:rPr>
            </w:pPr>
          </w:p>
        </w:tc>
        <w:tc>
          <w:tcPr>
            <w:tcW w:w="2900" w:type="dxa"/>
            <w:vAlign w:val="bottom"/>
            <w:tcBorders>
              <w:bottom w:val="single" w:sz="8" w:color="C0C0C0"/>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8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17</w:t>
            </w: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333-230005) pertaining to the Marriott International, Inc. Executive Deferred Compensation Plan;</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333-266458) pertaining to the Marriott International, Inc. Employee Stock Purchase Plan;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333-271964) pertaining to the 2023 Marriott International, Inc. Stock and Cash Incentive Plan;</w:t>
      </w:r>
    </w:p>
    <w:p>
      <w:pPr>
        <w:spacing w:after="0" w:line="9" w:lineRule="exact"/>
        <w:rPr>
          <w:rFonts w:ascii="Times New Roman" w:cs="Times New Roman" w:eastAsia="Times New Roman" w:hAnsi="Times New Roman"/>
          <w:sz w:val="18"/>
          <w:szCs w:val="18"/>
          <w:color w:val="auto"/>
        </w:rPr>
      </w:pPr>
    </w:p>
    <w:p>
      <w:pPr>
        <w:ind w:left="640" w:hanging="308"/>
        <w:spacing w:after="0" w:line="23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333-161194) pertaining to the Marriott International, Inc. Stock and Cash Incentive Plan, as amended;</w:t>
      </w:r>
    </w:p>
    <w:p>
      <w:pPr>
        <w:ind w:left="640" w:hanging="308"/>
        <w:spacing w:after="0" w:line="23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ASR No. 333-253260) of Marriott International, Inc.;</w:t>
      </w:r>
    </w:p>
    <w:p>
      <w:pPr>
        <w:ind w:left="660" w:right="300" w:hanging="328"/>
        <w:spacing w:after="0" w:line="241"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333-269762, 333-262744, 333-253252, and 333-236688) pertaining to the Marriott Retirement Savings Plan; and</w:t>
      </w:r>
    </w:p>
    <w:p>
      <w:pPr>
        <w:spacing w:after="0" w:line="1" w:lineRule="exact"/>
        <w:rPr>
          <w:rFonts w:ascii="Times New Roman" w:cs="Times New Roman" w:eastAsia="Times New Roman" w:hAnsi="Times New Roman"/>
          <w:sz w:val="18"/>
          <w:szCs w:val="18"/>
          <w:color w:val="auto"/>
        </w:rPr>
      </w:pPr>
    </w:p>
    <w:p>
      <w:pPr>
        <w:ind w:left="660" w:right="580" w:hanging="328"/>
        <w:spacing w:after="0" w:line="26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333-249913) pertaining to the Marriott International, Inc. Puerto Rico Retirement Plan and San Juan Marriott Resort &amp; Stellaris Casino Employee Retirement Plan.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February 13, 2024, with respect to the consolidated financial statements of Marriott International, Inc., and the effectiveness of internal control over financial reporting of Marriott International, Inc., included in this Annual Report (Form 10-K) of Marriott International, Inc. for the year ended December 31, 2023.</w:t>
      </w:r>
    </w:p>
    <w:p>
      <w:pPr>
        <w:spacing w:after="0" w:line="24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 Capuano, certify that:</w:t>
      </w:r>
    </w:p>
    <w:p>
      <w:pPr>
        <w:spacing w:after="0" w:line="17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International,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February 13, 2024</w:t>
      </w:r>
      <w:r>
        <w:rPr>
          <w:sz w:val="20"/>
          <w:szCs w:val="20"/>
          <w:color w:val="auto"/>
        </w:rPr>
        <w:tab/>
      </w:r>
      <w:r>
        <w:rPr>
          <w:rFonts w:ascii="Times New Roman" w:cs="Times New Roman" w:eastAsia="Times New Roman" w:hAnsi="Times New Roman"/>
          <w:sz w:val="17"/>
          <w:szCs w:val="17"/>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Anthony G. Capuano</w:t>
      </w:r>
    </w:p>
    <w:p>
      <w:pPr>
        <w:ind w:left="5240"/>
        <w:spacing w:after="0" w:line="205" w:lineRule="auto"/>
        <w:rPr>
          <w:sz w:val="20"/>
          <w:szCs w:val="20"/>
          <w:color w:val="auto"/>
        </w:rPr>
      </w:pPr>
      <w:r>
        <w:rPr>
          <w:rFonts w:ascii="Times New Roman" w:cs="Times New Roman" w:eastAsia="Times New Roman" w:hAnsi="Times New Roman"/>
          <w:sz w:val="18"/>
          <w:szCs w:val="18"/>
          <w:color w:val="auto"/>
        </w:rPr>
        <w:t>President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International,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February 13, 2024</w:t>
      </w:r>
      <w:r>
        <w:rPr>
          <w:sz w:val="20"/>
          <w:szCs w:val="20"/>
          <w:color w:val="auto"/>
        </w:rPr>
        <w:tab/>
      </w:r>
      <w:r>
        <w:rPr>
          <w:rFonts w:ascii="Times New Roman" w:cs="Times New Roman" w:eastAsia="Times New Roman" w:hAnsi="Times New Roman"/>
          <w:sz w:val="17"/>
          <w:szCs w:val="17"/>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Kathleen K. Oberg</w:t>
      </w:r>
    </w:p>
    <w:p>
      <w:pPr>
        <w:ind w:left="5240"/>
        <w:spacing w:after="0" w:line="205" w:lineRule="auto"/>
        <w:rPr>
          <w:sz w:val="20"/>
          <w:szCs w:val="20"/>
          <w:color w:val="auto"/>
        </w:rPr>
      </w:pPr>
      <w:r>
        <w:rPr>
          <w:rFonts w:ascii="Times New Roman" w:cs="Times New Roman" w:eastAsia="Times New Roman" w:hAnsi="Times New Roman"/>
          <w:sz w:val="18"/>
          <w:szCs w:val="18"/>
          <w:color w:val="auto"/>
        </w:rPr>
        <w:t>Chief Financial Officer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Executive Vice President, Development</w:t>
      </w:r>
    </w:p>
    <w:p>
      <w:pPr>
        <w:ind w:left="5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 Capuano, President and Chief Executive Officer of Marriott International, Inc. (the “Company”) certify that:</w:t>
      </w:r>
    </w:p>
    <w:p>
      <w:pPr>
        <w:spacing w:after="0" w:line="171" w:lineRule="exact"/>
        <w:rPr>
          <w:sz w:val="20"/>
          <w:szCs w:val="20"/>
          <w:color w:val="auto"/>
        </w:rPr>
      </w:pPr>
    </w:p>
    <w:p>
      <w:pPr>
        <w:ind w:left="1300" w:right="80" w:hanging="644"/>
        <w:spacing w:after="0" w:line="282"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“Annual Report”)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February 13, 2024</w:t>
      </w:r>
      <w:r>
        <w:rPr>
          <w:sz w:val="20"/>
          <w:szCs w:val="20"/>
          <w:color w:val="auto"/>
        </w:rPr>
        <w:tab/>
      </w:r>
      <w:r>
        <w:rPr>
          <w:rFonts w:ascii="Times New Roman" w:cs="Times New Roman" w:eastAsia="Times New Roman" w:hAnsi="Times New Roman"/>
          <w:sz w:val="17"/>
          <w:szCs w:val="17"/>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Anthony G. Capuano</w:t>
      </w:r>
    </w:p>
    <w:p>
      <w:pPr>
        <w:ind w:left="5240"/>
        <w:spacing w:after="0" w:line="205" w:lineRule="auto"/>
        <w:rPr>
          <w:sz w:val="20"/>
          <w:szCs w:val="20"/>
          <w:color w:val="auto"/>
        </w:rPr>
      </w:pPr>
      <w:r>
        <w:rPr>
          <w:rFonts w:ascii="Times New Roman" w:cs="Times New Roman" w:eastAsia="Times New Roman" w:hAnsi="Times New Roman"/>
          <w:sz w:val="18"/>
          <w:szCs w:val="18"/>
          <w:color w:val="auto"/>
        </w:rPr>
        <w:t>President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K. Oberg, Chief Financial Officer and Executive Vice President, Development of Marriott International, Inc. (the “Company”) certify that:</w:t>
      </w:r>
    </w:p>
    <w:p>
      <w:pPr>
        <w:spacing w:after="0" w:line="171" w:lineRule="exact"/>
        <w:rPr>
          <w:sz w:val="20"/>
          <w:szCs w:val="20"/>
          <w:color w:val="auto"/>
        </w:rPr>
      </w:pPr>
    </w:p>
    <w:p>
      <w:pPr>
        <w:ind w:left="1300" w:right="80" w:hanging="644"/>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“Annual Report”)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364"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February 13, 2024</w:t>
      </w:r>
      <w:r>
        <w:rPr>
          <w:sz w:val="20"/>
          <w:szCs w:val="20"/>
          <w:color w:val="auto"/>
        </w:rPr>
        <w:tab/>
      </w:r>
      <w:r>
        <w:rPr>
          <w:rFonts w:ascii="Times New Roman" w:cs="Times New Roman" w:eastAsia="Times New Roman" w:hAnsi="Times New Roman"/>
          <w:sz w:val="17"/>
          <w:szCs w:val="17"/>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Kathleen K. Oberg</w:t>
      </w:r>
    </w:p>
    <w:p>
      <w:pPr>
        <w:ind w:left="5240"/>
        <w:spacing w:after="0" w:line="219" w:lineRule="auto"/>
        <w:rPr>
          <w:sz w:val="20"/>
          <w:szCs w:val="20"/>
          <w:color w:val="auto"/>
        </w:rPr>
      </w:pPr>
      <w:r>
        <w:rPr>
          <w:rFonts w:ascii="Times New Roman" w:cs="Times New Roman" w:eastAsia="Times New Roman" w:hAnsi="Times New Roman"/>
          <w:sz w:val="18"/>
          <w:szCs w:val="18"/>
          <w:color w:val="auto"/>
        </w:rPr>
        <w:t>Chief Financial Officer and</w:t>
      </w:r>
    </w:p>
    <w:p>
      <w:pPr>
        <w:ind w:left="5240"/>
        <w:spacing w:after="0" w:line="203" w:lineRule="auto"/>
        <w:rPr>
          <w:sz w:val="20"/>
          <w:szCs w:val="20"/>
          <w:color w:val="auto"/>
        </w:rPr>
      </w:pPr>
      <w:r>
        <w:rPr>
          <w:rFonts w:ascii="Times New Roman" w:cs="Times New Roman" w:eastAsia="Times New Roman" w:hAnsi="Times New Roman"/>
          <w:sz w:val="18"/>
          <w:szCs w:val="18"/>
          <w:color w:val="auto"/>
        </w:rPr>
        <w:t>Executive Vice President, Development</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00" w:name="page101"/>
    <w:bookmarkEnd w:id="100"/>
    <w:p>
      <w:pPr>
        <w:ind w:left="10280"/>
        <w:spacing w:after="0"/>
        <w:rPr>
          <w:sz w:val="20"/>
          <w:szCs w:val="20"/>
          <w:color w:val="auto"/>
        </w:rPr>
      </w:pPr>
      <w:r>
        <w:rPr>
          <w:rFonts w:ascii="Times New Roman" w:cs="Times New Roman" w:eastAsia="Times New Roman" w:hAnsi="Times New Roman"/>
          <w:sz w:val="21"/>
          <w:szCs w:val="21"/>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MARRIOTT INTERNATIONAL, INC.</w:t>
      </w:r>
    </w:p>
    <w:p>
      <w:pPr>
        <w:spacing w:after="0" w:line="23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RULE 10D-1 CLAWBACK POLICY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of Incentive-Based Compensation</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It is the policy of Marriott International, Inc. (the “Company”) that, in the event the Company is required to prepare an accounting restatement of the Company’s financial statements (including any such correction recorded in the Company’s current period financial statements) due to material non-compliance with any financial reporting requirement under the federal securities laws,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 and Definitions</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Policy is administered by the Human Resources and Compensation Committee (the “Committee”) of the Company’s Board of Directors (the “Board”), in consultation with the Audit Committee of the Board and subject to ratification by the Board with respect to application of this Policy to the Company’s President and Chief Executive Officer, and is intended to comply with, and as applicable to be administered and interpreted consistent with, Listing Rule 5608 adopted by the Nasdaq Stock Market to implement Rule 10D-1 under the Securities Exchange Act of 1934, as amended (collectively, “Rule 10D-1”).</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Incentive-Based Compensation is deemed to be “Received” in the fiscal period during which the relevant financial reporting measure is attained, regardless of when the compensation is actually paid or awarded.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“Covered Executive” means any officer of the Company as defined under Rule 16a-1(f) under the Securities Exchange Act of 1934, as amended.</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“Recovery Period” means the three completed fiscal years immediately preceding the date that the Company is required to prepare the accounting restatement described in this Policy and any “transition period” as prescribed under Rule 10D-1.</w:t>
      </w:r>
    </w:p>
    <w:p>
      <w:pPr>
        <w:sectPr>
          <w:pgSz w:w="11900" w:h="16838" w:orient="portrait"/>
          <w:cols w:equalWidth="0" w:num="1">
            <w:col w:w="11240"/>
          </w:cols>
          <w:pgMar w:left="320" w:top="122"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Any determinations made by the Committee under this Policy shall be final and binding on all affected individuals.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amp;"/>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amp;"/>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6">
    <w:nsid w:val="1E7FF521"/>
    <w:multiLevelType w:val="hybridMultilevel"/>
    <w:lvl w:ilvl="0">
      <w:lvlJc w:val="left"/>
      <w:lvlText w:val="(%1)"/>
      <w:numFmt w:val="lowerRoman"/>
      <w:start w:val="4"/>
    </w:lvl>
  </w:abstractNum>
  <w:abstractNum w:abstractNumId="27">
    <w:nsid w:val="7C3DBD3D"/>
    <w:multiLevelType w:val="hybridMultilevel"/>
    <w:lvl w:ilvl="0">
      <w:lvlJc w:val="left"/>
      <w:lvlText w:val="(%1)"/>
      <w:numFmt w:val="lowerRoman"/>
      <w:start w:val="3"/>
    </w:lvl>
  </w:abstractNum>
  <w:abstractNum w:abstractNumId="28">
    <w:nsid w:val="737B8DDC"/>
    <w:multiLevelType w:val="hybridMultilevel"/>
    <w:lvl w:ilvl="0">
      <w:lvlJc w:val="left"/>
      <w:lvlText w:val="(%1)"/>
      <w:numFmt w:val="upperLetter"/>
      <w:start w:val="3"/>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97" Type="http://schemas.openxmlformats.org/officeDocument/2006/relationships/image" Target="media/image72.png"/><Relationship Id="rId118"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76" Type="http://schemas.openxmlformats.org/officeDocument/2006/relationships/hyperlink" Target="http://www.sec.gov/Archives/edgar/data/1048286/000118143106048907/rrd127798_15693.htm" TargetMode="External"/><Relationship Id="rId77" Type="http://schemas.openxmlformats.org/officeDocument/2006/relationships/hyperlink" Target="https://www.sec.gov/Archives/edgar/data/1048286/000119312523203849/d467663dex31.htm" TargetMode="External"/><Relationship Id="rId78" Type="http://schemas.openxmlformats.org/officeDocument/2006/relationships/hyperlink" Target="http://www.sec.gov/Archives/edgar/data/1048286/000119312505239225/dex45.htm" TargetMode="External"/><Relationship Id="rId79" Type="http://schemas.openxmlformats.org/officeDocument/2006/relationships/hyperlink" Target="http://www.sec.gov/Archives/edgar/data/1048286/0000928385-99-000780.txt" TargetMode="External"/><Relationship Id="rId80" Type="http://schemas.openxmlformats.org/officeDocument/2006/relationships/hyperlink" Target="https://www.sec.gov/Archives/edgar/data/1048286/000119312522306017/d398413dex10.htm" TargetMode="External"/><Relationship Id="rId81" Type="http://schemas.openxmlformats.org/officeDocument/2006/relationships/hyperlink" Target="http://www.sec.gov/Archives/edgar/data/1048286/000119312511317838/d257339dex101.htm" TargetMode="External"/><Relationship Id="rId82" Type="http://schemas.openxmlformats.org/officeDocument/2006/relationships/hyperlink" Target="http://www.sec.gov/Archives/edgar/data/1048286/000162828018002307/exhibit101-firstamendmentt.htm" TargetMode="External"/><Relationship Id="rId86" Type="http://schemas.openxmlformats.org/officeDocument/2006/relationships/hyperlink" Target="http://www.sec.gov/Archives/edgar/data/1048286/000162828018013710/mar-q32018xexx102.htm" TargetMode="External"/><Relationship Id="rId87" Type="http://schemas.openxmlformats.org/officeDocument/2006/relationships/hyperlink" Target="https://www.sec.gov/Archives/edgar/data/1048286/000162828022002666/mar-q42021xexx1024.htm" TargetMode="External"/><Relationship Id="rId88" Type="http://schemas.openxmlformats.org/officeDocument/2006/relationships/hyperlink" Target="https://www.sec.gov/Archives/edgar/data/1048286/000162828022012175/mar-q12022xexx101.htm" TargetMode="External"/><Relationship Id="rId89" Type="http://schemas.openxmlformats.org/officeDocument/2006/relationships/hyperlink" Target="https://www.sec.gov/Archives/edgar/data/1048286/000162828022020126/mar-q22022xexhx101.htm" TargetMode="External"/><Relationship Id="rId90" Type="http://schemas.openxmlformats.org/officeDocument/2006/relationships/hyperlink" Target="http://www.sec.gov/Archives/edgar/data/1048286/000119312511317838/d257339dex102.htm" TargetMode="External"/><Relationship Id="rId91" Type="http://schemas.openxmlformats.org/officeDocument/2006/relationships/hyperlink" Target="http://www.sec.gov/Archives/edgar/data/1048286/000162828018002307/exhibit102-amendmenttoritz.htm" TargetMode="External"/><Relationship Id="rId92" Type="http://schemas.openxmlformats.org/officeDocument/2006/relationships/hyperlink" Target="https://www.sec.gov/Archives/edgar/data/1048286/000162828022002666/mar-q42021xexx1041.htm" TargetMode="External"/><Relationship Id="rId93" Type="http://schemas.openxmlformats.org/officeDocument/2006/relationships/hyperlink" Target="http://www.sec.gov/Archives/edgar/data/1048286/000162828018002307/exhibit105-marriottctrxame.htm" TargetMode="External"/><Relationship Id="rId94" Type="http://schemas.openxmlformats.org/officeDocument/2006/relationships/hyperlink" Target="https://www.sec.gov/Archives/edgar/data/1048286/000119312523145681/d428210dex101.htm" TargetMode="External"/><Relationship Id="rId95" Type="http://schemas.openxmlformats.org/officeDocument/2006/relationships/hyperlink" Target="https://www.sec.gov/Archives/edgar/data/1048286/000162828023026380/mar-q22023xexx102.htm" TargetMode="External"/><Relationship Id="rId96" Type="http://schemas.openxmlformats.org/officeDocument/2006/relationships/hyperlink" Target="https://www.sec.gov/Archives/edgar/data/1048286/000162828023026380/mar-q22023xexx103.htm" TargetMode="External"/><Relationship Id="rId98" Type="http://schemas.openxmlformats.org/officeDocument/2006/relationships/hyperlink" Target="https://www.sec.gov/Archives/edgar/data/1048286/000162828023026380/mar-q22023xexx104.htm" TargetMode="External"/><Relationship Id="rId99" Type="http://schemas.openxmlformats.org/officeDocument/2006/relationships/hyperlink" Target="http://www.sec.gov/Archives/edgar/data/1048286/000119312514131393/d655548ddef14a.htm" TargetMode="External"/><Relationship Id="rId100" Type="http://schemas.openxmlformats.org/officeDocument/2006/relationships/hyperlink" Target="http://www.sec.gov/Archives/edgar/data/1048286/000144530514004562/mar-q32014xexx10.htm" TargetMode="External"/><Relationship Id="rId101" Type="http://schemas.openxmlformats.org/officeDocument/2006/relationships/hyperlink" Target="http://www.sec.gov/Archives/edgar/data/1048286/000162828018001756/mar-q42017xexx1082.htm" TargetMode="External"/><Relationship Id="rId102" Type="http://schemas.openxmlformats.org/officeDocument/2006/relationships/hyperlink" Target="http://www.sec.gov/Archives/edgar/data/1048286/000162828018001756/mar-q42017xexx1022.htm" TargetMode="External"/><Relationship Id="rId103" Type="http://schemas.openxmlformats.org/officeDocument/2006/relationships/hyperlink" Target="http://www.sec.gov/Archives/edgar/data/1048286/000162828018001756/mar-q42017xexx1083.htm" TargetMode="External"/><Relationship Id="rId104" Type="http://schemas.openxmlformats.org/officeDocument/2006/relationships/hyperlink" Target="http://www.sec.gov/Archives/edgar/data/1048286/000162828019002337/mar-q42018xexx1075.htm" TargetMode="External"/><Relationship Id="rId105" Type="http://schemas.openxmlformats.org/officeDocument/2006/relationships/hyperlink" Target="http://www.sec.gov/Archives/edgar/data/1048286/000162828019010070/mar-q22019xexx101.htm" TargetMode="External"/><Relationship Id="rId106" Type="http://schemas.openxmlformats.org/officeDocument/2006/relationships/hyperlink" Target="https://www.sec.gov/Archives/edgar/data/1048286/000162828020012272/mar-q22020xexx101amend.htm" TargetMode="External"/><Relationship Id="rId107" Type="http://schemas.openxmlformats.org/officeDocument/2006/relationships/hyperlink" Target="https://www.sec.gov/Archives/edgar/data/1048286/000162828019006493/mar-q12019xexx101.htm" TargetMode="External"/><Relationship Id="rId108" Type="http://schemas.openxmlformats.org/officeDocument/2006/relationships/hyperlink" Target="http://www.sec.gov/Archives/edgar/data/1048286/000162828019006493/mar-q12019xexx102.htm" TargetMode="External"/><Relationship Id="rId109" Type="http://schemas.openxmlformats.org/officeDocument/2006/relationships/hyperlink" Target="https://www.sec.gov/Archives/edgar/data/1048286/000162828021009633/mar-q1x2021xexx104.htm" TargetMode="External"/><Relationship Id="rId110" Type="http://schemas.openxmlformats.org/officeDocument/2006/relationships/hyperlink" Target="https://www.sec.gov/Archives/edgar/data/1048286/000162828023014793/mar-q12023xexx101.htm" TargetMode="External"/><Relationship Id="rId111" Type="http://schemas.openxmlformats.org/officeDocument/2006/relationships/hyperlink" Target="http://www.sec.gov/Archives/edgar/data/1048286/000162828018001756/mar-q42017xexx1012.htm" TargetMode="External"/><Relationship Id="rId112" Type="http://schemas.openxmlformats.org/officeDocument/2006/relationships/hyperlink" Target="http://www.sec.gov/Archives/edgar/data/1048286/000162828018006463/mar-q12018xexx107.htm" TargetMode="External"/><Relationship Id="rId113" Type="http://schemas.openxmlformats.org/officeDocument/2006/relationships/hyperlink" Target="http://www.sec.gov/Archives/edgar/data/1048286/000162828019006493/mar-q12019xexx103.htm" TargetMode="External"/><Relationship Id="rId114" Type="http://schemas.openxmlformats.org/officeDocument/2006/relationships/hyperlink" Target="https://www.sec.gov/Archives/edgar/data/1048286/000162828021009633/mar-q12021xexx105.htm" TargetMode="External"/><Relationship Id="rId115" Type="http://schemas.openxmlformats.org/officeDocument/2006/relationships/hyperlink" Target="https://www.sec.gov/Archives/edgar/data/1048286/000162828023014793/mar-q12023xexx103.htm" TargetMode="External"/><Relationship Id="rId116" Type="http://schemas.openxmlformats.org/officeDocument/2006/relationships/hyperlink" Target="https://www.sec.gov/Archives/edgar/data/1048286/000162828022020126/mar-q22022xexhx102.htm" TargetMode="External"/><Relationship Id="rId117" Type="http://schemas.openxmlformats.org/officeDocument/2006/relationships/hyperlink" Target="https://www.sec.gov/Archives/edgar/data/1048286/000162828022020126/mar-q22022xexhx103.htm" TargetMode="External"/><Relationship Id="rId119" Type="http://schemas.openxmlformats.org/officeDocument/2006/relationships/hyperlink" Target="http://www.sec.gov/Archives/edgar/data/1048286/000162828018001756/mar-q42017xexx10122.htm" TargetMode="External"/><Relationship Id="rId120" Type="http://schemas.openxmlformats.org/officeDocument/2006/relationships/hyperlink" Target="https://www.sec.gov/Archives/edgar/data/1048286/000162828022020126/mar-q22022xexhx104.htm" TargetMode="External"/><Relationship Id="rId121" Type="http://schemas.openxmlformats.org/officeDocument/2006/relationships/hyperlink" Target="http://www.sec.gov/Archives/edgar/data/1048286/000162828019006493/mar-q12019xexx104.htm" TargetMode="External"/><Relationship Id="rId122" Type="http://schemas.openxmlformats.org/officeDocument/2006/relationships/hyperlink" Target="https://www.sec.gov/Archives/edgar/data/1048286/000162828021009633/mar-q12021xexx106.htm" TargetMode="External"/><Relationship Id="rId123" Type="http://schemas.openxmlformats.org/officeDocument/2006/relationships/hyperlink" Target="https://www.sec.gov/Archives/edgar/data/1048286/000162828023014793/mar-q12023xexx102.htm" TargetMode="External"/><Relationship Id="rId124" Type="http://schemas.openxmlformats.org/officeDocument/2006/relationships/hyperlink" Target="https://www.sec.gov/Archives/edgar/data/1048286/000162828022002666/mar-q42021xexx1061.htm" TargetMode="External"/><Relationship Id="rId125" Type="http://schemas.openxmlformats.org/officeDocument/2006/relationships/hyperlink" Target="https://www.sec.gov/Archives/edgar/data/1048286/000162828023003485/mar-q42022xexx1072.htm" TargetMode="External"/><Relationship Id="rId126" Type="http://schemas.openxmlformats.org/officeDocument/2006/relationships/hyperlink" Target="http://www.sec.gov/Archives/edgar/data/316206/000119312513276781/d560702dex44.htm" TargetMode="External"/><Relationship Id="rId127" Type="http://schemas.openxmlformats.org/officeDocument/2006/relationships/hyperlink" Target="http://www.sec.gov/Archives/edgar/data/1048286/000162828018001756/mar-q42017xexx1020.htm" TargetMode="External"/><Relationship Id="rId128" Type="http://schemas.openxmlformats.org/officeDocument/2006/relationships/hyperlink" Target="http://www.sec.gov/Archives/edgar/data/1048286/000162828018001756/mar-q42017xexx1021.htm" TargetMode="External"/><Relationship Id="rId129" Type="http://schemas.openxmlformats.org/officeDocument/2006/relationships/hyperlink" Target="http://www.sec.gov/Archives/edgar/data/1048286/000162828018001756/mar-q42017xexx10191.htm" TargetMode="External"/><Relationship Id="rId130" Type="http://schemas.openxmlformats.org/officeDocument/2006/relationships/hyperlink" Target="https://www.sec.gov/Archives/edgar/data/1048286/000162828023036256/mar-q32023xexx102.htm" TargetMode="External"/><Relationship Id="rId131" Type="http://schemas.openxmlformats.org/officeDocument/2006/relationships/hyperlink" Target="https://www.sec.gov/Archives/edgar/data/1048286/000162828023036256/mar-q32023xexx101.htm" TargetMode="External"/><Relationship Id="rId132" Type="http://schemas.openxmlformats.org/officeDocument/2006/relationships/hyperlink" Target="https://www.sec.gov/Archives/edgar/data/1048286/000162828023003485/mar-q42022xex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2024-02-13T12:26:34Z</dcterms:created>
  <dcterms:modified xsi:type="dcterms:W3CDTF">2024-02-13T12:26:34Z</dcterms:modified>
</cp:coreProperties>
</file>