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6"/>
        </w:rPr>
      </w:pPr>
      <w:bookmarkStart w:id="0" w:name="idb29974c2bb34c38bbfd7073307b2d7c_1845"/>
      <w:bookmarkEnd w:id="0"/>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pPr>
      <w:r>
        <w:rPr>
          <w:rFonts w:ascii="Times New Roman;serif" w:hAnsi="Times New Roman;serif"/>
          <w:b w:val="false"/>
          <w:color w:val="000000"/>
          <w:sz w:val="16"/>
        </w:rPr>
        <w:t>_________________________________________________</w:t>
      </w:r>
      <w:r>
        <w:rPr>
          <w:color w:val="000000"/>
        </w:rPr>
        <w:t>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For the quarterly period ended June 30, 2026</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No. 1-13881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 </w:t>
      </w:r>
    </w:p>
    <w:p>
      <w:pPr>
        <w:pStyle w:val="TextBody"/>
        <w:bidi w:val="0"/>
        <w:spacing w:before="0" w:after="0"/>
        <w:jc w:val="center"/>
        <w:rPr/>
      </w:pPr>
      <w:r>
        <w:rPr/>
        <w:drawing>
          <wp:inline distT="0" distB="0" distL="0" distR="0">
            <wp:extent cx="16573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523875"/>
                    </a:xfrm>
                    <a:prstGeom prst="rect">
                      <a:avLst/>
                    </a:prstGeom>
                  </pic:spPr>
                </pic:pic>
              </a:graphicData>
            </a:graphic>
          </wp:inline>
        </w:drawing>
      </w:r>
      <w:bookmarkStart w:id="1" w:name="i-1"/>
      <w:bookmarkEnd w:id="1"/>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MARRIOTT INTERNATIONAL, INC. </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6485" w:type="dxa"/>
        <w:jc w:val="center"/>
        <w:tblInd w:w="0" w:type="dxa"/>
        <w:tblLayout w:type="fixed"/>
        <w:tblCellMar>
          <w:top w:w="28" w:type="dxa"/>
          <w:left w:w="28" w:type="dxa"/>
          <w:bottom w:w="28" w:type="dxa"/>
          <w:right w:w="28" w:type="dxa"/>
        </w:tblCellMar>
      </w:tblPr>
      <w:tblGrid>
        <w:gridCol w:w="707"/>
        <w:gridCol w:w="619"/>
        <w:gridCol w:w="624"/>
        <w:gridCol w:w="161"/>
        <w:gridCol w:w="161"/>
        <w:gridCol w:w="161"/>
        <w:gridCol w:w="270"/>
        <w:gridCol w:w="270"/>
        <w:gridCol w:w="271"/>
        <w:gridCol w:w="161"/>
        <w:gridCol w:w="161"/>
        <w:gridCol w:w="161"/>
        <w:gridCol w:w="290"/>
        <w:gridCol w:w="290"/>
        <w:gridCol w:w="291"/>
        <w:gridCol w:w="109"/>
        <w:gridCol w:w="109"/>
        <w:gridCol w:w="109"/>
        <w:gridCol w:w="455"/>
        <w:gridCol w:w="455"/>
        <w:gridCol w:w="650"/>
      </w:tblGrid>
      <w:tr>
        <w:trPr/>
        <w:tc>
          <w:tcPr>
            <w:tcW w:w="7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4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52-2055918</w:t>
            </w:r>
          </w:p>
        </w:tc>
      </w:tr>
      <w:tr>
        <w:trPr/>
        <w:tc>
          <w:tcPr>
            <w:tcW w:w="45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7750 Wisconsin Avenue</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Bethesda</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20814</w:t>
            </w:r>
          </w:p>
        </w:tc>
      </w:tr>
      <w:tr>
        <w:trPr/>
        <w:tc>
          <w:tcPr>
            <w:tcW w:w="4598"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100"/>
        <w:jc w:val="center"/>
        <w:rPr/>
      </w:pPr>
      <w:r>
        <w:rPr>
          <w:rFonts w:ascii="Times New Roman;serif" w:hAnsi="Times New Roman;serif"/>
          <w:b/>
          <w:color w:val="000000"/>
          <w:sz w:val="18"/>
        </w:rPr>
        <w:t>(Registrant’s telephone number, including area code) (301) 380-3000</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167"/>
        <w:gridCol w:w="1026"/>
        <w:gridCol w:w="1026"/>
        <w:gridCol w:w="292"/>
        <w:gridCol w:w="292"/>
        <w:gridCol w:w="292"/>
        <w:gridCol w:w="519"/>
        <w:gridCol w:w="519"/>
        <w:gridCol w:w="519"/>
        <w:gridCol w:w="292"/>
        <w:gridCol w:w="292"/>
        <w:gridCol w:w="292"/>
        <w:gridCol w:w="1075"/>
        <w:gridCol w:w="1075"/>
        <w:gridCol w:w="1527"/>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$0.01 par value</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39"/>
        <w:gridCol w:w="954"/>
        <w:gridCol w:w="898"/>
        <w:gridCol w:w="194"/>
        <w:gridCol w:w="194"/>
        <w:gridCol w:w="194"/>
        <w:gridCol w:w="194"/>
        <w:gridCol w:w="194"/>
        <w:gridCol w:w="194"/>
        <w:gridCol w:w="194"/>
        <w:gridCol w:w="194"/>
        <w:gridCol w:w="194"/>
        <w:gridCol w:w="1370"/>
        <w:gridCol w:w="1370"/>
        <w:gridCol w:w="1378"/>
        <w:gridCol w:w="194"/>
        <w:gridCol w:w="194"/>
        <w:gridCol w:w="194"/>
        <w:gridCol w:w="194"/>
        <w:gridCol w:w="194"/>
        <w:gridCol w:w="280"/>
      </w:tblGrid>
      <w:tr>
        <w:trPr/>
        <w:tc>
          <w:tcPr>
            <w:tcW w:w="1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260,766,288 shares of Class A Common Stock, par value $0.01 per share, outstanding at July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450"/>
                        <w:jc w:val="left"/>
                        <w:rPr/>
                      </w:pPr>
                      <w:r>
                        <w:rPr/>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jc w:val="center"/>
        <w:rPr>
          <w:rFonts w:ascii="Times New Roman;serif" w:hAnsi="Times New Roman;serif"/>
          <w:b/>
          <w:color w:val="000000"/>
          <w:sz w:val="22"/>
        </w:rPr>
      </w:pPr>
      <w:bookmarkStart w:id="2" w:name="i25c125c8269a4780967b0e367b5261d3_66"/>
      <w:bookmarkEnd w:id="2"/>
      <w:r>
        <w:rPr>
          <w:rFonts w:ascii="Times New Roman;serif" w:hAnsi="Times New Roman;serif"/>
          <w:b/>
          <w:color w:val="000000"/>
          <w:sz w:val="22"/>
        </w:rPr>
        <w:t>MARRIOTT INTERNATIONAL,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10-Q TABLE OF CONTENTS</w:t>
      </w:r>
    </w:p>
    <w:p>
      <w:pPr>
        <w:pStyle w:val="TextBody"/>
        <w:bidi w:val="0"/>
        <w:spacing w:lineRule="auto" w:line="288" w:before="180" w:after="283"/>
        <w:ind w:left="0" w:right="0" w:firstLine="450"/>
        <w:jc w:val="left"/>
        <w:rPr>
          <w:color w:val="000000"/>
        </w:rPr>
      </w:pPr>
      <w:r>
        <w:rPr>
          <w:color w:val="000000"/>
        </w:rPr>
        <w:t> </w:t>
      </w:r>
    </w:p>
    <w:tbl>
      <w:tblPr>
        <w:tblW w:w="9076" w:type="dxa"/>
        <w:jc w:val="left"/>
        <w:tblInd w:w="0" w:type="dxa"/>
        <w:tblLayout w:type="fixed"/>
        <w:tblCellMar>
          <w:top w:w="28" w:type="dxa"/>
          <w:left w:w="28" w:type="dxa"/>
          <w:bottom w:w="28" w:type="dxa"/>
          <w:right w:w="28" w:type="dxa"/>
        </w:tblCellMar>
      </w:tblPr>
      <w:tblGrid>
        <w:gridCol w:w="305"/>
        <w:gridCol w:w="251"/>
        <w:gridCol w:w="255"/>
        <w:gridCol w:w="2452"/>
        <w:gridCol w:w="2452"/>
        <w:gridCol w:w="2460"/>
        <w:gridCol w:w="264"/>
        <w:gridCol w:w="264"/>
        <w:gridCol w:w="373"/>
      </w:tblGrid>
      <w:tr>
        <w:trPr/>
        <w:tc>
          <w:tcPr>
            <w:tcW w:w="3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3">
              <w:r>
                <w:rPr>
                  <w:rStyle w:val="InternetLink"/>
                  <w:rFonts w:ascii="Times New Roman;serif" w:hAnsi="Times New Roman;serif"/>
                  <w:b w:val="false"/>
                  <w:color w:val="0000FF"/>
                  <w:sz w:val="20"/>
                  <w:u w:val="single"/>
                </w:rPr>
                <w:t>Financial Information (Unaudited)</w:t>
              </w:r>
            </w:hyperlink>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6">
              <w:r>
                <w:rPr>
                  <w:rStyle w:val="InternetLink"/>
                  <w:rFonts w:ascii="Times New Roman;serif" w:hAnsi="Times New Roman;serif"/>
                  <w:b w:val="false"/>
                  <w:color w:val="0000FF"/>
                  <w:sz w:val="20"/>
                  <w:u w:val="single"/>
                </w:rPr>
                <w:t>Financial Statements</w:t>
              </w:r>
            </w:hyperlink>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9">
              <w:r>
                <w:rPr>
                  <w:rStyle w:val="InternetLink"/>
                  <w:rFonts w:ascii="Times New Roman;serif" w:hAnsi="Times New Roman;serif"/>
                  <w:b w:val="false"/>
                  <w:color w:val="0000FF"/>
                  <w:sz w:val="20"/>
                  <w:u w:val="single"/>
                </w:rPr>
                <w:t>Condensed Consolidated Statements of Income</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19">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22">
              <w:r>
                <w:rPr>
                  <w:rStyle w:val="InternetLink"/>
                  <w:rFonts w:ascii="Times New Roman;serif" w:hAnsi="Times New Roman;serif"/>
                  <w:b w:val="false"/>
                  <w:color w:val="0000FF"/>
                  <w:sz w:val="20"/>
                  <w:u w:val="single"/>
                </w:rPr>
                <w:t>Condensed Consolidated Statements of Comprehensive Income</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22">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25">
              <w:r>
                <w:rPr>
                  <w:rStyle w:val="InternetLink"/>
                  <w:rFonts w:ascii="Times New Roman;serif" w:hAnsi="Times New Roman;serif"/>
                  <w:b w:val="false"/>
                  <w:color w:val="0000FF"/>
                  <w:sz w:val="20"/>
                  <w:u w:val="single"/>
                </w:rPr>
                <w:t>Condensed Consolidated Balance Sheets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25">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28">
              <w:r>
                <w:rPr>
                  <w:rStyle w:val="InternetLink"/>
                  <w:rFonts w:ascii="Times New Roman;serif" w:hAnsi="Times New Roman;serif"/>
                  <w:b w:val="false"/>
                  <w:color w:val="0000FF"/>
                  <w:sz w:val="20"/>
                  <w:u w:val="single"/>
                </w:rPr>
                <w:t>Condensed Consolidated Statements of Cash Flows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28">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31">
              <w:r>
                <w:rPr>
                  <w:rStyle w:val="InternetLink"/>
                  <w:rFonts w:ascii="Times New Roman;serif" w:hAnsi="Times New Roman;serif"/>
                  <w:b w:val="false"/>
                  <w:color w:val="0000FF"/>
                  <w:sz w:val="20"/>
                  <w:u w:val="single"/>
                </w:rPr>
                <w:t>Notes to Condensed Consolidated Financial Statements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31">
              <w:r>
                <w:rPr>
                  <w:rStyle w:val="InternetLink"/>
                  <w:rFonts w:ascii="Times New Roman;serif" w:hAnsi="Times New Roman;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109">
              <w:r>
                <w:rPr>
                  <w:rStyle w:val="InternetLink"/>
                  <w:rFonts w:ascii="Times New Roman;serif" w:hAnsi="Times New Roman;serif"/>
                  <w:b w:val="false"/>
                  <w:color w:val="0000FF"/>
                  <w:sz w:val="20"/>
                  <w:u w:val="single"/>
                </w:rPr>
                <w:t>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12">
              <w:r>
                <w:rPr>
                  <w:rStyle w:val="InternetLink"/>
                  <w:rFonts w:ascii="Times New Roman;serif" w:hAnsi="Times New Roman;serif"/>
                  <w:b w:val="false"/>
                  <w:color w:val="0000FF"/>
                  <w:sz w:val="20"/>
                  <w:u w:val="single"/>
                </w:rPr>
                <w:t>Cautionary Statement</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112">
              <w:r>
                <w:rPr>
                  <w:rStyle w:val="InternetLink"/>
                  <w:rFonts w:ascii="Times New Roman;serif" w:hAnsi="Times New Roman;serif"/>
                  <w:b w:val="false"/>
                  <w:color w:val="0000FF"/>
                  <w:sz w:val="20"/>
                  <w:u w:val="single"/>
                </w:rPr>
                <w:t>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90">
              <w:r>
                <w:rPr>
                  <w:rStyle w:val="InternetLink"/>
                  <w:rFonts w:ascii="Times New Roman;serif" w:hAnsi="Times New Roman;serif"/>
                  <w:b w:val="false"/>
                  <w:color w:val="0000FF"/>
                  <w:sz w:val="20"/>
                  <w:u w:val="single"/>
                </w:rPr>
                <w:t>Quantitative and Qualitative Disclosures About Market Risk</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190">
              <w:r>
                <w:rPr>
                  <w:rStyle w:val="InternetLink"/>
                  <w:rFonts w:ascii="Times New Roman;serif" w:hAnsi="Times New Roman;serif"/>
                  <w:b w:val="false"/>
                  <w:color w:val="0000FF"/>
                  <w:sz w:val="20"/>
                  <w:u w:val="single"/>
                </w:rPr>
                <w:t>22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93">
              <w:r>
                <w:rPr>
                  <w:rStyle w:val="InternetLink"/>
                  <w:rFonts w:ascii="Times New Roman;serif" w:hAnsi="Times New Roman;serif"/>
                  <w:b w:val="false"/>
                  <w:color w:val="0000FF"/>
                  <w:sz w:val="20"/>
                  <w:u w:val="single"/>
                </w:rPr>
                <w:t>Controls and Procedures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193">
              <w:r>
                <w:rPr>
                  <w:rStyle w:val="InternetLink"/>
                  <w:rFonts w:ascii="Times New Roman;serif" w:hAnsi="Times New Roman;serif"/>
                  <w:b w:val="false"/>
                  <w:color w:val="0000FF"/>
                  <w:sz w:val="20"/>
                  <w:u w:val="single"/>
                </w:rPr>
                <w:t>22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96">
              <w:r>
                <w:rPr>
                  <w:rStyle w:val="InternetLink"/>
                  <w:rFonts w:ascii="Times New Roman;serif" w:hAnsi="Times New Roman;serif"/>
                  <w:b w:val="false"/>
                  <w:color w:val="0000FF"/>
                  <w:sz w:val="20"/>
                  <w:u w:val="single"/>
                </w:rPr>
                <w:t>Other Information</w:t>
              </w:r>
            </w:hyperlink>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199">
              <w:r>
                <w:rPr>
                  <w:rStyle w:val="InternetLink"/>
                  <w:rFonts w:ascii="Times New Roman;serif" w:hAnsi="Times New Roman;serif"/>
                  <w:b w:val="false"/>
                  <w:color w:val="0000FF"/>
                  <w:sz w:val="20"/>
                  <w:u w:val="single"/>
                </w:rPr>
                <w:t>Legal Proceedings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199">
              <w:r>
                <w:rPr>
                  <w:rStyle w:val="InternetLink"/>
                  <w:rFonts w:ascii="Times New Roman;serif" w:hAnsi="Times New Roman;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202">
              <w:r>
                <w:rPr>
                  <w:rStyle w:val="InternetLink"/>
                  <w:rFonts w:ascii="Times New Roman;serif" w:hAnsi="Times New Roman;serif"/>
                  <w:b w:val="false"/>
                  <w:color w:val="0000FF"/>
                  <w:sz w:val="20"/>
                  <w:u w:val="single"/>
                </w:rPr>
                <w:t>Risk Factors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202">
              <w:r>
                <w:rPr>
                  <w:rStyle w:val="InternetLink"/>
                  <w:rFonts w:ascii="Times New Roman;serif" w:hAnsi="Times New Roman;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205">
              <w:r>
                <w:rPr>
                  <w:rStyle w:val="InternetLink"/>
                  <w:rFonts w:ascii="Times New Roman;serif" w:hAnsi="Times New Roman;serif"/>
                  <w:b w:val="false"/>
                  <w:color w:val="0000FF"/>
                  <w:sz w:val="20"/>
                  <w:u w:val="single"/>
                </w:rPr>
                <w:t>Unregistered Sales of Equity Securities and Use of Proceeds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205">
              <w:r>
                <w:rPr>
                  <w:rStyle w:val="InternetLink"/>
                  <w:rFonts w:ascii="Times New Roman;serif" w:hAnsi="Times New Roman;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208">
              <w:r>
                <w:rPr>
                  <w:rStyle w:val="InternetLink"/>
                  <w:rFonts w:ascii="Times New Roman;serif" w:hAnsi="Times New Roman;serif"/>
                  <w:b w:val="false"/>
                  <w:color w:val="0000FF"/>
                  <w:sz w:val="20"/>
                  <w:u w:val="single"/>
                </w:rPr>
                <w:t>Other Information</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208">
              <w:r>
                <w:rPr>
                  <w:rStyle w:val="InternetLink"/>
                  <w:rFonts w:ascii="Times New Roman;serif" w:hAnsi="Times New Roman;serif"/>
                  <w:b w:val="false"/>
                  <w:color w:val="0000FF"/>
                  <w:sz w:val="20"/>
                  <w:u w:val="single"/>
                </w:rPr>
                <w:t>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211">
              <w:r>
                <w:rPr>
                  <w:rStyle w:val="InternetLink"/>
                  <w:rFonts w:ascii="Times New Roman;serif" w:hAnsi="Times New Roman;serif"/>
                  <w:b w:val="false"/>
                  <w:color w:val="0000FF"/>
                  <w:sz w:val="20"/>
                  <w:u w:val="single"/>
                </w:rPr>
                <w:t>Exhibits</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211">
              <w:r>
                <w:rPr>
                  <w:rStyle w:val="InternetLink"/>
                  <w:rFonts w:ascii="Times New Roman;serif" w:hAnsi="Times New Roman;serif"/>
                  <w:b w:val="false"/>
                  <w:color w:val="0000FF"/>
                  <w:sz w:val="20"/>
                  <w:u w:val="single"/>
                </w:rPr>
                <w:t>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6b40330aff044afaef5b4cdb19f2e33_214">
              <w:r>
                <w:rPr>
                  <w:rStyle w:val="InternetLink"/>
                  <w:rFonts w:ascii="Times New Roman;serif" w:hAnsi="Times New Roman;serif"/>
                  <w:b w:val="false"/>
                  <w:color w:val="0000FF"/>
                  <w:sz w:val="20"/>
                  <w:u w:val="single"/>
                </w:rPr>
                <w:t>Signature</w:t>
              </w:r>
            </w:hyperlink>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b40330aff044afaef5b4cdb19f2e33_214">
              <w:r>
                <w:rPr>
                  <w:rStyle w:val="InternetLink"/>
                  <w:rFonts w:ascii="Times New Roman;serif" w:hAnsi="Times New Roman;serif"/>
                  <w:b w:val="false"/>
                  <w:color w:val="0000FF"/>
                  <w:sz w:val="20"/>
                  <w:u w:val="single"/>
                </w:rPr>
                <w:t>26</w:t>
              </w:r>
            </w:hyperlink>
          </w:p>
        </w:tc>
      </w:tr>
    </w:tbl>
    <w:p>
      <w:pPr>
        <w:pStyle w:val="TextBody"/>
        <w:bidi w:val="0"/>
        <w:spacing w:before="180" w:after="283"/>
        <w:ind w:left="0" w:right="0" w:firstLine="450"/>
        <w:jc w:val="left"/>
        <w:rPr/>
      </w:pPr>
      <w:r>
        <w:rPr/>
      </w:r>
    </w:p>
    <w:p>
      <w:pPr>
        <w:pStyle w:val="TextBody"/>
        <w:bidi w:val="0"/>
        <w:spacing w:before="180" w:after="283"/>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jc w:val="center"/>
        <w:rPr>
          <w:rFonts w:ascii="Times New Roman;serif" w:hAnsi="Times New Roman;serif"/>
          <w:b/>
          <w:color w:val="000000"/>
          <w:sz w:val="22"/>
        </w:rPr>
      </w:pPr>
      <w:bookmarkStart w:id="3" w:name="i9a1ebf57beea4c809967fa1acd761360_34"/>
      <w:bookmarkEnd w:id="3"/>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2"/>
          <w:u w:val="single"/>
        </w:rPr>
        <w:t>Item 1</w:t>
      </w:r>
      <w:r>
        <w:rPr>
          <w:rFonts w:ascii="Times New Roman;serif" w:hAnsi="Times New Roman;serif"/>
          <w:b/>
          <w:i/>
          <w:color w:val="000000"/>
          <w:sz w:val="22"/>
          <w:u w:val="single"/>
        </w:rPr>
        <w:t>.</w:t>
      </w:r>
      <w:r>
        <w:rPr>
          <w:color w:val="000000"/>
        </w:rPr>
        <w:t xml:space="preserve"> </w:t>
      </w:r>
      <w:r>
        <w:rPr>
          <w:rFonts w:ascii="Times New Roman;serif" w:hAnsi="Times New Roman;serif"/>
          <w:b/>
          <w:i/>
          <w:color w:val="000000"/>
          <w:sz w:val="22"/>
          <w:u w:val="single"/>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center"/>
        <w:rPr>
          <w:rFonts w:ascii="Times New Roman;serif" w:hAnsi="Times New Roman;serif"/>
          <w:b/>
          <w:color w:val="000000"/>
          <w:sz w:val="22"/>
        </w:rPr>
      </w:pPr>
      <w:r>
        <w:rPr>
          <w:rFonts w:ascii="Times New Roman;serif" w:hAnsi="Times New Roman;serif"/>
          <w:b/>
          <w:color w:val="000000"/>
          <w:sz w:val="22"/>
        </w:rPr>
        <w:t>MARRIOTT INTERNATIONAL,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INCOME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millions, except per share amounts)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747"/>
        <w:gridCol w:w="1520"/>
        <w:gridCol w:w="1522"/>
        <w:gridCol w:w="247"/>
        <w:gridCol w:w="725"/>
        <w:gridCol w:w="128"/>
        <w:gridCol w:w="109"/>
        <w:gridCol w:w="109"/>
        <w:gridCol w:w="109"/>
        <w:gridCol w:w="275"/>
        <w:gridCol w:w="669"/>
        <w:gridCol w:w="142"/>
        <w:gridCol w:w="109"/>
        <w:gridCol w:w="109"/>
        <w:gridCol w:w="109"/>
        <w:gridCol w:w="247"/>
        <w:gridCol w:w="725"/>
        <w:gridCol w:w="128"/>
        <w:gridCol w:w="109"/>
        <w:gridCol w:w="109"/>
        <w:gridCol w:w="109"/>
        <w:gridCol w:w="245"/>
        <w:gridCol w:w="719"/>
        <w:gridCol w:w="185"/>
      </w:tblGrid>
      <w:tr>
        <w:trPr/>
        <w:tc>
          <w:tcPr>
            <w:tcW w:w="174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fees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management fees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management fees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fee revenues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investment amortization</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fee revenues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leased, and other revenue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 revenue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Owned, leased, and other expense </w:t>
            </w:r>
            <w:r>
              <w:rPr>
                <w:rFonts w:ascii="Times New Roman;serif" w:hAnsi="Times New Roman;serif"/>
                <w:b w:val="false"/>
                <w:color w:val="000000"/>
                <w:sz w:val="13"/>
              </w:rPr>
              <w:t>(1)</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other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merger-related (recoveries) charges, and other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Reimbursed expenses </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and other income, net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2025 second quarter and 2025 first half reflect the reclassification of $35 million and $71 million, respectively, of other expenses previously reported under the “General, administrative, and other” caption to the “Owned, leased, and other expense” caption of our Income Statements to conform to our current presentation.</w:t>
      </w:r>
    </w:p>
    <w:p>
      <w:pPr>
        <w:pStyle w:val="TextBody"/>
        <w:bidi w:val="0"/>
        <w:spacing w:lineRule="auto" w:line="288" w:before="180" w:after="283"/>
        <w:ind w:left="0" w:right="0" w:firstLine="450"/>
        <w:jc w:val="center"/>
        <w:rPr>
          <w:rFonts w:ascii="Times New Roman;serif" w:hAnsi="Times New Roman;serif"/>
          <w:b w:val="false"/>
          <w:color w:val="000000"/>
          <w:sz w:val="22"/>
        </w:rPr>
      </w:pPr>
      <w:r>
        <w:rPr>
          <w:rFonts w:ascii="Times New Roman;serif" w:hAnsi="Times New Roman;serif"/>
          <w:b w:val="false"/>
          <w:color w:val="000000"/>
          <w:sz w:val="22"/>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9560"/>
                <wp:effectExtent l="0" t="0" r="0" b="0"/>
                <wp:wrapNone/>
                <wp:docPr id="4"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MARRIOTT INTERNATIONAL,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millions)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center"/>
        <w:rPr/>
      </w:pPr>
      <w:r>
        <w:rPr/>
      </w:r>
    </w:p>
    <w:tbl>
      <w:tblPr>
        <w:tblW w:w="9799" w:type="dxa"/>
        <w:jc w:val="center"/>
        <w:tblInd w:w="0" w:type="dxa"/>
        <w:tblLayout w:type="fixed"/>
        <w:tblCellMar>
          <w:top w:w="28" w:type="dxa"/>
          <w:left w:w="28" w:type="dxa"/>
          <w:bottom w:w="28" w:type="dxa"/>
          <w:right w:w="28" w:type="dxa"/>
        </w:tblCellMar>
      </w:tblPr>
      <w:tblGrid>
        <w:gridCol w:w="1547"/>
        <w:gridCol w:w="1357"/>
        <w:gridCol w:w="1370"/>
        <w:gridCol w:w="302"/>
        <w:gridCol w:w="667"/>
        <w:gridCol w:w="156"/>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5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 of tax</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center"/>
        <w:rPr>
          <w:rFonts w:ascii="Times New Roman;serif" w:hAnsi="Times New Roman;serif"/>
          <w:b w:val="false"/>
          <w:color w:val="000000"/>
          <w:sz w:val="22"/>
        </w:rPr>
      </w:pPr>
      <w:r>
        <w:rPr>
          <w:rFonts w:ascii="Times New Roman;serif" w:hAnsi="Times New Roman;serif"/>
          <w:b w:val="false"/>
          <w:color w:val="000000"/>
          <w:sz w:val="22"/>
        </w:rPr>
        <w:t>See Notes to Condensed Consolidated Financial Statements.</w:t>
      </w:r>
    </w:p>
    <w:p>
      <w:pPr>
        <w:pStyle w:val="TextBody"/>
        <w:bidi w:val="0"/>
        <w:spacing w:before="180" w:after="283"/>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9560"/>
                <wp:effectExtent l="0" t="0" r="0" b="0"/>
                <wp:wrapNone/>
                <wp:docPr id="5" name="Frame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MARRIOTT INTERNATIONAL,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millions)</w:t>
      </w:r>
    </w:p>
    <w:tbl>
      <w:tblPr>
        <w:tblW w:w="7361" w:type="dxa"/>
        <w:jc w:val="center"/>
        <w:tblInd w:w="0" w:type="dxa"/>
        <w:tblLayout w:type="fixed"/>
        <w:tblCellMar>
          <w:top w:w="28" w:type="dxa"/>
          <w:left w:w="28" w:type="dxa"/>
          <w:bottom w:w="28" w:type="dxa"/>
          <w:right w:w="28" w:type="dxa"/>
        </w:tblCellMar>
      </w:tblPr>
      <w:tblGrid>
        <w:gridCol w:w="1579"/>
        <w:gridCol w:w="1392"/>
        <w:gridCol w:w="1394"/>
        <w:gridCol w:w="228"/>
        <w:gridCol w:w="779"/>
        <w:gridCol w:w="117"/>
        <w:gridCol w:w="109"/>
        <w:gridCol w:w="109"/>
        <w:gridCol w:w="109"/>
        <w:gridCol w:w="300"/>
        <w:gridCol w:w="1026"/>
        <w:gridCol w:w="219"/>
      </w:tblGrid>
      <w:tr>
        <w:trPr/>
        <w:tc>
          <w:tcPr>
            <w:tcW w:w="157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acquisition costs and 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19,243 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guest loyalty program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guest loyalty program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27,540 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center"/>
        <w:rPr>
          <w:rFonts w:ascii="Times New Roman;serif" w:hAnsi="Times New Roman;serif"/>
          <w:b w:val="false"/>
          <w:color w:val="000000"/>
          <w:sz w:val="22"/>
        </w:rPr>
      </w:pPr>
      <w:r>
        <w:rPr>
          <w:rFonts w:ascii="Times New Roman;serif" w:hAnsi="Times New Roman;serif"/>
          <w:b w:val="false"/>
          <w:color w:val="000000"/>
          <w:sz w:val="22"/>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9560"/>
                <wp:effectExtent l="0" t="0" r="0" b="0"/>
                <wp:wrapNone/>
                <wp:docPr id="6" name="Frame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MARRIOTT INTERNATIONAL,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millions)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2804"/>
        <w:gridCol w:w="2427"/>
        <w:gridCol w:w="2432"/>
        <w:gridCol w:w="244"/>
        <w:gridCol w:w="714"/>
        <w:gridCol w:w="126"/>
        <w:gridCol w:w="109"/>
        <w:gridCol w:w="109"/>
        <w:gridCol w:w="109"/>
        <w:gridCol w:w="242"/>
        <w:gridCol w:w="709"/>
        <w:gridCol w:w="180"/>
      </w:tblGrid>
      <w:tr>
        <w:trPr/>
        <w:tc>
          <w:tcPr>
            <w:tcW w:w="28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cash provided by operating activities: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other (including depreciation and amortization classified in reimbursed expenses)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guest loyalty program</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acquisition costs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merger-related (recoveries) charges, and other</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changes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and technology expenditures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advances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collections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paper/Credit Facility,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long-term debt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Class A Common Stock</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withholding taxes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RESTRICTED CASH</w:t>
            </w:r>
          </w:p>
        </w:tc>
        <w:tc>
          <w:tcPr>
            <w:tcW w:w="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CASH EQUIVALENTS, AND RESTRICTED CASH, beginning of period </w:t>
            </w:r>
            <w:r>
              <w:rPr>
                <w:rFonts w:ascii="Times New Roman;serif" w:hAnsi="Times New Roman;serif"/>
                <w:b w:val="false"/>
                <w:color w:val="000000"/>
                <w:sz w:val="13"/>
              </w:rPr>
              <w:t>(1)</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CASH EQUIVALENTS, AND RESTRICTED CASH, end of period </w:t>
            </w:r>
            <w:r>
              <w:rPr>
                <w:rFonts w:ascii="Times New Roman;serif" w:hAnsi="Times New Roman;serif"/>
                <w:b w:val="false"/>
                <w:color w:val="000000"/>
                <w:sz w:val="13"/>
              </w:rPr>
              <w:t>(1)</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2026 amounts include beginning restricted cash of $13 million as of December 31, 2025, and ending restricted cash of $10 million as of June 30, 2026, which we present in the “Prepaid expenses and other” and “Other noncurrent assets” captions of our Balance Sheets.</w:t>
      </w:r>
    </w:p>
    <w:p>
      <w:pPr>
        <w:pStyle w:val="TextBody"/>
        <w:bidi w:val="0"/>
        <w:spacing w:lineRule="auto" w:line="288" w:before="180" w:after="283"/>
        <w:ind w:left="0" w:right="0" w:firstLine="450"/>
        <w:jc w:val="center"/>
        <w:rPr>
          <w:rFonts w:ascii="Times New Roman;serif" w:hAnsi="Times New Roman;serif"/>
          <w:b w:val="false"/>
          <w:color w:val="000000"/>
          <w:sz w:val="22"/>
        </w:rPr>
      </w:pPr>
      <w:r>
        <w:rPr>
          <w:rFonts w:ascii="Times New Roman;serif" w:hAnsi="Times New Roman;serif"/>
          <w:b w:val="false"/>
          <w:color w:val="000000"/>
          <w:sz w:val="22"/>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89560"/>
                <wp:effectExtent l="0" t="0" r="0" b="0"/>
                <wp:wrapNone/>
                <wp:docPr id="7" name="Frame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MARRIOTT INTERNATIONAL,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1. BASIS OF PRESENTATION</w:t>
      </w:r>
    </w:p>
    <w:p>
      <w:pPr>
        <w:pStyle w:val="TextBody"/>
        <w:bidi w:val="0"/>
        <w:spacing w:lineRule="auto" w:line="288" w:before="180" w:after="283"/>
        <w:ind w:left="0" w:right="0" w:firstLine="450"/>
        <w:jc w:val="left"/>
        <w:rPr/>
      </w:pPr>
      <w:r>
        <w:rPr>
          <w:rFonts w:ascii="Times New Roman;serif" w:hAnsi="Times New Roman;serif"/>
          <w:b w:val="false"/>
          <w:color w:val="000000"/>
          <w:sz w:val="22"/>
        </w:rPr>
        <w:t>The condensed consolidated financial statements present the results of operations, financial position, and cash flows of Marriott International, Inc. and its consolidated subsidiaries (referred to in this report as “we,” “us,” “Marriott,” or the “Company”). In order to make this report easier to read, we also refer throughout to (1) our Condensed Consolidated Financial Statements as our “Financial Statements,” (2) our Condensed Consolidated Statements of Income as our “Income Statements,” (3) our Condensed Consolidated Balance Sheets as our “Balance Sheets,” (4) our Condensed Consolidated Statements of Cash Flows as our “Statements of Cash Flows,” (5) our properties, brands, or markets in the United States and Canada as “U.S. &amp; Canada,” and (6) our properties, brands, or markets in our Europe, Middle East &amp; Africa, Greater China, Asia Pacific excluding China, and Caribbean &amp; Latin America regions, as “International.” References throughout to numbered “Notes” refer to these Notes to Condensed Consolidated Financial Statements, unless otherwise stated. In addition, we use the term “hotel owners” throughout this report to refer, collectively, to owners of hotels and other lodging offerings operating in our system pursuant to franchise agreements, management agreements, license agreements, or similar arrangements, and we use the term “hotels in our system” to refer to hotels and other lodging offerings operating in our system pursuant to such arrangements, as well as hotels that we own or lease. The terms “hotel owners” and “hotels in our system” exclude Homes &amp; Villas by Marriott Bonvoy</w:t>
      </w:r>
      <w:r>
        <w:rPr>
          <w:rFonts w:ascii="Times New Roman;serif" w:hAnsi="Times New Roman;serif"/>
          <w:b w:val="false"/>
          <w:color w:val="000000"/>
          <w:sz w:val="14"/>
        </w:rPr>
        <w:t>SM</w:t>
      </w:r>
      <w:r>
        <w:rPr>
          <w:color w:val="000000"/>
        </w:rPr>
        <w:t xml:space="preserve"> </w:t>
      </w:r>
      <w:r>
        <w:rPr>
          <w:rFonts w:ascii="Times New Roman;serif" w:hAnsi="Times New Roman;serif"/>
          <w:b w:val="false"/>
          <w:color w:val="000000"/>
          <w:sz w:val="22"/>
        </w:rPr>
        <w:t>(which we also exclude from our property and room count), timeshare, residential, and The Ritz-Carlton Yacht Collection</w:t>
      </w:r>
      <w:r>
        <w:rPr>
          <w:rFonts w:ascii="Times New Roman;serif" w:hAnsi="Times New Roman;serif"/>
          <w:b/>
          <w:color w:val="000000"/>
          <w:sz w:val="14"/>
        </w:rPr>
        <w:t>®</w:t>
      </w:r>
      <w:r>
        <w:rPr>
          <w:rFonts w:ascii="Times New Roman;serif" w:hAnsi="Times New Roman;serif"/>
          <w:b w:val="false"/>
          <w:color w:val="000000"/>
          <w:sz w:val="22"/>
        </w:rPr>
        <w:t>.</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These Financial Statements have not been audited. We have condensed or omitted certain information and disclosures normally included in financial statements presented in accordance with U.S. generally accepted accounting principles (“GAAP”). The Financial Statements in this report should be read in conjunction with the consolidated financial statements and notes thereto in our Annual Report on Form 10-K for the fiscal year ended December 31, 2025 (“2025 Form 10-K”). Certain terms not otherwise defined in this Form 10-Q have the meanings specified in our 2025 Form 10-K.</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Preparation of financial statements that conform with GAAP requires management to make estimates and assumptions that affect the reported amounts of assets and liabilities as of the date of the financial statements, the reported amounts of revenues and expenses during the reporting periods, and the disclosures of contingent liabilities. Accordingly, ultimate results could differ from those estimates.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accompanying Financial Statements reflect all normal and recurring adjustments necessary to present fairly our financial position as of June 30, 2026 and December 31, 2025, the results of our operations for the three and six months ended June 30, 2026 and June 30, 2025, and cash flows for the six months ended June 30, 2026 and June 30, 2025. Interim results may not be indicative of fiscal year performance because of seasonal and short-term variations. We have eliminated all material intercompany transactions and balances between entities consolidated in these Financial Statements and reclassified certain prior period amounts to conform to our current period presentation.</w:t>
      </w:r>
    </w:p>
    <w:p>
      <w:pPr>
        <w:pStyle w:val="TextBody"/>
        <w:bidi w:val="0"/>
        <w:spacing w:lineRule="auto" w:line="288" w:before="180" w:after="180"/>
        <w:jc w:val="left"/>
        <w:rPr>
          <w:rFonts w:ascii="Times New Roman;serif" w:hAnsi="Times New Roman;serif"/>
          <w:b w:val="false"/>
          <w:i/>
          <w:color w:val="000000"/>
          <w:sz w:val="22"/>
        </w:rPr>
      </w:pPr>
      <w:r>
        <w:rPr>
          <w:rFonts w:ascii="Times New Roman;serif" w:hAnsi="Times New Roman;serif"/>
          <w:b w:val="false"/>
          <w:i/>
          <w:color w:val="000000"/>
          <w:sz w:val="22"/>
        </w:rPr>
        <w:t>New Accounting Standards Not Yet Adopted</w:t>
      </w:r>
    </w:p>
    <w:p>
      <w:pPr>
        <w:pStyle w:val="TextBody"/>
        <w:bidi w:val="0"/>
        <w:spacing w:lineRule="auto" w:line="288" w:before="180" w:after="180"/>
        <w:ind w:left="0" w:right="0" w:firstLine="450"/>
        <w:jc w:val="left"/>
        <w:rPr/>
      </w:pPr>
      <w:r>
        <w:rPr>
          <w:rFonts w:ascii="Times New Roman;serif" w:hAnsi="Times New Roman;serif"/>
          <w:b w:val="false"/>
          <w:color w:val="000000"/>
          <w:sz w:val="22"/>
          <w:u w:val="single"/>
        </w:rPr>
        <w:t>Accounting Standards Update (“ASU”) 2025-06 - “Targeted Improvements to the Accounting for Internal-Use Software” (Topic 350).</w:t>
      </w:r>
      <w:r>
        <w:rPr>
          <w:color w:val="000000"/>
        </w:rPr>
        <w:t xml:space="preserve"> </w:t>
      </w:r>
      <w:r>
        <w:rPr>
          <w:rFonts w:ascii="Times New Roman;serif" w:hAnsi="Times New Roman;serif"/>
          <w:b w:val="false"/>
          <w:color w:val="000000"/>
          <w:sz w:val="22"/>
        </w:rPr>
        <w:t>ASU 2025-06 eliminates references to software development project stages and revises the criteria that must be met to begin capitalizing internal-use software costs. The standard permits entities to adopt the guidance using a prospective, retrospective, or modified transition approach and becomes effective for us beginning January 1, 2028, with early adoption permitted. We are currently assessing the potential impact that ASU 2025-06 will have on our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9560"/>
                <wp:effectExtent l="0" t="0" r="0" b="0"/>
                <wp:wrapNone/>
                <wp:docPr id="8" name="Frame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2. EARNINGS PER SHARE</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table below illustrates the reconciliation of the earnings and number of shares used in our calculations of basic and diluted earnings per share, the latter of which uses the treasury stock method to calculate the dilutive effect of the Company’s potential common stock:</w:t>
      </w:r>
    </w:p>
    <w:tbl>
      <w:tblPr>
        <w:tblW w:w="8691" w:type="dxa"/>
        <w:jc w:val="center"/>
        <w:tblInd w:w="0" w:type="dxa"/>
        <w:tblLayout w:type="fixed"/>
        <w:tblCellMar>
          <w:top w:w="28" w:type="dxa"/>
          <w:left w:w="28" w:type="dxa"/>
          <w:bottom w:w="28" w:type="dxa"/>
          <w:right w:w="28" w:type="dxa"/>
        </w:tblCellMar>
      </w:tblPr>
      <w:tblGrid>
        <w:gridCol w:w="1143"/>
        <w:gridCol w:w="1009"/>
        <w:gridCol w:w="1013"/>
        <w:gridCol w:w="286"/>
        <w:gridCol w:w="680"/>
        <w:gridCol w:w="159"/>
        <w:gridCol w:w="109"/>
        <w:gridCol w:w="109"/>
        <w:gridCol w:w="109"/>
        <w:gridCol w:w="286"/>
        <w:gridCol w:w="680"/>
        <w:gridCol w:w="159"/>
        <w:gridCol w:w="109"/>
        <w:gridCol w:w="109"/>
        <w:gridCol w:w="109"/>
        <w:gridCol w:w="256"/>
        <w:gridCol w:w="727"/>
        <w:gridCol w:w="142"/>
        <w:gridCol w:w="109"/>
        <w:gridCol w:w="109"/>
        <w:gridCol w:w="109"/>
        <w:gridCol w:w="253"/>
        <w:gridCol w:w="718"/>
        <w:gridCol w:w="199"/>
      </w:tblGrid>
      <w:tr>
        <w:trPr/>
        <w:tc>
          <w:tcPr>
            <w:tcW w:w="114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Computation of Basic Earnings Per Share</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for basic earnings per share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Computation of Diluted Earnings Per Share</w:t>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for basic earnings per share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dilutive securities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for diluted earnings per share</w:t>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3. STOCK-BASED COMPENSATION</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granted 0.5 million restricted stock units (“RSUs”) during the 2026 first half to certain executives and other employees, and those units vest generally over three or four years in equal annual installments commencing one year after the grant date. We also granted 0.1 million performance-based RSUs (“PSUs”) in the 2026 first half to certain executives and other senior-level employees, which are earned subject to continued employment and the satisfaction of certain performance and market conditions based on the degree of achievement of pre-established targets for 2028 adjusted EBITDA performance and relative total stockholder return over the 2026 to 2028 performance period. RSUs, including PSUs, granted in the 2026 first half had a weighted average grant-date fair value of $345 per unit.</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recorded stock-based compensation expense for RSUs and PSUs of $55 million in the 2026 second quarter, $49 million in the 2025 second quarter, $101 million in the 2026 first half, and $92 million in the 2025 first half. Deferred compensation costs for unvested awards for RSUs and PSUs totaled $279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4. INCOME TAXES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effective tax rate decreased to 26.6 percent for the 2026 second quarter compared to 27.6 percent for the 2025 second quarter, primarily due to lower tax on non-U.S. income.</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effective tax rate increased to 25.7 percent for the 2026 first half compared to 21.4 percent for the 2025 first half, primarily due to the prior year release of tax reserves, partially offset by lower tax on non-U.S. income.</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paid cash for income taxes, net of refunds, of $350 million in the 2026 first half and $534 million in the 2025 first half.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9560"/>
                <wp:effectExtent l="0" t="0" r="0" b="0"/>
                <wp:wrapNone/>
                <wp:docPr id="9" name="Frame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5. COMMITMENTS AND CONTINGENCIES</w: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Guarantees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present the maximum potential amount of our future guarantee fundings and the carrying amount of our liability for our debt service, operating profit, and other guarantees for which we are the primary obligor as of June 30, 2026 in the following table:</w:t>
      </w:r>
    </w:p>
    <w:tbl>
      <w:tblPr>
        <w:tblW w:w="8227" w:type="dxa"/>
        <w:jc w:val="center"/>
        <w:tblInd w:w="0" w:type="dxa"/>
        <w:tblLayout w:type="fixed"/>
        <w:tblCellMar>
          <w:top w:w="28" w:type="dxa"/>
          <w:left w:w="28" w:type="dxa"/>
          <w:bottom w:w="28" w:type="dxa"/>
          <w:right w:w="28" w:type="dxa"/>
        </w:tblCellMar>
      </w:tblPr>
      <w:tblGrid>
        <w:gridCol w:w="472"/>
        <w:gridCol w:w="416"/>
        <w:gridCol w:w="417"/>
        <w:gridCol w:w="109"/>
        <w:gridCol w:w="109"/>
        <w:gridCol w:w="109"/>
        <w:gridCol w:w="975"/>
        <w:gridCol w:w="2095"/>
        <w:gridCol w:w="544"/>
        <w:gridCol w:w="109"/>
        <w:gridCol w:w="109"/>
        <w:gridCol w:w="109"/>
        <w:gridCol w:w="763"/>
        <w:gridCol w:w="1289"/>
        <w:gridCol w:w="602"/>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Guarantee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Potential Amount of Future Fundings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Recorded Liability for Guarantees</w:t>
            </w:r>
          </w:p>
        </w:tc>
      </w:tr>
      <w:tr>
        <w:trPr/>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6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maximum potential guarantees listed in the preceding table include $70 million of operating profit guarantees that will not be in effect until the underlying properties open and we begin to operate the properties or certain other events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Starwood Data Security Incident</w:t>
      </w:r>
    </w:p>
    <w:p>
      <w:pPr>
        <w:pStyle w:val="TextBody"/>
        <w:bidi w:val="0"/>
        <w:spacing w:lineRule="auto" w:line="288" w:before="180" w:after="283"/>
        <w:ind w:left="0" w:right="0" w:firstLine="45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Event</w:t>
      </w:r>
    </w:p>
    <w:p>
      <w:pPr>
        <w:pStyle w:val="TextBody"/>
        <w:bidi w:val="0"/>
        <w:spacing w:lineRule="auto" w:line="288" w:before="180" w:after="283"/>
        <w:ind w:left="0" w:right="0" w:firstLine="450"/>
        <w:jc w:val="left"/>
        <w:rPr/>
      </w:pPr>
      <w:r>
        <w:rPr>
          <w:rFonts w:ascii="Times New Roman;serif" w:hAnsi="Times New Roman;serif"/>
          <w:b w:val="false"/>
          <w:color w:val="000000"/>
          <w:sz w:val="22"/>
        </w:rPr>
        <w:t xml:space="preserve">On November 30, 2018, we announced a data security incident involving </w:t>
      </w:r>
      <w:r>
        <w:rPr>
          <w:rFonts w:ascii="Times New Roman;serif" w:hAnsi="Times New Roman;serif"/>
          <w:b w:val="false"/>
          <w:color w:val="1C1C1C"/>
          <w:sz w:val="22"/>
        </w:rPr>
        <w:t xml:space="preserve">unauthorized access to </w:t>
      </w:r>
      <w:r>
        <w:rPr>
          <w:rFonts w:ascii="Times New Roman;serif" w:hAnsi="Times New Roman;serif"/>
          <w:b w:val="false"/>
          <w:color w:val="000000"/>
          <w:sz w:val="22"/>
        </w:rPr>
        <w:t xml:space="preserve">the Starwood Hotels &amp; Resorts Worldwide, LLC, formerly known as Starwood Hotels &amp; Resorts Worldwide, Inc. (“Starwood”), reservations database </w:t>
      </w:r>
      <w:r>
        <w:rPr>
          <w:rFonts w:ascii="Times New Roman;serif" w:hAnsi="Times New Roman;serif"/>
          <w:b w:val="false"/>
          <w:color w:val="1C1C1C"/>
          <w:sz w:val="22"/>
        </w:rPr>
        <w:t>(the “Data Security Incident”). We discontinued use of the Starwood reservations database for business operations at the end of 2018.</w:t>
      </w:r>
    </w:p>
    <w:p>
      <w:pPr>
        <w:pStyle w:val="TextBody"/>
        <w:bidi w:val="0"/>
        <w:spacing w:lineRule="auto" w:line="288" w:before="180" w:after="283"/>
        <w:ind w:left="0" w:right="0" w:firstLine="45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Litigation, Claims, and Government Investigations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Following our announcement of the Data Security Incident, approximately 100 lawsuits were filed by consumers and others against us in U.S. federal, U.S. state and Canadian courts related to the incident. The plaintiffs in these cases, who generally purport to represent various classes of consumers, generally claim to have been harmed by alleged actions and/or omissions by the Company in connection with the Data Security Incident and assert a variety of common law and statutory claims seeking monetary damages, injunctive relief, costs and attorneys’ fees, and other related relief. The U.S. cases were consolidated in the U.S. District Court for the District of Maryland (the “District Court”), pursuant to orders of the U.S. Judicial Panel on Multidistrict Litigation (the “MDL”). In 2025, the U.S. Court of Appeals for the Fourth Circuit reversed the District Court’s certification of a class of consumer plaintiffs for the second time, and some plaintiffs subsequently filed lawsuits in New York state court on an individual basis, alleging violations of New York statutory law and seeking monetary damages, attorneys’ fees, and other related relief. We are progressing in our mediation discussions with the U.S. consumer plaintiffs, and we believe it is probable that we will incur losses in relation to these cases. As of June 30, 2026, we have recorded an accrual for an estimated loss contingency related to these matters, which is not material to our Financial Statements. The Canadian cases remain pending. We dispute the allegations in these lawsuits and are vigorously defending against such claims.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In addition, most inquiries and investigations by U.S. federal, U.S. state and foreign governmental authorities have been resolved or no longer appear to be active.</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While we believe it is reasonably possible that we may incur losses in excess of the amounts recorded associated with the above-described lawsuits or regulatory investigations related to the Data Security Incident, it is not possible to reasonably estimate the amount of such losses or range of loss in excess of the amounts recorded that might result from adverse judgments, settlements, or other resolution of these proceedings based on: (1) in the case of the above-described lawsuits, the current stage of these proceedings, the absence of specificity as to alleged damages, the uncertainty as to the certification of a class or classes and the size of any certified class, and the lack of resolution of significant factual and legal issues, and (2) uncertainty regarding regulatory inquiries or investigations.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89560"/>
                <wp:effectExtent l="0" t="0" r="0" b="0"/>
                <wp:wrapNone/>
                <wp:docPr id="10" name="Frame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Other Legal Proceedings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have been and are currently party to other legal proceedings involving claims that we infringe the intellectual property rights of others. At this time, we do not expect these proceedings to have a material impact on the Company’s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6. LONG-TERM DEBT</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provide detail on our long-term debt balances, net of discounts, premiums, and debt issuance costs, in the following table as of June 30, 2026 and December 31, 2025:</w:t>
      </w:r>
    </w:p>
    <w:tbl>
      <w:tblPr>
        <w:tblW w:w="10205" w:type="dxa"/>
        <w:jc w:val="left"/>
        <w:tblInd w:w="0" w:type="dxa"/>
        <w:tblLayout w:type="fixed"/>
        <w:tblCellMar>
          <w:top w:w="28" w:type="dxa"/>
          <w:left w:w="28" w:type="dxa"/>
          <w:bottom w:w="28" w:type="dxa"/>
          <w:right w:w="28" w:type="dxa"/>
        </w:tblCellMar>
      </w:tblPr>
      <w:tblGrid>
        <w:gridCol w:w="918"/>
        <w:gridCol w:w="690"/>
        <w:gridCol w:w="695"/>
        <w:gridCol w:w="235"/>
        <w:gridCol w:w="206"/>
        <w:gridCol w:w="462"/>
        <w:gridCol w:w="109"/>
        <w:gridCol w:w="109"/>
        <w:gridCol w:w="109"/>
        <w:gridCol w:w="316"/>
        <w:gridCol w:w="307"/>
        <w:gridCol w:w="682"/>
        <w:gridCol w:w="109"/>
        <w:gridCol w:w="109"/>
        <w:gridCol w:w="109"/>
        <w:gridCol w:w="248"/>
        <w:gridCol w:w="534"/>
        <w:gridCol w:w="138"/>
        <w:gridCol w:w="109"/>
        <w:gridCol w:w="109"/>
        <w:gridCol w:w="109"/>
        <w:gridCol w:w="330"/>
        <w:gridCol w:w="1089"/>
        <w:gridCol w:w="183"/>
        <w:gridCol w:w="109"/>
        <w:gridCol w:w="109"/>
        <w:gridCol w:w="109"/>
        <w:gridCol w:w="365"/>
        <w:gridCol w:w="1203"/>
        <w:gridCol w:w="296"/>
      </w:tblGrid>
      <w:tr>
        <w:trPr/>
        <w:tc>
          <w:tcPr>
            <w:tcW w:w="91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Face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 December 31, 2025</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 (in order of maturity):</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R Notes, matured June 15, 2026</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LL Notes, maturing September 15, 2026</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TT Notes, maturing July 15, 2027</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JJ Notes, maturing October 15, 2027</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X Notes, maturing April 15, 2028</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MM Notes, maturing October 15, 2028</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AA Notes, maturing December 1, 2028</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KK Notes, maturing April 15, 2029</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NN Notes, maturing May 15, 2029</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PP Notes, maturing March 15, 2030</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FF Notes, maturing June 15, 2030</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HH Notes, maturing April 15, 2031</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UU Notes, maturing October 15, 2031</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Series RR Notes, maturing April 15, 2032 </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GG Notes, maturing October 15, 2032</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WW Notes, maturing May 1, 2033</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II Notes, maturing October 15, 2033</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OO Notes, maturing May 15, 2034</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W Notes, maturing October 1, 2034</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QQ Notes, maturing March 15, 2035</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VV Notes, maturing October 15, 2035</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SS Notes, maturing April 15, 2037</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XX Notes, maturing May 1, 2038</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Facility</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16,455 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14,995 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2"/>
        </w:rPr>
        <w:t>We paid cash for interest, net of amounts capitalized, of</w:t>
      </w:r>
      <w:r>
        <w:rPr>
          <w:color w:val="000000"/>
        </w:rPr>
        <w:t xml:space="preserve"> </w:t>
      </w:r>
      <w:r>
        <w:rPr>
          <w:rFonts w:ascii="Times New Roman;serif" w:hAnsi="Times New Roman;serif"/>
          <w:b w:val="false"/>
          <w:color w:val="000000"/>
          <w:sz w:val="22"/>
        </w:rPr>
        <w:t>$381 million in the 2026 first half and $328 million in the 2025 first half.</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are party to a $4.5 billion multicurrency revolving credit agreement (as amended, the “Credit Facility”). Available borrowings under the Credit Facility support our commercial paper program and general corporate needs. U.S. dollar borrowings under the Credit Facility bear interest at SOFR (the Secured Overnight Financing Rate) plus a spread based on our public debt rating. We also pay quarterly fees on the Credit Facility at a rate based on our public debt rating. We classify outstanding borrowings under the Credit Facility and outstanding commercial paper borrowings (which generally have short-term maturities of 45 days or less) as long-term based on our ability and intent to refinance the outstanding borrowings on a long-term basis. The Credit Facility expires on December 14,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89560"/>
                <wp:effectExtent l="0" t="0" r="0" b="0"/>
                <wp:wrapNone/>
                <wp:docPr id="11" name="Frame1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In February 2026, we issued $600 million aggregate principal amount of 4.500 percent Series WW Notes due May 1, 2033 (the “Series WW Notes”) and $850 million aggregate principal amount of 5.100 percent Series XX Notes due May 1, 2038 (the “Series XX Notes”). We will pay interest on the Series WW Notes and Series XX Notes in May and November of each year, commencing in November 2026. Net proceeds from the offering of the Series WW Notes and Series XX Notes were approximately $1.425 billion, after deducting the underwriting discount and expenses, and were made available for general corporate purposes, including working capital, capital expenditures, acquisitions, stock repurchases, or repayment of outstanding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determine the fair value of our Senior Notes using quoted market prices, which are directly observable Level 1 inputs. As of June 30, 2026 and December 31, 2025, the fair value of our noncurrent Senior Notes was $15,039 million (carrying amount of $15,090 million) and $13,836 million (carrying amount of $13,686 million), respectively. The carrying amount of our commercial paper borrowings approximates fair value due to their short maturity and because they bear interest at a market rate. See the “Fair Value Measurements” caption of Note 2 and Note 12 of our 2025 Form 10-K for more information on the input levels we use in determining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7. DISPOSITION</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In April 2026, a U.S. &amp; Canada hotel met the accounting criteria to be designated as an asset held for sale. We determined that the carrying amount of the hotel exceeded its fair value less costs to sell, based on a purchase and sale agreement with a third-party buyer, and recorded an impairment charge of $68 million in the “Depreciation, amortization, and other” caption of our Income Statements. In May 2026, we completed the sale of the hotel and entered into a long-term management agreement to operate the hotel.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8. ACCUMULATED OTHER COMPREHENSIVE LOSS AND STOCKHOLDERS’ DEFICIT</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following tables detail the accumulated other comprehensive loss activity for the 2026 first half and 2025 first half:</w:t>
      </w:r>
    </w:p>
    <w:tbl>
      <w:tblPr>
        <w:tblW w:w="10205" w:type="dxa"/>
        <w:jc w:val="center"/>
        <w:tblInd w:w="0" w:type="dxa"/>
        <w:tblLayout w:type="fixed"/>
        <w:tblCellMar>
          <w:top w:w="28" w:type="dxa"/>
          <w:left w:w="28" w:type="dxa"/>
          <w:bottom w:w="28" w:type="dxa"/>
          <w:right w:w="28" w:type="dxa"/>
        </w:tblCellMar>
      </w:tblPr>
      <w:tblGrid>
        <w:gridCol w:w="931"/>
        <w:gridCol w:w="763"/>
        <w:gridCol w:w="762"/>
        <w:gridCol w:w="762"/>
        <w:gridCol w:w="1696"/>
        <w:gridCol w:w="427"/>
        <w:gridCol w:w="109"/>
        <w:gridCol w:w="109"/>
        <w:gridCol w:w="109"/>
        <w:gridCol w:w="433"/>
        <w:gridCol w:w="732"/>
        <w:gridCol w:w="242"/>
        <w:gridCol w:w="109"/>
        <w:gridCol w:w="109"/>
        <w:gridCol w:w="109"/>
        <w:gridCol w:w="696"/>
        <w:gridCol w:w="1552"/>
        <w:gridCol w:w="555"/>
      </w:tblGrid>
      <w:tr>
        <w:trPr/>
        <w:tc>
          <w:tcPr>
            <w:tcW w:w="93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comprehensive (loss) income</w:t>
            </w:r>
            <w:r>
              <w:rPr>
                <w:rFonts w:ascii="Times New Roman;serif" w:hAnsi="Times New Roman;serif"/>
                <w:b w:val="false"/>
                <w:color w:val="000000"/>
                <w:sz w:val="10"/>
              </w:rPr>
              <w:t>(1)</w:t>
            </w:r>
          </w:p>
        </w:tc>
        <w:tc>
          <w:tcPr>
            <w:tcW w:w="2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w:t>
            </w:r>
          </w:p>
        </w:tc>
        <w:tc>
          <w:tcPr>
            <w:tcW w:w="5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2"/>
        <w:gridCol w:w="772"/>
        <w:gridCol w:w="770"/>
        <w:gridCol w:w="641"/>
        <w:gridCol w:w="1870"/>
        <w:gridCol w:w="359"/>
        <w:gridCol w:w="109"/>
        <w:gridCol w:w="109"/>
        <w:gridCol w:w="109"/>
        <w:gridCol w:w="432"/>
        <w:gridCol w:w="731"/>
        <w:gridCol w:w="241"/>
        <w:gridCol w:w="109"/>
        <w:gridCol w:w="109"/>
        <w:gridCol w:w="109"/>
        <w:gridCol w:w="592"/>
        <w:gridCol w:w="1727"/>
        <w:gridCol w:w="474"/>
      </w:tblGrid>
      <w:tr>
        <w:trPr/>
        <w:tc>
          <w:tcPr>
            <w:tcW w:w="94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comprehensive income (loss) </w:t>
            </w:r>
            <w:r>
              <w:rPr>
                <w:rFonts w:ascii="Times New Roman;serif" w:hAnsi="Times New Roman;serif"/>
                <w:b w:val="false"/>
                <w:color w:val="000000"/>
                <w:sz w:val="10"/>
              </w:rPr>
              <w:t>(1)</w:t>
            </w:r>
          </w:p>
        </w:tc>
        <w:tc>
          <w:tcPr>
            <w:tcW w:w="2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w:t>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vAlign w:val="center"/>
          </w:tcPr>
          <w:p>
            <w:pPr>
              <w:pStyle w:val="TableContents"/>
              <w:bidi w:val="0"/>
              <w:spacing w:before="0" w:after="283"/>
              <w:jc w:val="left"/>
              <w:rPr>
                <w:sz w:val="4"/>
                <w:szCs w:val="4"/>
              </w:rPr>
            </w:pPr>
            <w:r>
              <w:rPr>
                <w:sz w:val="4"/>
                <w:szCs w:val="4"/>
              </w:rPr>
            </w:r>
          </w:p>
        </w:tc>
        <w:tc>
          <w:tcPr>
            <w:tcW w:w="2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Other comprehensive (loss) income includes intra-entity foreign currency transactions that are of a long-term investment nature, which resulted in gains of $20 million for the 2026 first half and losses of $68 million for the 2025 first half.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89560"/>
                <wp:effectExtent l="0" t="0" r="0" b="0"/>
                <wp:wrapNone/>
                <wp:docPr id="12" name="Frame1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following tables detail the changes in common shares outstanding and stockholders’ deficit for the 2026 first half and 2025 first half:</w:t>
      </w:r>
    </w:p>
    <w:tbl>
      <w:tblPr>
        <w:tblW w:w="10485"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615"/>
        <w:gridCol w:w="270"/>
        <w:gridCol w:w="271"/>
        <w:gridCol w:w="196"/>
        <w:gridCol w:w="571"/>
        <w:gridCol w:w="109"/>
        <w:gridCol w:w="109"/>
        <w:gridCol w:w="109"/>
        <w:gridCol w:w="109"/>
        <w:gridCol w:w="274"/>
        <w:gridCol w:w="338"/>
        <w:gridCol w:w="154"/>
        <w:gridCol w:w="109"/>
        <w:gridCol w:w="109"/>
        <w:gridCol w:w="109"/>
        <w:gridCol w:w="280"/>
        <w:gridCol w:w="794"/>
        <w:gridCol w:w="157"/>
        <w:gridCol w:w="109"/>
        <w:gridCol w:w="109"/>
        <w:gridCol w:w="109"/>
        <w:gridCol w:w="196"/>
        <w:gridCol w:w="646"/>
        <w:gridCol w:w="109"/>
        <w:gridCol w:w="109"/>
        <w:gridCol w:w="109"/>
        <w:gridCol w:w="109"/>
        <w:gridCol w:w="255"/>
        <w:gridCol w:w="862"/>
        <w:gridCol w:w="144"/>
        <w:gridCol w:w="109"/>
        <w:gridCol w:w="109"/>
        <w:gridCol w:w="109"/>
        <w:gridCol w:w="314"/>
        <w:gridCol w:w="699"/>
        <w:gridCol w:w="248"/>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38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(27,900)</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($0.67 per share)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(28,577)</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($0.73 per share)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(29,677)</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tbl>
      <w:tblPr>
        <w:tblW w:w="10485"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615"/>
        <w:gridCol w:w="270"/>
        <w:gridCol w:w="271"/>
        <w:gridCol w:w="196"/>
        <w:gridCol w:w="571"/>
        <w:gridCol w:w="109"/>
        <w:gridCol w:w="109"/>
        <w:gridCol w:w="109"/>
        <w:gridCol w:w="109"/>
        <w:gridCol w:w="274"/>
        <w:gridCol w:w="338"/>
        <w:gridCol w:w="154"/>
        <w:gridCol w:w="109"/>
        <w:gridCol w:w="109"/>
        <w:gridCol w:w="109"/>
        <w:gridCol w:w="280"/>
        <w:gridCol w:w="794"/>
        <w:gridCol w:w="157"/>
        <w:gridCol w:w="109"/>
        <w:gridCol w:w="109"/>
        <w:gridCol w:w="109"/>
        <w:gridCol w:w="196"/>
        <w:gridCol w:w="646"/>
        <w:gridCol w:w="109"/>
        <w:gridCol w:w="109"/>
        <w:gridCol w:w="109"/>
        <w:gridCol w:w="109"/>
        <w:gridCol w:w="255"/>
        <w:gridCol w:w="862"/>
        <w:gridCol w:w="144"/>
        <w:gridCol w:w="109"/>
        <w:gridCol w:w="109"/>
        <w:gridCol w:w="109"/>
        <w:gridCol w:w="268"/>
        <w:gridCol w:w="781"/>
        <w:gridCol w:w="21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(24,644)</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($0.63 per share)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(25,368)</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6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($0.67 per share)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6,193 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(26,090)</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9. CONTRACTS WITH CUSTOMERS</w:t>
      </w:r>
    </w:p>
    <w:p>
      <w:pPr>
        <w:pStyle w:val="TextBody"/>
        <w:bidi w:val="0"/>
        <w:spacing w:lineRule="auto" w:line="288" w:before="180" w:after="283"/>
        <w:ind w:left="0" w:right="0" w:firstLine="450"/>
        <w:jc w:val="left"/>
        <w:rPr/>
      </w:pPr>
      <w:r>
        <w:rPr>
          <w:rFonts w:ascii="Times New Roman;serif" w:hAnsi="Times New Roman;serif"/>
          <w:b w:val="false"/>
          <w:color w:val="000000"/>
          <w:sz w:val="22"/>
        </w:rPr>
        <w:t>Our current and noncurrent liability for guest loyalty program increased by $452 million, to $8,444 million as of June 30, 2026, from $7,992 million as of December 31, 2025, primarily reflecting</w:t>
      </w:r>
      <w:r>
        <w:rPr>
          <w:color w:val="000000"/>
        </w:rPr>
        <w:t xml:space="preserve"> </w:t>
      </w:r>
      <w:r>
        <w:rPr>
          <w:rFonts w:ascii="Times New Roman;serif" w:hAnsi="Times New Roman;serif"/>
          <w:b w:val="false"/>
          <w:color w:val="000000"/>
          <w:sz w:val="22"/>
        </w:rPr>
        <w:t>points earned by members. The increase was partially offset by $1,802 million of revenue recognized in the 2026 first half, that was deferred as of December 31, 2025. The current portion of our liability for guest loyalty program increased by $183 million compared to December 31, 2025, mainly due to higher estimated redemptions in the short-term.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allowance for credit losses was $215 million as of June 30, 2026 and $212 million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NOTE 10. BUSINESS SEGMENTS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discuss our operations in the following four reportable business segments: (1) U.S. &amp; Canada, (2) Europe, Middle East &amp; Africa (“EMEA”), (3) Greater China, and (4) Asia Pacific excluding China (“APEC”). Our Caribbean &amp; Latin America (“CALA”) operating segment does not meet the applicable accounting criteria for separate disclosure as a reportable business segment, and as such, we include its results in “Unallocated corporate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89560"/>
                <wp:effectExtent l="0" t="0" r="0" b="0"/>
                <wp:wrapNone/>
                <wp:docPr id="13" name="Frame1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President and Chief Executive Officer, who is our “chief operating decision maker” (“CODM”), evaluates the performance of our operating segments using “segment profits,” which is based largely on the results of the segment without allocating corporate expenses, income taxes, indirect general and administrative expenses, or restructuring and merger-related charges, and other expenses. We assign gains and losses, equity in earnings or losses, and direct general and administrative expenses to each of our segments. “Unallocated corporate and other” includes a portion of our revenues (such as fees we receive from our credit card programs and timeshare licensing agreements), revenues and expenses for our Loyalty Program, indirect general and administrative expenses, restructuring and merger-related charges, and other expenses, equity in earnings or losses, and other gains or losses that we do not allocate to our segments, as well as results of our CALA operating segment.</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CODM uses segment profits to allocate resources (including employees and investment spending) to each segment, primarily as part of the annual budget process. Our CODM reviews budget-to-actual variances on a quarterly basis to assess segment performance. Additionally, our CODM uses segment profits to compare the results of each segment with one another and in the determination of compensation for segment leadership.</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CODM monitors assets for the consolidated Company but does not use assets by operating segment when assessing performance or making operating segment resource allocations.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Segment Revenues, Expenses, and Profits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following tables present our revenues (disaggregated by segment and major revenue stream), segment expenses, and segment profits for the 2026 second quarter, 2025 second quarter, 2026 first half, and 2025 first half:</w:t>
      </w:r>
    </w:p>
    <w:tbl>
      <w:tblPr>
        <w:tblW w:w="9894" w:type="dxa"/>
        <w:jc w:val="left"/>
        <w:tblInd w:w="0" w:type="dxa"/>
        <w:tblLayout w:type="fixed"/>
        <w:tblCellMar>
          <w:top w:w="28" w:type="dxa"/>
          <w:left w:w="28" w:type="dxa"/>
          <w:bottom w:w="28" w:type="dxa"/>
          <w:right w:w="28" w:type="dxa"/>
        </w:tblCellMar>
      </w:tblPr>
      <w:tblGrid>
        <w:gridCol w:w="1767"/>
        <w:gridCol w:w="1555"/>
        <w:gridCol w:w="1567"/>
        <w:gridCol w:w="317"/>
        <w:gridCol w:w="705"/>
        <w:gridCol w:w="178"/>
        <w:gridCol w:w="109"/>
        <w:gridCol w:w="109"/>
        <w:gridCol w:w="109"/>
        <w:gridCol w:w="196"/>
        <w:gridCol w:w="436"/>
        <w:gridCol w:w="109"/>
        <w:gridCol w:w="109"/>
        <w:gridCol w:w="109"/>
        <w:gridCol w:w="109"/>
        <w:gridCol w:w="109"/>
        <w:gridCol w:w="109"/>
        <w:gridCol w:w="352"/>
        <w:gridCol w:w="621"/>
        <w:gridCol w:w="196"/>
        <w:gridCol w:w="109"/>
        <w:gridCol w:w="109"/>
        <w:gridCol w:w="109"/>
        <w:gridCol w:w="196"/>
        <w:gridCol w:w="34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23" w:type="dxa"/>
            <w:gridSpan w:val="6"/>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APEC</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fee revenues</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investment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fee revenues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Owned, leased, and other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reimbursement revenue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reportable segment revenue</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5,263</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Owned, leased, and other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Reimbursed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(primarily non-operating income and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reportable segment profit</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770</w:t>
            </w:r>
            <w:r>
              <w:rPr>
                <w:color w:val="000000"/>
              </w:rPr>
              <w:t>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94" w:type="dxa"/>
        <w:jc w:val="left"/>
        <w:tblInd w:w="0" w:type="dxa"/>
        <w:tblLayout w:type="fixed"/>
        <w:tblCellMar>
          <w:top w:w="28" w:type="dxa"/>
          <w:left w:w="28" w:type="dxa"/>
          <w:bottom w:w="28" w:type="dxa"/>
          <w:right w:w="28" w:type="dxa"/>
        </w:tblCellMar>
      </w:tblPr>
      <w:tblGrid>
        <w:gridCol w:w="1767"/>
        <w:gridCol w:w="1555"/>
        <w:gridCol w:w="1567"/>
        <w:gridCol w:w="317"/>
        <w:gridCol w:w="705"/>
        <w:gridCol w:w="178"/>
        <w:gridCol w:w="109"/>
        <w:gridCol w:w="109"/>
        <w:gridCol w:w="109"/>
        <w:gridCol w:w="196"/>
        <w:gridCol w:w="436"/>
        <w:gridCol w:w="109"/>
        <w:gridCol w:w="109"/>
        <w:gridCol w:w="109"/>
        <w:gridCol w:w="109"/>
        <w:gridCol w:w="109"/>
        <w:gridCol w:w="109"/>
        <w:gridCol w:w="352"/>
        <w:gridCol w:w="621"/>
        <w:gridCol w:w="196"/>
        <w:gridCol w:w="109"/>
        <w:gridCol w:w="109"/>
        <w:gridCol w:w="109"/>
        <w:gridCol w:w="196"/>
        <w:gridCol w:w="34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23" w:type="dxa"/>
            <w:gridSpan w:val="6"/>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APEC</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fee revenues</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investment amortization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fee revenues</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Owned, leased, and other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reimbursement revenue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reportable segment revenue</w:t>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4,962</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Less: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Owned, leased, and other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Reimbursed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(primarily non-operating income and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reportable segment profit</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786</w:t>
            </w:r>
            <w:r>
              <w:rPr>
                <w:color w:val="000000"/>
              </w:rPr>
              <w:t>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89560"/>
                <wp:effectExtent l="0" t="0" r="0" b="0"/>
                <wp:wrapNone/>
                <wp:docPr id="14" name="Frame1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tbl>
      <w:tblPr>
        <w:tblW w:w="9766" w:type="dxa"/>
        <w:jc w:val="left"/>
        <w:tblInd w:w="0" w:type="dxa"/>
        <w:tblLayout w:type="fixed"/>
        <w:tblCellMar>
          <w:top w:w="28" w:type="dxa"/>
          <w:left w:w="28" w:type="dxa"/>
          <w:bottom w:w="28" w:type="dxa"/>
          <w:right w:w="28" w:type="dxa"/>
        </w:tblCellMar>
      </w:tblPr>
      <w:tblGrid>
        <w:gridCol w:w="1767"/>
        <w:gridCol w:w="1555"/>
        <w:gridCol w:w="1567"/>
        <w:gridCol w:w="268"/>
        <w:gridCol w:w="782"/>
        <w:gridCol w:w="149"/>
        <w:gridCol w:w="109"/>
        <w:gridCol w:w="109"/>
        <w:gridCol w:w="109"/>
        <w:gridCol w:w="196"/>
        <w:gridCol w:w="436"/>
        <w:gridCol w:w="109"/>
        <w:gridCol w:w="109"/>
        <w:gridCol w:w="109"/>
        <w:gridCol w:w="109"/>
        <w:gridCol w:w="309"/>
        <w:gridCol w:w="689"/>
        <w:gridCol w:w="172"/>
        <w:gridCol w:w="109"/>
        <w:gridCol w:w="109"/>
        <w:gridCol w:w="109"/>
        <w:gridCol w:w="196"/>
        <w:gridCol w:w="43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APEC</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fee revenues</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investment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fee revenues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Owned, leased, and other revenue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reimbursement revenue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reportable segment revenue</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10,218</w:t>
            </w: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316</w:t>
            </w:r>
            <w:r>
              <w:rPr>
                <w:color w:val="000000"/>
              </w:rPr>
              <w:t>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Owned, leased, and other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other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Reimbursed expenses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(primarily non-operating income and expenses)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reportable segment profit</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1,416</w:t>
            </w: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w:t>
            </w: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66" w:type="dxa"/>
        <w:jc w:val="left"/>
        <w:tblInd w:w="0" w:type="dxa"/>
        <w:tblLayout w:type="fixed"/>
        <w:tblCellMar>
          <w:top w:w="28" w:type="dxa"/>
          <w:left w:w="28" w:type="dxa"/>
          <w:bottom w:w="28" w:type="dxa"/>
          <w:right w:w="28" w:type="dxa"/>
        </w:tblCellMar>
      </w:tblPr>
      <w:tblGrid>
        <w:gridCol w:w="1767"/>
        <w:gridCol w:w="1555"/>
        <w:gridCol w:w="1567"/>
        <w:gridCol w:w="268"/>
        <w:gridCol w:w="782"/>
        <w:gridCol w:w="149"/>
        <w:gridCol w:w="109"/>
        <w:gridCol w:w="109"/>
        <w:gridCol w:w="109"/>
        <w:gridCol w:w="196"/>
        <w:gridCol w:w="436"/>
        <w:gridCol w:w="109"/>
        <w:gridCol w:w="109"/>
        <w:gridCol w:w="109"/>
        <w:gridCol w:w="109"/>
        <w:gridCol w:w="316"/>
        <w:gridCol w:w="679"/>
        <w:gridCol w:w="175"/>
        <w:gridCol w:w="109"/>
        <w:gridCol w:w="109"/>
        <w:gridCol w:w="109"/>
        <w:gridCol w:w="196"/>
        <w:gridCol w:w="43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&amp;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APEC</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fee revenues</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investment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fee revenues</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Owned, leased, and other revenue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reimbursement revenue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reportable segment revenue</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9,660</w:t>
            </w: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288</w:t>
            </w: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Owned, leased, and other expense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other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Reimbursed expenses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(primarily non-operating income and expenses)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reportable segment profit</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1,430</w:t>
            </w: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w:t>
            </w:r>
            <w:r>
              <w:rPr>
                <w:color w:val="000000"/>
              </w:rPr>
              <w:t>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reconciliations of our total reportable segment revenue and profit to consolidated revenue and income before income taxes for the 2026 second quarter, 2025 second quarter, 2026 first half, and 2025 first half:</w:t>
      </w:r>
    </w:p>
    <w:tbl>
      <w:tblPr>
        <w:tblW w:w="8778" w:type="dxa"/>
        <w:jc w:val="left"/>
        <w:tblInd w:w="0" w:type="dxa"/>
        <w:tblLayout w:type="fixed"/>
        <w:tblCellMar>
          <w:top w:w="28" w:type="dxa"/>
          <w:left w:w="28" w:type="dxa"/>
          <w:bottom w:w="28" w:type="dxa"/>
          <w:right w:w="28" w:type="dxa"/>
        </w:tblCellMar>
      </w:tblPr>
      <w:tblGrid>
        <w:gridCol w:w="1177"/>
        <w:gridCol w:w="1032"/>
        <w:gridCol w:w="1045"/>
        <w:gridCol w:w="251"/>
        <w:gridCol w:w="733"/>
        <w:gridCol w:w="140"/>
        <w:gridCol w:w="109"/>
        <w:gridCol w:w="109"/>
        <w:gridCol w:w="109"/>
        <w:gridCol w:w="251"/>
        <w:gridCol w:w="733"/>
        <w:gridCol w:w="140"/>
        <w:gridCol w:w="109"/>
        <w:gridCol w:w="109"/>
        <w:gridCol w:w="109"/>
        <w:gridCol w:w="228"/>
        <w:gridCol w:w="770"/>
        <w:gridCol w:w="127"/>
        <w:gridCol w:w="109"/>
        <w:gridCol w:w="109"/>
        <w:gridCol w:w="109"/>
        <w:gridCol w:w="227"/>
        <w:gridCol w:w="765"/>
        <w:gridCol w:w="178"/>
      </w:tblGrid>
      <w:tr>
        <w:trPr/>
        <w:tc>
          <w:tcPr>
            <w:tcW w:w="117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Reconciliation of revenue</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reportable segment revenue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Unallocated corporate and other</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Consolidated revenue</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7,071</w:t>
            </w:r>
            <w:r>
              <w:rPr>
                <w:color w:val="000000"/>
              </w:rPr>
              <w:t>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6,744</w:t>
            </w:r>
            <w:r>
              <w:rPr>
                <w:color w:val="000000"/>
              </w:rPr>
              <w:t>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13,725</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13,007</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Reconciliation of income before income taxes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reportable segment profit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Unallocated corporate and other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 of interest income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Consolidated income before income taxes</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1,044</w:t>
            </w:r>
            <w:r>
              <w:rPr>
                <w:color w:val="000000"/>
              </w:rPr>
              <w:t>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1,054</w:t>
            </w:r>
            <w:r>
              <w:rPr>
                <w:color w:val="000000"/>
              </w:rPr>
              <w:t>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1,902</w:t>
            </w:r>
            <w:r>
              <w:rPr>
                <w:color w:val="000000"/>
              </w:rPr>
              <w:t>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1,818</w:t>
            </w:r>
            <w:r>
              <w:rPr>
                <w:color w:val="000000"/>
              </w:rPr>
              <w:t>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2"/>
          <w:u w:val="single"/>
        </w:rPr>
        <w:t>Item 2.</w:t>
      </w:r>
      <w:r>
        <w:rPr>
          <w:color w:val="000000"/>
        </w:rPr>
        <w:t xml:space="preserve"> </w:t>
      </w:r>
      <w:r>
        <w:rPr>
          <w:rFonts w:ascii="Times New Roman;serif" w:hAnsi="Times New Roman;serif"/>
          <w:b/>
          <w:i/>
          <w:color w:val="000000"/>
          <w:sz w:val="22"/>
          <w:u w:val="single"/>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Cautionary Statement</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 xml:space="preserve">All statements in this report are made as of the date this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89560"/>
                <wp:effectExtent l="0" t="0" r="0" b="0"/>
                <wp:wrapNone/>
                <wp:docPr id="15" name="Frame1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report based on the beliefs and assumptions of our management and on information available to us through the date this Form 10-Q is filed with the SEC. Forward-looking statements include information related to our development pipeline; our expectations regarding rooms growth; our expectations regarding our ability to meet our liquidity requirements; our capital expenditures and other investment spending and reimbursement expectations; our expectations regarding future dividends and share repurchases; our expectations regarding certain claims, legal proceedings, settlements or resolutions; our expectations about the conflict in the Middle East; our expectations about our co-branded credit card program;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2025 (“2025 Form 10-K”); Part II, Item 1A of this report; and other factors we describe from time to time in our periodic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BUSINESS AND OVERVIEW</w: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Overview</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are a worldwide franchisor, operator, and licensor of hotel, residential, timeshare, and other lodging properties under a broad portfolio of compelling brands at different price and service points. We discuss our operations in the following reportable business segments: (1) U.S. &amp; Canada, (2) Europe, Middle East &amp; Africa (“EMEA”), (3) Greater China, and (4) Asia Pacific excluding China (“APEC”). Our Caribbean &amp; Latin America (“CALA”) operating segment does not meet the applicable accounting criteria for separate disclosure as a reportable business segment, and as such, we include its results in “Unallocated corporate and other.”</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Under our asset-light business model and consistent with our focus on franchising, management, and licensing, we own or lease very few of our lodging properties. Under our hotel franchising arrangements, we generally receive an initial application fee and continuing royalty fees, which are typically based on a percentage of room revenues, plus for certain brands, a percentage of food and beverage revenues. Terms of our management agreements vary, but we earn a management fee that is typically composed of a base management fee, which is a percentage of the revenues of the hotel, and an incentive management fee, which is based on the profits of the hotel. In many cases (particularly in our U.S. &amp; Canada, Europe, and CALA regions), incentive management fees are subject to a specified owner return. We also have license and other agreements with third parties for certain offerings, such as for our timeshare properties, MGM Collection with Marriott Bonvoy, Design Hotels, and The Ritz-Carlton Yacht Collection, under which we receive royalty and certain other fees. Additionally, we earn fees for other uses of our intellectual property, including primarily co-branded credit card fees, as well as residential branding fees and certain other licensing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val="false"/>
          <w:i/>
          <w:color w:val="000000"/>
          <w:sz w:val="22"/>
        </w:rPr>
        <w:t>Performance</w:t>
      </w:r>
      <w:r>
        <w:rPr>
          <w:color w:val="000000"/>
        </w:rPr>
        <w:t xml:space="preserve"> </w:t>
      </w:r>
      <w:r>
        <w:rPr>
          <w:rFonts w:ascii="Times New Roman;serif" w:hAnsi="Times New Roman;serif"/>
          <w:b w:val="false"/>
          <w:i/>
          <w:color w:val="000000"/>
          <w:sz w:val="22"/>
        </w:rPr>
        <w:t>Measures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believe Revenue per Available Room (“RevPAR”), which we calculate by dividing property level room revenue by total rooms available for the period, is a meaningful indicator of our performance because it measures the period-over-period change in room revenues. RevPAR may not be comparable to similarly titled measures, such as revenues, and should not be viewed as necessarily correlating with our fee revenue. We also believe occupancy and average daily rate (“ADR”), which are components of calculating RevPAR, are meaningful indicators of our performance. Occupancy, which we calculate by dividing total rooms sold by total rooms available for the period, measures the utilization of a property’s available capacity. ADR, which we calculate by dividing property level room revenue by total rooms sold, measures average room price and is useful in assessing pricing levels. Unless otherwise stated, RevPAR, occupancy, and ADR statistics are on a systemwide basis for comparable properties, and all changes refer to year-over-year changes for the comparable period. Comparisons to prior periods are on a constant U.S. dollar basis, which we calculate by applying exchange rates for the current period to the prior comparable period. We believe constant dollar analysis provides valuable information regarding the performance of hotels in our system as it removes currency fluctuations from the presentation of such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89560"/>
                <wp:effectExtent l="0" t="0" r="0" b="0"/>
                <wp:wrapNone/>
                <wp:docPr id="16" name="Frame1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define our comparable properties as hotels in our system that were open and operating under one of our brands since the beginning of the last full calendar year (since January 1, 2025 for the current period) and have not, in either the current or previous year: (1) undergone significant room or public space renovations or expansions, (2) been converted between company-operated and franchised, or (3) sustained substantial property damage or business interruption. Our comparable properties also exclude MGM Collection with Marriott Bonvoy, Design Hotels, The Ritz-Carlton Yacht Collection, residences, timeshare, and all-inclusive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Business Trends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In the 2026 second quarter, worldwide RevPAR increased 3.4 percent, primarily driven by ADR growth of 3.5 percent. In the 2026 first half, worldwide RevPAR increased 3.8 percent, primarily driven by ADR growth of 3.3 percent. RevPAR growth was strong across all of our regions, except for Middle East &amp; Africa.</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In the U.S. &amp; Canada, RevPAR increased 5.0 percent in the 2026 second quarter and 4.6 percent in the 2026 first half, reflecting strong demand across all brand tiers and customer segments, as well as demand from the World Cup in June 2026.</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In our International regions, RevPAR decreased 0.5 percent in the 2026 second quarter and grew 2.0 percent in the 2026 first half. Performance was negatively impacted by the conflict in the Middle East, which resulted in a sharp decline in RevPAR in our Middle East &amp; Africa region beginning in March 2026, with the impact from the conflict continuing into the third quarter. The continued operational and financial impact on our business depends on the duration and extent of travel disruption resulting from the conflict.</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During 2026, we executed new multi-year agreements in the U.S. with JPMorgan Chase and American Express in connection with our co-branded credit card program. We expect the agreements to have a favorable impact on our total revenues in future periods, primarily in the “Cost reimbursement revenue” caption, followed by the “Franchise fees” caption, of our Income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Starwood Data Security Incident</w:t>
      </w:r>
    </w:p>
    <w:p>
      <w:pPr>
        <w:pStyle w:val="TextBody"/>
        <w:bidi w:val="0"/>
        <w:spacing w:lineRule="auto" w:line="288" w:before="180" w:after="283"/>
        <w:ind w:left="0" w:right="0" w:firstLine="450"/>
        <w:jc w:val="left"/>
        <w:rPr/>
      </w:pPr>
      <w:r>
        <w:rPr>
          <w:rFonts w:ascii="Times New Roman;serif" w:hAnsi="Times New Roman;serif"/>
          <w:b w:val="false"/>
          <w:color w:val="000000"/>
          <w:sz w:val="22"/>
        </w:rPr>
        <w:t xml:space="preserve">On November 30, 2018, we announced a data security incident involving </w:t>
      </w:r>
      <w:r>
        <w:rPr>
          <w:rFonts w:ascii="Times New Roman;serif" w:hAnsi="Times New Roman;serif"/>
          <w:b w:val="false"/>
          <w:color w:val="1C1C1C"/>
          <w:sz w:val="22"/>
        </w:rPr>
        <w:t xml:space="preserve">unauthorized access to the Starwood </w:t>
      </w:r>
      <w:r>
        <w:rPr>
          <w:rFonts w:ascii="Times New Roman;serif" w:hAnsi="Times New Roman;serif"/>
          <w:b w:val="false"/>
          <w:color w:val="000000"/>
          <w:sz w:val="22"/>
        </w:rPr>
        <w:t>reservations database (the “Data Security Incident”). We are currently unable to reasonably estimate the range of total possible financial impact to the Company from the Data Security Incident in excess of the expenses already recorded; however, we do not believe this incident will impact our long-term financial health. See Note 5 for additional information related to legal proceedings and investigations related to the Data Security Incident.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System Growth and Pipeline</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At the end of the 2026 second quarter, our system had 10,082 properties (1,813,698 rooms), compared to 9,805 properties (1,779,936 rooms) at year-end 2025 and 9,601 properties (1,735,819 rooms) at the end of the 2025 second quarter. In the 2026 first half, we added roughly 33,800 net rooms.</w:t>
      </w:r>
    </w:p>
    <w:p>
      <w:pPr>
        <w:pStyle w:val="TextBody"/>
        <w:bidi w:val="0"/>
        <w:spacing w:lineRule="auto" w:line="288" w:before="180" w:after="283"/>
        <w:ind w:left="0" w:right="0" w:firstLine="450"/>
        <w:jc w:val="left"/>
        <w:rPr/>
      </w:pPr>
      <w:r>
        <w:rPr>
          <w:rFonts w:ascii="Times New Roman;serif" w:hAnsi="Times New Roman;serif"/>
          <w:b w:val="false"/>
          <w:color w:val="000000"/>
          <w:sz w:val="22"/>
        </w:rPr>
        <w:t>At the end of the 2026 second quarter, we had nearly 4,200 properties and approximately</w:t>
      </w:r>
      <w:r>
        <w:rPr>
          <w:color w:val="000000"/>
        </w:rPr>
        <w:t xml:space="preserve"> </w:t>
      </w:r>
      <w:r>
        <w:rPr>
          <w:rFonts w:ascii="Times New Roman;serif" w:hAnsi="Times New Roman;serif"/>
          <w:b w:val="false"/>
          <w:color w:val="000000"/>
          <w:sz w:val="22"/>
        </w:rPr>
        <w:t>629,000 rooms in our development pipeline, which included over 34,000 rooms approved for development but not yet under signed contracts. At the end of the 2026 second quarter, our development pipeline included over 279,000 rooms, or 44 percent, that were under construction, including hotels that are in the process of converting to our system. Over half of the rooms in our quarter-end development pipeline were located outside U.S. &amp; Canada.</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currently expect full year 2026 net rooms growth to be toward the low end of our 4.5 to 5.0 percent range.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89560"/>
                <wp:effectExtent l="0" t="0" r="0" b="0"/>
                <wp:wrapNone/>
                <wp:docPr id="17" name="Frame1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before="180" w:after="283"/>
        <w:ind w:left="0" w:right="0" w:firstLine="450"/>
        <w:jc w:val="left"/>
        <w:rPr/>
      </w:pPr>
      <w:r>
        <w:rPr/>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Properties and Rooms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following table shows our properties and rooms by ownership type.</w:t>
      </w:r>
    </w:p>
    <w:tbl>
      <w:tblPr>
        <w:tblW w:w="10205" w:type="dxa"/>
        <w:jc w:val="left"/>
        <w:tblInd w:w="0" w:type="dxa"/>
        <w:tblLayout w:type="fixed"/>
        <w:tblCellMar>
          <w:top w:w="28" w:type="dxa"/>
          <w:left w:w="28" w:type="dxa"/>
          <w:bottom w:w="28" w:type="dxa"/>
          <w:right w:w="28" w:type="dxa"/>
        </w:tblCellMar>
      </w:tblPr>
      <w:tblGrid>
        <w:gridCol w:w="489"/>
        <w:gridCol w:w="428"/>
        <w:gridCol w:w="431"/>
        <w:gridCol w:w="374"/>
        <w:gridCol w:w="307"/>
        <w:gridCol w:w="229"/>
        <w:gridCol w:w="109"/>
        <w:gridCol w:w="109"/>
        <w:gridCol w:w="109"/>
        <w:gridCol w:w="374"/>
        <w:gridCol w:w="249"/>
        <w:gridCol w:w="229"/>
        <w:gridCol w:w="109"/>
        <w:gridCol w:w="109"/>
        <w:gridCol w:w="109"/>
        <w:gridCol w:w="210"/>
        <w:gridCol w:w="211"/>
        <w:gridCol w:w="117"/>
        <w:gridCol w:w="117"/>
        <w:gridCol w:w="117"/>
        <w:gridCol w:w="117"/>
        <w:gridCol w:w="210"/>
        <w:gridCol w:w="196"/>
        <w:gridCol w:w="259"/>
        <w:gridCol w:w="109"/>
        <w:gridCol w:w="109"/>
        <w:gridCol w:w="109"/>
        <w:gridCol w:w="435"/>
        <w:gridCol w:w="436"/>
        <w:gridCol w:w="229"/>
        <w:gridCol w:w="109"/>
        <w:gridCol w:w="109"/>
        <w:gridCol w:w="109"/>
        <w:gridCol w:w="435"/>
        <w:gridCol w:w="436"/>
        <w:gridCol w:w="229"/>
        <w:gridCol w:w="109"/>
        <w:gridCol w:w="109"/>
        <w:gridCol w:w="109"/>
        <w:gridCol w:w="323"/>
        <w:gridCol w:w="323"/>
        <w:gridCol w:w="117"/>
        <w:gridCol w:w="117"/>
        <w:gridCol w:w="117"/>
        <w:gridCol w:w="117"/>
        <w:gridCol w:w="141"/>
        <w:gridCol w:w="135"/>
        <w:gridCol w:w="316"/>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Rooms</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June 30, 2025</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Franchised/Licensed/Other </w:t>
            </w:r>
            <w:r>
              <w:rPr>
                <w:rFonts w:ascii="Times New Roman;serif" w:hAnsi="Times New Roman;serif"/>
                <w:b w:val="false"/>
                <w:color w:val="000000"/>
                <w:sz w:val="10"/>
              </w:rPr>
              <w:t xml:space="preserve">(1) </w:t>
            </w:r>
          </w:p>
        </w:tc>
        <w:tc>
          <w:tcPr>
            <w:tcW w:w="6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7,439 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1,223,350 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1,138,838 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84,512 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Managed</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560,449 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566,838 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Owned/Leased</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6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10,082 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9,601 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1,813,698 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1,735,819 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77,879 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6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Licensed and other properties include our timeshare properties, MGM Collection with Marriott Bonvoy, Design Hotels, and The Ritz-Carlton Yacht Collection.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Lodging Statistics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following tables present RevPAR, occupancy, and ADR statistics for comparable properties. Systemwide statistics include data from our franchised properties, in addition to our company-operated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976"/>
        <w:gridCol w:w="858"/>
        <w:gridCol w:w="861"/>
        <w:gridCol w:w="214"/>
        <w:gridCol w:w="706"/>
        <w:gridCol w:w="118"/>
        <w:gridCol w:w="118"/>
        <w:gridCol w:w="118"/>
        <w:gridCol w:w="118"/>
        <w:gridCol w:w="268"/>
        <w:gridCol w:w="256"/>
        <w:gridCol w:w="336"/>
        <w:gridCol w:w="118"/>
        <w:gridCol w:w="118"/>
        <w:gridCol w:w="118"/>
        <w:gridCol w:w="240"/>
        <w:gridCol w:w="226"/>
        <w:gridCol w:w="263"/>
        <w:gridCol w:w="118"/>
        <w:gridCol w:w="118"/>
        <w:gridCol w:w="118"/>
        <w:gridCol w:w="261"/>
        <w:gridCol w:w="263"/>
        <w:gridCol w:w="263"/>
        <w:gridCol w:w="122"/>
        <w:gridCol w:w="120"/>
        <w:gridCol w:w="118"/>
        <w:gridCol w:w="118"/>
        <w:gridCol w:w="118"/>
        <w:gridCol w:w="118"/>
        <w:gridCol w:w="214"/>
        <w:gridCol w:w="706"/>
        <w:gridCol w:w="118"/>
        <w:gridCol w:w="118"/>
        <w:gridCol w:w="118"/>
        <w:gridCol w:w="118"/>
        <w:gridCol w:w="268"/>
        <w:gridCol w:w="256"/>
        <w:gridCol w:w="40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 and Change vs. Three Months Ended June 30, 2025</w:t>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RevPAR</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Occupancy</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Daily Rate</w:t>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2025</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Comparable Company-Operated Properties</w:t>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&amp; Canada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Middle East &amp; Africa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China</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Pacific excluding China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Caribbean &amp; Latin America</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International - All </w:t>
            </w:r>
            <w:r>
              <w:rPr>
                <w:rFonts w:ascii="Times New Roman;serif" w:hAnsi="Times New Roman;serif"/>
                <w:b w:val="false"/>
                <w:color w:val="000000"/>
                <w:sz w:val="10"/>
              </w:rPr>
              <w:t>(1)</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Worldwide </w:t>
            </w:r>
            <w:r>
              <w:rPr>
                <w:rFonts w:ascii="Times New Roman;serif" w:hAnsi="Times New Roman;serif"/>
                <w:b w:val="false"/>
                <w:color w:val="000000"/>
                <w:sz w:val="10"/>
              </w:rPr>
              <w:t>(2)</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Comparable Systemwide Properties</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&amp; Canada</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Middle East &amp; Africa</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China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Pacific excluding China</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Caribbean &amp; Latin America</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International - All </w:t>
            </w:r>
            <w:r>
              <w:rPr>
                <w:rFonts w:ascii="Times New Roman;serif" w:hAnsi="Times New Roman;serif"/>
                <w:b w:val="false"/>
                <w:color w:val="000000"/>
                <w:sz w:val="10"/>
              </w:rPr>
              <w:t>(1)</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Worldwide </w:t>
            </w:r>
            <w:r>
              <w:rPr>
                <w:rFonts w:ascii="Times New Roman;serif" w:hAnsi="Times New Roman;serif"/>
                <w:b w:val="false"/>
                <w:color w:val="000000"/>
                <w:sz w:val="10"/>
              </w:rPr>
              <w:t>(2)</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89560"/>
                <wp:effectExtent l="0" t="0" r="0" b="0"/>
                <wp:wrapNone/>
                <wp:docPr id="18" name="Frame1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53"/>
        <w:gridCol w:w="926"/>
        <w:gridCol w:w="930"/>
        <w:gridCol w:w="205"/>
        <w:gridCol w:w="678"/>
        <w:gridCol w:w="114"/>
        <w:gridCol w:w="114"/>
        <w:gridCol w:w="114"/>
        <w:gridCol w:w="114"/>
        <w:gridCol w:w="270"/>
        <w:gridCol w:w="261"/>
        <w:gridCol w:w="353"/>
        <w:gridCol w:w="114"/>
        <w:gridCol w:w="114"/>
        <w:gridCol w:w="114"/>
        <w:gridCol w:w="238"/>
        <w:gridCol w:w="228"/>
        <w:gridCol w:w="253"/>
        <w:gridCol w:w="114"/>
        <w:gridCol w:w="114"/>
        <w:gridCol w:w="114"/>
        <w:gridCol w:w="264"/>
        <w:gridCol w:w="267"/>
        <w:gridCol w:w="253"/>
        <w:gridCol w:w="115"/>
        <w:gridCol w:w="115"/>
        <w:gridCol w:w="116"/>
        <w:gridCol w:w="114"/>
        <w:gridCol w:w="114"/>
        <w:gridCol w:w="114"/>
        <w:gridCol w:w="205"/>
        <w:gridCol w:w="678"/>
        <w:gridCol w:w="114"/>
        <w:gridCol w:w="114"/>
        <w:gridCol w:w="114"/>
        <w:gridCol w:w="114"/>
        <w:gridCol w:w="224"/>
        <w:gridCol w:w="217"/>
        <w:gridCol w:w="418"/>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 and Change vs. Six Months Ended June 30, 2025</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RevPAR</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Occupancy</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Daily Rate</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Comparable Company-Operated Properties</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&amp; Canada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Middle East &amp; Africa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China</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Pacific excluding China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Caribbean &amp; Latin America</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International - All </w:t>
            </w:r>
            <w:r>
              <w:rPr>
                <w:rFonts w:ascii="Times New Roman;serif" w:hAnsi="Times New Roman;serif"/>
                <w:b w:val="false"/>
                <w:color w:val="000000"/>
                <w:sz w:val="10"/>
              </w:rPr>
              <w:t>(1)</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Worldwide </w:t>
            </w:r>
            <w:r>
              <w:rPr>
                <w:rFonts w:ascii="Times New Roman;serif" w:hAnsi="Times New Roman;serif"/>
                <w:b w:val="false"/>
                <w:color w:val="000000"/>
                <w:sz w:val="10"/>
              </w:rPr>
              <w:t>(2)</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Comparable Systemwide Properties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&amp; Canada</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Middle East &amp; Africa</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China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Pacific excluding China</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Caribbean &amp; Latin America</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International - All </w:t>
            </w:r>
            <w:r>
              <w:rPr>
                <w:rFonts w:ascii="Times New Roman;serif" w:hAnsi="Times New Roman;serif"/>
                <w:b w:val="false"/>
                <w:color w:val="000000"/>
                <w:sz w:val="10"/>
              </w:rPr>
              <w:t>(1)</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Worldwide </w:t>
            </w:r>
            <w:r>
              <w:rPr>
                <w:rFonts w:ascii="Times New Roman;serif" w:hAnsi="Times New Roman;serif"/>
                <w:b w:val="false"/>
                <w:color w:val="000000"/>
                <w:sz w:val="10"/>
              </w:rPr>
              <w:t>(2)</w:t>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2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Includes Europe, Middle East &amp; Africa, Greater China, Asia Pacific excluding China, and Caribbean &amp; Latin America.</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Includes U.S. &amp; Canada and International -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CONSOLIDATED RESULTS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discussion below presents an analysis of our consolidated results of operations for the 2026 second quarter compared to the 2025 second quarter and for the 2026 first half compared to the 2025 first half. Also see the “Business Trends” section above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Fee Revenues</w:t>
      </w:r>
    </w:p>
    <w:tbl>
      <w:tblPr>
        <w:tblW w:w="10205" w:type="dxa"/>
        <w:jc w:val="left"/>
        <w:tblInd w:w="0" w:type="dxa"/>
        <w:tblLayout w:type="fixed"/>
        <w:tblCellMar>
          <w:top w:w="28" w:type="dxa"/>
          <w:left w:w="28" w:type="dxa"/>
          <w:bottom w:w="28" w:type="dxa"/>
          <w:right w:w="28" w:type="dxa"/>
        </w:tblCellMar>
      </w:tblPr>
      <w:tblGrid>
        <w:gridCol w:w="531"/>
        <w:gridCol w:w="467"/>
        <w:gridCol w:w="407"/>
        <w:gridCol w:w="213"/>
        <w:gridCol w:w="604"/>
        <w:gridCol w:w="118"/>
        <w:gridCol w:w="109"/>
        <w:gridCol w:w="109"/>
        <w:gridCol w:w="109"/>
        <w:gridCol w:w="213"/>
        <w:gridCol w:w="604"/>
        <w:gridCol w:w="118"/>
        <w:gridCol w:w="109"/>
        <w:gridCol w:w="109"/>
        <w:gridCol w:w="109"/>
        <w:gridCol w:w="203"/>
        <w:gridCol w:w="436"/>
        <w:gridCol w:w="112"/>
        <w:gridCol w:w="112"/>
        <w:gridCol w:w="112"/>
        <w:gridCol w:w="112"/>
        <w:gridCol w:w="165"/>
        <w:gridCol w:w="166"/>
        <w:gridCol w:w="249"/>
        <w:gridCol w:w="109"/>
        <w:gridCol w:w="109"/>
        <w:gridCol w:w="109"/>
        <w:gridCol w:w="213"/>
        <w:gridCol w:w="604"/>
        <w:gridCol w:w="118"/>
        <w:gridCol w:w="109"/>
        <w:gridCol w:w="109"/>
        <w:gridCol w:w="109"/>
        <w:gridCol w:w="213"/>
        <w:gridCol w:w="604"/>
        <w:gridCol w:w="118"/>
        <w:gridCol w:w="109"/>
        <w:gridCol w:w="109"/>
        <w:gridCol w:w="109"/>
        <w:gridCol w:w="203"/>
        <w:gridCol w:w="436"/>
        <w:gridCol w:w="112"/>
        <w:gridCol w:w="112"/>
        <w:gridCol w:w="112"/>
        <w:gridCol w:w="112"/>
        <w:gridCol w:w="180"/>
        <w:gridCol w:w="182"/>
        <w:gridCol w:w="309"/>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Franchise fees</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management fees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management fees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fee revenues</w:t>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investment amortization</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fee revenues</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increase in franchise fees in the 2026 second quarter and 2026 first half primarily reflected higher co-branded credit card fees ($73 million and $132 million, respectively) as well as higher revenue related to our franchised properties due to rooms growth ($30 million and $53 million, respectively), higher RevPAR, and other items. The increase in franchise fees in the 2026 first half also reflected higher residential branding fees ($32 million).</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increase in incentive management fees in the 2026 second quarter and 2026 first half primarily reflected higher profits at managed hotels in the U.S. &amp;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89560"/>
                <wp:effectExtent l="0" t="0" r="0" b="0"/>
                <wp:wrapNone/>
                <wp:docPr id="19" name="Frame1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Owned, Leased, and Other</w:t>
      </w:r>
    </w:p>
    <w:tbl>
      <w:tblPr>
        <w:tblW w:w="10205" w:type="dxa"/>
        <w:jc w:val="left"/>
        <w:tblInd w:w="0" w:type="dxa"/>
        <w:tblLayout w:type="fixed"/>
        <w:tblCellMar>
          <w:top w:w="28" w:type="dxa"/>
          <w:left w:w="28" w:type="dxa"/>
          <w:bottom w:w="28" w:type="dxa"/>
          <w:right w:w="28" w:type="dxa"/>
        </w:tblCellMar>
      </w:tblPr>
      <w:tblGrid>
        <w:gridCol w:w="723"/>
        <w:gridCol w:w="596"/>
        <w:gridCol w:w="601"/>
        <w:gridCol w:w="223"/>
        <w:gridCol w:w="481"/>
        <w:gridCol w:w="124"/>
        <w:gridCol w:w="109"/>
        <w:gridCol w:w="109"/>
        <w:gridCol w:w="109"/>
        <w:gridCol w:w="223"/>
        <w:gridCol w:w="481"/>
        <w:gridCol w:w="124"/>
        <w:gridCol w:w="109"/>
        <w:gridCol w:w="109"/>
        <w:gridCol w:w="109"/>
        <w:gridCol w:w="203"/>
        <w:gridCol w:w="376"/>
        <w:gridCol w:w="112"/>
        <w:gridCol w:w="112"/>
        <w:gridCol w:w="112"/>
        <w:gridCol w:w="112"/>
        <w:gridCol w:w="184"/>
        <w:gridCol w:w="176"/>
        <w:gridCol w:w="249"/>
        <w:gridCol w:w="109"/>
        <w:gridCol w:w="109"/>
        <w:gridCol w:w="109"/>
        <w:gridCol w:w="223"/>
        <w:gridCol w:w="481"/>
        <w:gridCol w:w="124"/>
        <w:gridCol w:w="109"/>
        <w:gridCol w:w="109"/>
        <w:gridCol w:w="109"/>
        <w:gridCol w:w="223"/>
        <w:gridCol w:w="481"/>
        <w:gridCol w:w="124"/>
        <w:gridCol w:w="109"/>
        <w:gridCol w:w="109"/>
        <w:gridCol w:w="109"/>
        <w:gridCol w:w="203"/>
        <w:gridCol w:w="376"/>
        <w:gridCol w:w="112"/>
        <w:gridCol w:w="112"/>
        <w:gridCol w:w="112"/>
        <w:gridCol w:w="112"/>
        <w:gridCol w:w="184"/>
        <w:gridCol w:w="176"/>
        <w:gridCol w:w="315"/>
      </w:tblGrid>
      <w:tr>
        <w:trPr/>
        <w:tc>
          <w:tcPr>
            <w:tcW w:w="72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Owned, leased, and other revenue</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Owned, leased, and other expense</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Owned, leased, and other revenue, net of owned, leased, and other expense</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Owned, leased, and other revenue, net of owned, leased, and other expense, decreased in the 2026 second quarter and 2026 first half primarily due to a property-related litigation accrual ($27 million for both the 2026 second quarter and 2026 first half). At our owned and leased hotels, higher revenues were largely offset by higher expenses in both periods, reflecting strong performance at many hotels partially offset by the impact of hotels under renovations.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Cost Reimbursements</w:t>
      </w:r>
    </w:p>
    <w:tbl>
      <w:tblPr>
        <w:tblW w:w="10205" w:type="dxa"/>
        <w:jc w:val="left"/>
        <w:tblInd w:w="0" w:type="dxa"/>
        <w:tblLayout w:type="fixed"/>
        <w:tblCellMar>
          <w:top w:w="28" w:type="dxa"/>
          <w:left w:w="28" w:type="dxa"/>
          <w:bottom w:w="28" w:type="dxa"/>
          <w:right w:w="28" w:type="dxa"/>
        </w:tblCellMar>
      </w:tblPr>
      <w:tblGrid>
        <w:gridCol w:w="541"/>
        <w:gridCol w:w="392"/>
        <w:gridCol w:w="397"/>
        <w:gridCol w:w="201"/>
        <w:gridCol w:w="570"/>
        <w:gridCol w:w="111"/>
        <w:gridCol w:w="109"/>
        <w:gridCol w:w="109"/>
        <w:gridCol w:w="109"/>
        <w:gridCol w:w="201"/>
        <w:gridCol w:w="570"/>
        <w:gridCol w:w="111"/>
        <w:gridCol w:w="109"/>
        <w:gridCol w:w="109"/>
        <w:gridCol w:w="109"/>
        <w:gridCol w:w="197"/>
        <w:gridCol w:w="444"/>
        <w:gridCol w:w="109"/>
        <w:gridCol w:w="109"/>
        <w:gridCol w:w="109"/>
        <w:gridCol w:w="109"/>
        <w:gridCol w:w="219"/>
        <w:gridCol w:w="221"/>
        <w:gridCol w:w="242"/>
        <w:gridCol w:w="109"/>
        <w:gridCol w:w="109"/>
        <w:gridCol w:w="109"/>
        <w:gridCol w:w="201"/>
        <w:gridCol w:w="570"/>
        <w:gridCol w:w="111"/>
        <w:gridCol w:w="109"/>
        <w:gridCol w:w="109"/>
        <w:gridCol w:w="109"/>
        <w:gridCol w:w="201"/>
        <w:gridCol w:w="570"/>
        <w:gridCol w:w="111"/>
        <w:gridCol w:w="109"/>
        <w:gridCol w:w="109"/>
        <w:gridCol w:w="109"/>
        <w:gridCol w:w="197"/>
        <w:gridCol w:w="444"/>
        <w:gridCol w:w="109"/>
        <w:gridCol w:w="109"/>
        <w:gridCol w:w="109"/>
        <w:gridCol w:w="109"/>
        <w:gridCol w:w="286"/>
        <w:gridCol w:w="289"/>
        <w:gridCol w:w="301"/>
      </w:tblGrid>
      <w:tr>
        <w:trPr/>
        <w:tc>
          <w:tcPr>
            <w:tcW w:w="5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reimbursement revenue</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Reimbursed expenses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reimbursements, net</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2"/>
        </w:rPr>
        <w:t>Cost reimbursements, net (cost reimbursement revenue, net of reimbursed expenses) varies due to timing differences between the costs we incur for centralized programs and services and the related rei</w:t>
      </w:r>
      <w:r>
        <w:rPr>
          <w:rFonts w:ascii="Times New Roman;serif" w:hAnsi="Times New Roman;serif"/>
          <w:b w:val="false"/>
          <w:color w:val="000000"/>
          <w:sz w:val="22"/>
          <w:shd w:fill="FFFFFF" w:val="clear"/>
        </w:rPr>
        <w:t>mbursemen</w:t>
      </w:r>
      <w:r>
        <w:rPr>
          <w:rFonts w:ascii="Times New Roman;serif" w:hAnsi="Times New Roman;serif"/>
          <w:b w:val="false"/>
          <w:color w:val="000000"/>
          <w:sz w:val="22"/>
        </w:rPr>
        <w:t>ts we receive from hotel owners and certain other counterparties.</w:t>
      </w:r>
      <w:r>
        <w:rPr>
          <w:color w:val="EE2724"/>
        </w:rPr>
        <w:t xml:space="preserve"> </w:t>
      </w:r>
      <w:r>
        <w:rPr>
          <w:rFonts w:ascii="Times New Roman;serif" w:hAnsi="Times New Roman;serif"/>
          <w:b w:val="false"/>
          <w:color w:val="000000"/>
          <w:sz w:val="22"/>
        </w:rPr>
        <w:t>Over the long term, our centralized programs and services are not designed to impact our economics, either positively or negatively.</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decrease in cost reimbursements, net in the 2026 second quarter and 2026 first half primarily reflected higher expenses, net of revenues for many of our centralized programs and services. Loyalty Program activity further reduced cost reimbursements, net, in the 2026 second quarter due to lower revenue, while partially offsetting the decline in the 2026 first half due to lower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Other Operating Expenses</w:t>
      </w:r>
    </w:p>
    <w:tbl>
      <w:tblPr>
        <w:tblW w:w="10205" w:type="dxa"/>
        <w:jc w:val="left"/>
        <w:tblInd w:w="0" w:type="dxa"/>
        <w:tblLayout w:type="fixed"/>
        <w:tblCellMar>
          <w:top w:w="28" w:type="dxa"/>
          <w:left w:w="28" w:type="dxa"/>
          <w:bottom w:w="28" w:type="dxa"/>
          <w:right w:w="28" w:type="dxa"/>
        </w:tblCellMar>
      </w:tblPr>
      <w:tblGrid>
        <w:gridCol w:w="750"/>
        <w:gridCol w:w="598"/>
        <w:gridCol w:w="569"/>
        <w:gridCol w:w="220"/>
        <w:gridCol w:w="472"/>
        <w:gridCol w:w="122"/>
        <w:gridCol w:w="109"/>
        <w:gridCol w:w="109"/>
        <w:gridCol w:w="109"/>
        <w:gridCol w:w="229"/>
        <w:gridCol w:w="388"/>
        <w:gridCol w:w="127"/>
        <w:gridCol w:w="109"/>
        <w:gridCol w:w="109"/>
        <w:gridCol w:w="109"/>
        <w:gridCol w:w="204"/>
        <w:gridCol w:w="346"/>
        <w:gridCol w:w="113"/>
        <w:gridCol w:w="113"/>
        <w:gridCol w:w="113"/>
        <w:gridCol w:w="113"/>
        <w:gridCol w:w="223"/>
        <w:gridCol w:w="225"/>
        <w:gridCol w:w="251"/>
        <w:gridCol w:w="109"/>
        <w:gridCol w:w="109"/>
        <w:gridCol w:w="109"/>
        <w:gridCol w:w="220"/>
        <w:gridCol w:w="472"/>
        <w:gridCol w:w="122"/>
        <w:gridCol w:w="109"/>
        <w:gridCol w:w="109"/>
        <w:gridCol w:w="109"/>
        <w:gridCol w:w="220"/>
        <w:gridCol w:w="472"/>
        <w:gridCol w:w="122"/>
        <w:gridCol w:w="109"/>
        <w:gridCol w:w="109"/>
        <w:gridCol w:w="109"/>
        <w:gridCol w:w="204"/>
        <w:gridCol w:w="345"/>
        <w:gridCol w:w="113"/>
        <w:gridCol w:w="113"/>
        <w:gridCol w:w="113"/>
        <w:gridCol w:w="113"/>
        <w:gridCol w:w="223"/>
        <w:gridCol w:w="225"/>
        <w:gridCol w:w="317"/>
      </w:tblGrid>
      <w:tr>
        <w:trPr/>
        <w:tc>
          <w:tcPr>
            <w:tcW w:w="75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r>
      <w:tr>
        <w:trP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other</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Restructuring and merger-related (recoveries) charges,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1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Depreciation, amortization, and other expenses increased in the 2026 second quarter and 2026 first half primarily due to the $68 million impairment charge discussed in Note 7.</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General and administrative expenses increased in the 2026 first half primarily due to higher compensation costs ($26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89560"/>
                <wp:effectExtent l="0" t="0" r="0" b="0"/>
                <wp:wrapNone/>
                <wp:docPr id="20" name="Frame1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Non-Operating Income (Expense)</w:t>
      </w:r>
    </w:p>
    <w:tbl>
      <w:tblPr>
        <w:tblW w:w="10205" w:type="dxa"/>
        <w:jc w:val="left"/>
        <w:tblInd w:w="0" w:type="dxa"/>
        <w:tblLayout w:type="fixed"/>
        <w:tblCellMar>
          <w:top w:w="28" w:type="dxa"/>
          <w:left w:w="28" w:type="dxa"/>
          <w:bottom w:w="28" w:type="dxa"/>
          <w:right w:w="28" w:type="dxa"/>
        </w:tblCellMar>
      </w:tblPr>
      <w:tblGrid>
        <w:gridCol w:w="541"/>
        <w:gridCol w:w="458"/>
        <w:gridCol w:w="461"/>
        <w:gridCol w:w="279"/>
        <w:gridCol w:w="472"/>
        <w:gridCol w:w="154"/>
        <w:gridCol w:w="109"/>
        <w:gridCol w:w="109"/>
        <w:gridCol w:w="109"/>
        <w:gridCol w:w="311"/>
        <w:gridCol w:w="382"/>
        <w:gridCol w:w="172"/>
        <w:gridCol w:w="109"/>
        <w:gridCol w:w="109"/>
        <w:gridCol w:w="109"/>
        <w:gridCol w:w="226"/>
        <w:gridCol w:w="278"/>
        <w:gridCol w:w="126"/>
        <w:gridCol w:w="126"/>
        <w:gridCol w:w="126"/>
        <w:gridCol w:w="126"/>
        <w:gridCol w:w="210"/>
        <w:gridCol w:w="211"/>
        <w:gridCol w:w="278"/>
        <w:gridCol w:w="109"/>
        <w:gridCol w:w="109"/>
        <w:gridCol w:w="109"/>
        <w:gridCol w:w="279"/>
        <w:gridCol w:w="472"/>
        <w:gridCol w:w="154"/>
        <w:gridCol w:w="109"/>
        <w:gridCol w:w="109"/>
        <w:gridCol w:w="109"/>
        <w:gridCol w:w="311"/>
        <w:gridCol w:w="382"/>
        <w:gridCol w:w="172"/>
        <w:gridCol w:w="109"/>
        <w:gridCol w:w="109"/>
        <w:gridCol w:w="109"/>
        <w:gridCol w:w="217"/>
        <w:gridCol w:w="367"/>
        <w:gridCol w:w="120"/>
        <w:gridCol w:w="120"/>
        <w:gridCol w:w="120"/>
        <w:gridCol w:w="120"/>
        <w:gridCol w:w="233"/>
        <w:gridCol w:w="235"/>
        <w:gridCol w:w="331"/>
      </w:tblGrid>
      <w:tr>
        <w:trPr/>
        <w:tc>
          <w:tcPr>
            <w:tcW w:w="54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and other income, net</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Interest expense increased in the 2026 second quarter and 2026 first half primarily due to higher debt balances driven by Senior Notes issuances, net of maturities ($28 million and $55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Income Taxes</w:t>
      </w:r>
    </w:p>
    <w:tbl>
      <w:tblPr>
        <w:tblW w:w="10205" w:type="dxa"/>
        <w:jc w:val="left"/>
        <w:tblInd w:w="0" w:type="dxa"/>
        <w:tblLayout w:type="fixed"/>
        <w:tblCellMar>
          <w:top w:w="28" w:type="dxa"/>
          <w:left w:w="28" w:type="dxa"/>
          <w:bottom w:w="28" w:type="dxa"/>
          <w:right w:w="28" w:type="dxa"/>
        </w:tblCellMar>
      </w:tblPr>
      <w:tblGrid>
        <w:gridCol w:w="550"/>
        <w:gridCol w:w="434"/>
        <w:gridCol w:w="438"/>
        <w:gridCol w:w="238"/>
        <w:gridCol w:w="575"/>
        <w:gridCol w:w="132"/>
        <w:gridCol w:w="109"/>
        <w:gridCol w:w="109"/>
        <w:gridCol w:w="109"/>
        <w:gridCol w:w="238"/>
        <w:gridCol w:w="575"/>
        <w:gridCol w:w="132"/>
        <w:gridCol w:w="109"/>
        <w:gridCol w:w="109"/>
        <w:gridCol w:w="109"/>
        <w:gridCol w:w="216"/>
        <w:gridCol w:w="366"/>
        <w:gridCol w:w="120"/>
        <w:gridCol w:w="120"/>
        <w:gridCol w:w="120"/>
        <w:gridCol w:w="120"/>
        <w:gridCol w:w="131"/>
        <w:gridCol w:w="121"/>
        <w:gridCol w:w="266"/>
        <w:gridCol w:w="109"/>
        <w:gridCol w:w="109"/>
        <w:gridCol w:w="109"/>
        <w:gridCol w:w="238"/>
        <w:gridCol w:w="575"/>
        <w:gridCol w:w="132"/>
        <w:gridCol w:w="109"/>
        <w:gridCol w:w="109"/>
        <w:gridCol w:w="109"/>
        <w:gridCol w:w="238"/>
        <w:gridCol w:w="575"/>
        <w:gridCol w:w="132"/>
        <w:gridCol w:w="109"/>
        <w:gridCol w:w="109"/>
        <w:gridCol w:w="109"/>
        <w:gridCol w:w="210"/>
        <w:gridCol w:w="408"/>
        <w:gridCol w:w="117"/>
        <w:gridCol w:w="117"/>
        <w:gridCol w:w="117"/>
        <w:gridCol w:w="117"/>
        <w:gridCol w:w="189"/>
        <w:gridCol w:w="189"/>
        <w:gridCol w:w="324"/>
      </w:tblGrid>
      <w:tr>
        <w:trPr/>
        <w:tc>
          <w:tcPr>
            <w:tcW w:w="55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r>
      <w:tr>
        <w:trPr/>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Provision for income taxes increased in the 2026 first half primarily due to the prior year release of tax reserves ($91 million) and higher pre-tax income ($42 million). The increase was partially offset by lower tax on non-U.S. income ($18 million) and the tax benefit from the impairment charge on a U.S. &amp; Canada hotel ($17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BUSINESS SEGMENTS</w:t>
      </w:r>
    </w:p>
    <w:p>
      <w:pPr>
        <w:pStyle w:val="TextBody"/>
        <w:bidi w:val="0"/>
        <w:spacing w:lineRule="auto" w:line="288" w:before="180" w:after="283"/>
        <w:ind w:left="0" w:right="0" w:firstLine="495"/>
        <w:jc w:val="left"/>
        <w:rPr>
          <w:rFonts w:ascii="Times New Roman;serif" w:hAnsi="Times New Roman;serif"/>
          <w:b w:val="false"/>
          <w:color w:val="000000"/>
          <w:sz w:val="22"/>
        </w:rPr>
      </w:pPr>
      <w:r>
        <w:rPr>
          <w:rFonts w:ascii="Times New Roman;serif" w:hAnsi="Times New Roman;serif"/>
          <w:b w:val="false"/>
          <w:color w:val="000000"/>
          <w:sz w:val="22"/>
        </w:rPr>
        <w:t>The following discussion presents an analysis of the operating results of our reportable business segments for the 2026 second quarter compared to the 2025 second quarter and for the 2026 first half compared to the 2025 first half. Also see the “Business Trends” section above for further discussion.</w:t>
      </w:r>
    </w:p>
    <w:tbl>
      <w:tblPr>
        <w:tblW w:w="10205" w:type="dxa"/>
        <w:jc w:val="left"/>
        <w:tblInd w:w="0" w:type="dxa"/>
        <w:tblLayout w:type="fixed"/>
        <w:tblCellMar>
          <w:top w:w="28" w:type="dxa"/>
          <w:left w:w="28" w:type="dxa"/>
          <w:bottom w:w="28" w:type="dxa"/>
          <w:right w:w="28" w:type="dxa"/>
        </w:tblCellMar>
      </w:tblPr>
      <w:tblGrid>
        <w:gridCol w:w="523"/>
        <w:gridCol w:w="413"/>
        <w:gridCol w:w="386"/>
        <w:gridCol w:w="243"/>
        <w:gridCol w:w="523"/>
        <w:gridCol w:w="135"/>
        <w:gridCol w:w="109"/>
        <w:gridCol w:w="109"/>
        <w:gridCol w:w="109"/>
        <w:gridCol w:w="243"/>
        <w:gridCol w:w="523"/>
        <w:gridCol w:w="135"/>
        <w:gridCol w:w="109"/>
        <w:gridCol w:w="109"/>
        <w:gridCol w:w="109"/>
        <w:gridCol w:w="207"/>
        <w:gridCol w:w="445"/>
        <w:gridCol w:w="115"/>
        <w:gridCol w:w="115"/>
        <w:gridCol w:w="115"/>
        <w:gridCol w:w="115"/>
        <w:gridCol w:w="165"/>
        <w:gridCol w:w="166"/>
        <w:gridCol w:w="254"/>
        <w:gridCol w:w="109"/>
        <w:gridCol w:w="109"/>
        <w:gridCol w:w="109"/>
        <w:gridCol w:w="222"/>
        <w:gridCol w:w="631"/>
        <w:gridCol w:w="123"/>
        <w:gridCol w:w="109"/>
        <w:gridCol w:w="109"/>
        <w:gridCol w:w="109"/>
        <w:gridCol w:w="222"/>
        <w:gridCol w:w="631"/>
        <w:gridCol w:w="123"/>
        <w:gridCol w:w="109"/>
        <w:gridCol w:w="109"/>
        <w:gridCol w:w="109"/>
        <w:gridCol w:w="207"/>
        <w:gridCol w:w="444"/>
        <w:gridCol w:w="114"/>
        <w:gridCol w:w="114"/>
        <w:gridCol w:w="114"/>
        <w:gridCol w:w="114"/>
        <w:gridCol w:w="184"/>
        <w:gridCol w:w="187"/>
        <w:gridCol w:w="319"/>
      </w:tblGrid>
      <w:tr>
        <w:trPr/>
        <w:tc>
          <w:tcPr>
            <w:tcW w:w="52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2026 vs. 2025</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U.S. &amp; Canada</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Segment net fee revenues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profit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EMEA</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Segment net fee revenues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profit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Greater China</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Segment net fee revenues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profit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APEC</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Segment net fee revenues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profit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386"/>
        <w:gridCol w:w="339"/>
        <w:gridCol w:w="342"/>
        <w:gridCol w:w="374"/>
        <w:gridCol w:w="292"/>
        <w:gridCol w:w="280"/>
        <w:gridCol w:w="109"/>
        <w:gridCol w:w="109"/>
        <w:gridCol w:w="109"/>
        <w:gridCol w:w="374"/>
        <w:gridCol w:w="292"/>
        <w:gridCol w:w="280"/>
        <w:gridCol w:w="109"/>
        <w:gridCol w:w="109"/>
        <w:gridCol w:w="109"/>
        <w:gridCol w:w="210"/>
        <w:gridCol w:w="211"/>
        <w:gridCol w:w="122"/>
        <w:gridCol w:w="122"/>
        <w:gridCol w:w="122"/>
        <w:gridCol w:w="122"/>
        <w:gridCol w:w="181"/>
        <w:gridCol w:w="150"/>
        <w:gridCol w:w="272"/>
        <w:gridCol w:w="109"/>
        <w:gridCol w:w="109"/>
        <w:gridCol w:w="109"/>
        <w:gridCol w:w="435"/>
        <w:gridCol w:w="436"/>
        <w:gridCol w:w="280"/>
        <w:gridCol w:w="109"/>
        <w:gridCol w:w="109"/>
        <w:gridCol w:w="109"/>
        <w:gridCol w:w="435"/>
        <w:gridCol w:w="436"/>
        <w:gridCol w:w="280"/>
        <w:gridCol w:w="109"/>
        <w:gridCol w:w="109"/>
        <w:gridCol w:w="109"/>
        <w:gridCol w:w="323"/>
        <w:gridCol w:w="323"/>
        <w:gridCol w:w="122"/>
        <w:gridCol w:w="122"/>
        <w:gridCol w:w="122"/>
        <w:gridCol w:w="122"/>
        <w:gridCol w:w="181"/>
        <w:gridCol w:w="150"/>
        <w:gridCol w:w="332"/>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Rooms</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vs. June 30, 2025</w:t>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U.S. &amp; Canada</w:t>
            </w:r>
          </w:p>
        </w:tc>
        <w:tc>
          <w:tcPr>
            <w:tcW w:w="6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6,493 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1,080,409 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1,056,775 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EMEA</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257,247 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240,342 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Greater China</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197,320 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177,777 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APEC</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160,552 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In the 2026 second quarter and 2026 first half, compared to the same periods in 2025, segment net fee revenues grew in the U.S. &amp; Canada, compared to the same periods in 2025, primarily driven by higher RevPAR and rooms growth (see the Lodging Statistics and Properties and Rooms tables above for more information), as well as higher incentive management fees ($26 million and $35 million, respectively) and residential branding fees ($22 million and $36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89560"/>
                <wp:effectExtent l="0" t="0" r="0" b="0"/>
                <wp:wrapNone/>
                <wp:docPr id="21" name="Frame2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U.S. &amp; Canada segment profit decreased in the 2026 second quarter and 2026 first half, compared to the same periods in 2025, despite the higher net fee revenues, primarily due to the $68 million impairment charge discussed in Note 7, lower cost reimbursement revenue, net of reimbursed expenses ($37 million and $109 million, respectively), and a property-related litigation accrual ($27 million for both the 2026 second quarter and 2026 first half).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long-term financial objectives include maintaining diversified financing sources, optimizing the mix and maturity of our long-term debt, and reducing our working capital. At the end of the 2026 second quarter, including the effect of interest rate swaps, our total long-term debt (current and noncurrent) had a weighted average interest rate of 4.6 percent, a weighted average maturity of approximately 5.5 years, and a ratio of fixed-rate to total long-term debt of 0.8 to 1.0.</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Sources of Liquidity</w: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Our Credit Facility</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are party to a $4.5 billion multicurrency revolving credit agreement (as amended, the “Credit Facility”). Available borrowings under the Credit Facility support our commercial paper program and general corporate needs. U.S. dollar borrowings under the Credit Facility bear interest at SOFR (the Secured Overnight Financing Rate) plus a spread based on our public debt rating. We also pay quarterly fees on the Credit Facility at a rate based on our public debt rating. We classify outstanding borrowings under the Credit Facility and outstanding commercial paper borrowings (which generally have short-term maturities of 45 days or less) as long-term based on our ability and intent to refinance the outstanding borrowings on a long-term basis. The Credit Facility expires on December 14, 2027.</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The Credit Facility contains certain covenants, including a single financial covenant that limits our maximum leverage (consisting of the ratio of Adjusted Total Debt to EBITDA, each as defined in the Credit Facility) to not more than 4.5 to 1.0. Our outstanding public debt does not contain a corresponding financial covenant or a requirement that we maintain certain financial ratios. We currently satisfy the covenants in our Credit Facility and public debt instruments, including the leverage covenant under the Credit Facility, and do not expect the covenants will restrict our ability to meet our anticipated borrowing and liquidity needs.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 xml:space="preserve">We monitor the status of the capital markets and regularly evaluate the effect that changes in capital market conditions may have on our ability to fund our liquidity needs. We believe the Credit Facility and our access to capital markets, together with cash we expect to generate from operations, remain adequate to meet our liquidity requirements over the next 12 months and thereafter for the foreseeable future. </w: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Commercial Paper</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issue commercial paper in the U.S. Because we do not have purchase commitments from buyers for our commercial paper, our ability to issue commercial paper is subject to market demand. We do not expect that fluctuations in the demand for commercial paper will affect our liquidity, given our borrowing capacity under the Credit Facility and access to capital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Sources and Uses of Cash</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Cash, cash equivalents, and restricted cash totaled $472 million as of June 30, 2026, an increase of $101 million from December 31, 2025, primarily due to net cash provided by operating activities ($1,806 million), long-term debt issuances, net of repayments ($670 million), loan collections ($102 million), and dispositions ($93 million, primarily due to the sale of a U.S. &amp; Canada hotel), partially offset by share repurchases ($1,819 million), dividends paid ($370 million), capital and technology expenditures ($282 million), and financing outflows for employee stock-based compensation withholding taxes ($126 million).</w:t>
      </w:r>
    </w:p>
    <w:p>
      <w:pPr>
        <w:pStyle w:val="TextBody"/>
        <w:bidi w:val="0"/>
        <w:spacing w:lineRule="auto" w:line="288" w:before="180" w:after="283"/>
        <w:ind w:left="0" w:right="0" w:firstLine="450"/>
        <w:jc w:val="left"/>
        <w:rPr/>
      </w:pPr>
      <w:r>
        <w:rPr>
          <w:rFonts w:ascii="Times New Roman;serif" w:hAnsi="Times New Roman;serif"/>
          <w:b w:val="false"/>
          <w:color w:val="000000"/>
          <w:sz w:val="22"/>
        </w:rPr>
        <w:t>Our ratio of current assets to current liabilities was</w:t>
      </w:r>
      <w:r>
        <w:rPr>
          <w:color w:val="000000"/>
        </w:rPr>
        <w:t xml:space="preserve"> </w:t>
      </w:r>
      <w:r>
        <w:rPr>
          <w:rFonts w:ascii="Times New Roman;serif" w:hAnsi="Times New Roman;serif"/>
          <w:b w:val="false"/>
          <w:color w:val="000000"/>
          <w:sz w:val="22"/>
        </w:rPr>
        <w:t>0.5 to 1.0 at the end of the 2026 second quarter. We have significant borrowing capacity under our Credit Facility should we need additional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89560"/>
                <wp:effectExtent l="0" t="0" r="0" b="0"/>
                <wp:wrapNone/>
                <wp:docPr id="22" name="Frame2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Capital Expenditures and Other Investments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made capital and technology expenditures of $282 million in the 2026 first half and $290 million in the 2025 first half. We expect capital expenditures and other investments will total approximately $1,250 million to $1,350 million for the 2026 full year, including contract acquisition costs, capital and technology expenditures, renovations at owned and leased hotels, loan advances, and other investing activities, but excluding any potential property or brand acquisitions, which we cannot forecast with sufficient accuracy and which may be significant. Our anticipated capital and technology expenditures include higher than typical spending on our worldwide technology systems transformation, the overwhelming portion of which we expect to be reimbursed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Share Repurchases and Dividends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repurchased 3.0 million shares of our common stock for $1.1 billion in the 2026 second quarter. Year-to-date through July 29, 2026, we repurchased 6.2 million shares for $2.2 billion. For additional information, see “Issuer Purchases of Equity Securities” in Part II, Item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Board of Directors declared the following quarterly cash dividends in 2026 to date: (1) $0.67 per share declared on February 12, 2026 and paid on March 31, 2026 to stockholders of record on February 26, 2026; and (2) $0.73 per share declared on May 8, 2026 and paid on June 30, 2026 to stockholders of record on May 22, 2026.</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expect to continue to return cash to stockholders through a combination of share repurchases and cash dividends.</w: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Material Cash Requirements</w:t>
      </w:r>
    </w:p>
    <w:p>
      <w:pPr>
        <w:pStyle w:val="TextBody"/>
        <w:bidi w:val="0"/>
        <w:spacing w:lineRule="auto" w:line="288" w:before="180" w:after="283"/>
        <w:ind w:left="0" w:right="0" w:firstLine="450"/>
        <w:jc w:val="left"/>
        <w:rPr/>
      </w:pPr>
      <w:r>
        <w:rPr>
          <w:rFonts w:ascii="Times New Roman;serif" w:hAnsi="Times New Roman;serif"/>
          <w:b w:val="false"/>
          <w:color w:val="000000"/>
          <w:sz w:val="22"/>
        </w:rPr>
        <w:t>As of the end of the 2026 second quarter, there have been no material changes to our cash requirements as disclosed in our 2025 Form 10-K. See Part II, Item 7, “Management’s Discussion and Analysis of Financial Condition and Results of Operations,” of our 2025 Form 10-K for more information about our cash requirements.</w:t>
      </w:r>
      <w:r>
        <w:rPr>
          <w:color w:val="000000"/>
        </w:rPr>
        <w:t xml:space="preserve"> </w:t>
      </w:r>
      <w:r>
        <w:rPr>
          <w:rFonts w:ascii="Times New Roman;serif" w:hAnsi="Times New Roman;serif"/>
          <w:b w:val="false"/>
          <w:color w:val="000000"/>
          <w:sz w:val="22"/>
        </w:rPr>
        <w:t>Also, see Note 6 for information on our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preparation of financial statements in accordance with U.S. generally accepted accounting principles (“GAAP”) requires management to make estimates and assumptions that affect reported amounts and related disclosures. We have discussed those policies and estimates that we believe are critical and require the use of complex judgment in their application in our 2025 Form 10-K. We have made no material changes to our critical accounting policies or the methodologies or assumptions that we apply under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2"/>
          <w:u w:val="single"/>
        </w:rPr>
        <w:t>Item 3.</w:t>
      </w:r>
      <w:r>
        <w:rPr>
          <w:color w:val="000000"/>
        </w:rPr>
        <w:t xml:space="preserve"> </w:t>
      </w:r>
      <w:r>
        <w:rPr>
          <w:rFonts w:ascii="Times New Roman;serif" w:hAnsi="Times New Roman;serif"/>
          <w:b/>
          <w:i/>
          <w:color w:val="000000"/>
          <w:sz w:val="22"/>
          <w:u w:val="single"/>
        </w:rPr>
        <w:t>Quantitative and Qualitative Disclosures About Market Risk</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Our exposure to market risk has not materially changed since December 31, 2025. See Part II, Item 7A, “Quantitative and Qualitative Disclosures About Market Risk” in our 2025 Form 10-K for more information on our exposure to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2"/>
          <w:u w:val="single"/>
        </w:rPr>
        <w:t>Item 4.</w:t>
      </w:r>
      <w:r>
        <w:rPr>
          <w:color w:val="000000"/>
        </w:rPr>
        <w:t xml:space="preserve"> </w:t>
      </w:r>
      <w:r>
        <w:rPr>
          <w:rFonts w:ascii="Times New Roman;serif" w:hAnsi="Times New Roman;serif"/>
          <w:b/>
          <w:i/>
          <w:color w:val="000000"/>
          <w:sz w:val="22"/>
          <w:u w:val="single"/>
        </w:rPr>
        <w:t>Controls and Procedures</w: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Disclosure Controls and Procedures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 xml:space="preserve">We evaluated the effectiveness of our disclosure controls and procedures (as such term is defined in Rules 13a-15(e) and 15d-15(e) under the Securities Exchange Act of 1934 (the “Exchange Act”)) as of the end of the period covered by this quarterly report under the supervision and with the participation of our management, including our Chief Executive Officer and Chief Financial Officer. Management necessarily applied its judgment in assessing the costs and benefits of those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this evaluation, our Chief Executive Officer and Chief Financial Officer concluded that our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89560"/>
                <wp:effectExtent l="0" t="0" r="0" b="0"/>
                <wp:wrapNone/>
                <wp:docPr id="23" name="Frame2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Changes in Internal Control Over Financial Reporting</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made no changes in internal control over financial reporting during the 2026 second quarter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89560"/>
                <wp:effectExtent l="0" t="0" r="0" b="0"/>
                <wp:wrapNone/>
                <wp:docPr id="24" name="Frame2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2"/>
        </w:rPr>
      </w:pPr>
      <w:bookmarkStart w:id="4" w:name="i1cda6eaf12734149aca7b76629c3e885_31"/>
      <w:bookmarkEnd w:id="4"/>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2"/>
          <w:u w:val="single"/>
        </w:rPr>
        <w:t>Item 1.</w:t>
      </w:r>
      <w:r>
        <w:rPr>
          <w:color w:val="000000"/>
        </w:rPr>
        <w:t xml:space="preserve"> </w:t>
      </w:r>
      <w:r>
        <w:rPr>
          <w:rFonts w:ascii="Times New Roman;serif" w:hAnsi="Times New Roman;serif"/>
          <w:b/>
          <w:i/>
          <w:color w:val="000000"/>
          <w:sz w:val="22"/>
          <w:u w:val="single"/>
        </w:rPr>
        <w:t>Legal Proceedings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See the information under the “Litigation, Claims, and Government Investigations” caption in Note 5, which we incorporate here by reference. Within this section, we use a threshold of $1 million in disclosing material environmental proceedings involving a governmental authority, if any.</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From time to time, we are also subject to other legal proceedings and claims, including adjustments proposed during governmental examinations of the various tax returns we file. While management presently believes that the ultimate outcome of these other proceedings, individually and in aggregate, will not materially harm our business, financial condition, cash flows, or overall trends in results of operations, legal proceedings are inherently uncertain, and unfavorable rulings could, individually or in aggregate, have a material adverse effect on our business, financial condition, operating results,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2"/>
          <w:u w:val="single"/>
        </w:rPr>
        <w:t>Item 1A.</w:t>
      </w:r>
      <w:r>
        <w:rPr>
          <w:color w:val="000000"/>
        </w:rPr>
        <w:t xml:space="preserve"> </w:t>
      </w:r>
      <w:r>
        <w:rPr>
          <w:rFonts w:ascii="Times New Roman;serif" w:hAnsi="Times New Roman;serif"/>
          <w:b/>
          <w:i/>
          <w:color w:val="000000"/>
          <w:sz w:val="22"/>
          <w:u w:val="single"/>
        </w:rPr>
        <w:t>Risk Factors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are subject to various risks that make an investment in our securities risky. You should carefully consider the risk factors disclosed in Part I, Item 1A, “Risk Factors,” of our 2025 Form 10-K. There are no material changes to the risk factors discussed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2"/>
          <w:u w:val="single"/>
        </w:rPr>
        <w:t>Item 2.</w:t>
      </w:r>
      <w:r>
        <w:rPr>
          <w:color w:val="000000"/>
        </w:rPr>
        <w:t xml:space="preserve"> </w:t>
      </w:r>
      <w:r>
        <w:rPr>
          <w:rFonts w:ascii="Times New Roman;serif" w:hAnsi="Times New Roman;serif"/>
          <w:b/>
          <w:i/>
          <w:color w:val="000000"/>
          <w:sz w:val="22"/>
          <w:u w:val="single"/>
        </w:rPr>
        <w:t>Unregistered Sales of Equity Securities and Use of Proceeds</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(a)Unregistered Sales of Equity Securities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(b)Use of Proceeds</w:t>
      </w:r>
    </w:p>
    <w:p>
      <w:pPr>
        <w:pStyle w:val="TextBody"/>
        <w:bidi w:val="0"/>
        <w:spacing w:lineRule="auto" w:line="288" w:before="180" w:after="283"/>
        <w:ind w:left="0" w:right="0" w:firstLine="99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lineRule="auto" w:line="276"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(c)Issuer Purchases of Equity Securities</w:t>
      </w:r>
    </w:p>
    <w:tbl>
      <w:tblPr>
        <w:tblW w:w="10205" w:type="dxa"/>
        <w:jc w:val="left"/>
        <w:tblInd w:w="0" w:type="dxa"/>
        <w:tblLayout w:type="fixed"/>
        <w:tblCellMar>
          <w:top w:w="28" w:type="dxa"/>
          <w:left w:w="28" w:type="dxa"/>
          <w:bottom w:w="28" w:type="dxa"/>
          <w:right w:w="28" w:type="dxa"/>
        </w:tblCellMar>
      </w:tblPr>
      <w:tblGrid>
        <w:gridCol w:w="996"/>
        <w:gridCol w:w="876"/>
        <w:gridCol w:w="877"/>
        <w:gridCol w:w="109"/>
        <w:gridCol w:w="109"/>
        <w:gridCol w:w="109"/>
        <w:gridCol w:w="403"/>
        <w:gridCol w:w="403"/>
        <w:gridCol w:w="404"/>
        <w:gridCol w:w="109"/>
        <w:gridCol w:w="109"/>
        <w:gridCol w:w="109"/>
        <w:gridCol w:w="248"/>
        <w:gridCol w:w="818"/>
        <w:gridCol w:w="138"/>
        <w:gridCol w:w="109"/>
        <w:gridCol w:w="109"/>
        <w:gridCol w:w="109"/>
        <w:gridCol w:w="617"/>
        <w:gridCol w:w="617"/>
        <w:gridCol w:w="618"/>
        <w:gridCol w:w="109"/>
        <w:gridCol w:w="109"/>
        <w:gridCol w:w="109"/>
        <w:gridCol w:w="550"/>
        <w:gridCol w:w="550"/>
        <w:gridCol w:w="782"/>
      </w:tblGrid>
      <w:tr>
        <w:trPr/>
        <w:tc>
          <w:tcPr>
            <w:tcW w:w="99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Number of Shares That May Yet Be Purchased Under the Plans or Programs </w:t>
            </w:r>
            <w:r>
              <w:rPr>
                <w:rFonts w:ascii="Times New Roman;serif" w:hAnsi="Times New Roman;serif"/>
                <w:b/>
                <w:color w:val="000000"/>
                <w:sz w:val="10"/>
              </w:rPr>
              <w:t>(1)</w:t>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Our Board of Directors has authorized a share repurchase program. On August 7, 2025, we announced that the Board had increased the common stock repurchase authorization under the program by 25 million shares. The share repurchase authorization has no expiration date. As of June 30, 2026,</w:t>
      </w:r>
      <w:r>
        <w:rPr>
          <w:color w:val="000000"/>
        </w:rPr>
        <w:t xml:space="preserve"> </w:t>
      </w:r>
      <w:r>
        <w:rPr>
          <w:rFonts w:ascii="Times New Roman;serif" w:hAnsi="Times New Roman;serif"/>
          <w:b w:val="false"/>
          <w:color w:val="000000"/>
          <w:sz w:val="16"/>
        </w:rPr>
        <w:t>21.5 million shares remained available for repurchase under the program. We may repurchase shares in the open market or in privately negotiated transactions, and we account for these shares as treasury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2"/>
          <w:u w:val="single"/>
        </w:rPr>
        <w:t>Item 5.</w:t>
      </w:r>
      <w:r>
        <w:rPr>
          <w:color w:val="000000"/>
        </w:rPr>
        <w:t xml:space="preserve"> </w:t>
      </w:r>
      <w:r>
        <w:rPr>
          <w:rFonts w:ascii="Times New Roman;serif" w:hAnsi="Times New Roman;serif"/>
          <w:b/>
          <w:i/>
          <w:color w:val="000000"/>
          <w:sz w:val="22"/>
          <w:u w:val="single"/>
        </w:rPr>
        <w:t>Other Information</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During the 2026 second quarter, no director or Section 16 officer adopted or terminated any Rule 10b5-1 plans or non-Rule 10b5-1 trading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89560"/>
                <wp:effectExtent l="0" t="0" r="0" b="0"/>
                <wp:wrapNone/>
                <wp:docPr id="25" name="Frame2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0"/>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2"/>
          <w:u w:val="single"/>
        </w:rPr>
        <w:t>Item 6.</w:t>
      </w:r>
      <w:r>
        <w:rPr>
          <w:color w:val="000000"/>
        </w:rPr>
        <w:t xml:space="preserve"> </w:t>
      </w:r>
      <w:r>
        <w:rPr>
          <w:rFonts w:ascii="Times New Roman;serif" w:hAnsi="Times New Roman;serif"/>
          <w:b/>
          <w:i/>
          <w:color w:val="000000"/>
          <w:sz w:val="22"/>
          <w:u w:val="single"/>
        </w:rPr>
        <w:t>Exhibits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We have not filed as exhibits certain instruments defining the rights of holders of the long-term debt of Marriott pursuant to Item 601(b)(4)(iii) of Regulation S-K promulgated under the Exchange Act, because the amount of debt authorized and outstanding under each such instrument does not exceed 10 percent of the total assets of the Company and its consolidated subsidiaries. The Company agrees to furnish a copy of any such instrument to the SEC upon request.</w:t>
      </w:r>
    </w:p>
    <w:tbl>
      <w:tblPr>
        <w:tblW w:w="10205" w:type="dxa"/>
        <w:jc w:val="left"/>
        <w:tblInd w:w="0" w:type="dxa"/>
        <w:tblLayout w:type="fixed"/>
        <w:tblCellMar>
          <w:top w:w="28" w:type="dxa"/>
          <w:left w:w="28" w:type="dxa"/>
          <w:bottom w:w="28" w:type="dxa"/>
          <w:right w:w="28" w:type="dxa"/>
        </w:tblCellMar>
      </w:tblPr>
      <w:tblGrid>
        <w:gridCol w:w="251"/>
        <w:gridCol w:w="220"/>
        <w:gridCol w:w="222"/>
        <w:gridCol w:w="109"/>
        <w:gridCol w:w="109"/>
        <w:gridCol w:w="109"/>
        <w:gridCol w:w="1930"/>
        <w:gridCol w:w="1867"/>
        <w:gridCol w:w="1886"/>
        <w:gridCol w:w="109"/>
        <w:gridCol w:w="109"/>
        <w:gridCol w:w="109"/>
        <w:gridCol w:w="928"/>
        <w:gridCol w:w="928"/>
        <w:gridCol w:w="1319"/>
      </w:tblGrid>
      <w:tr>
        <w:trPr/>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6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 (where a report is indicated below, that document has been previously filed with the SEC and the applicable exhibit is incorporated by reference thereto)</w:t>
            </w:r>
          </w:p>
        </w:tc>
      </w:tr>
      <w:tr>
        <w:trPr/>
        <w:tc>
          <w:tcPr>
            <w:tcW w:w="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Restated Certificate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6"/>
                  <w:u w:val="single"/>
                </w:rPr>
                <w:t>Exhibit No. 3.(i) to our Form 8-K filed August 22, 2006 (File No. 001-13881).</w:t>
              </w:r>
            </w:hyperlink>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6"/>
                  <w:u w:val="single"/>
                </w:rPr>
                <w:t>Exhibit No. 3.1 to our Form 8-K filed August 4, 2023 (File No. 001-13881).</w:t>
              </w:r>
            </w:hyperlink>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Non-Employee Director Deferred Share Award Agreement for the 2023 Marriott International, Inc. Stock and Cash Incentive Plan (May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2026q2xexx101.htm">
              <w:r>
                <w:rPr>
                  <w:rStyle w:val="InternetLink"/>
                  <w:rFonts w:ascii="Times New Roman;serif" w:hAnsi="Times New Roman;serif"/>
                  <w:b w:val="false"/>
                  <w:i/>
                  <w:color w:val="0000FF"/>
                  <w:sz w:val="16"/>
                  <w:u w:val="single"/>
                </w:rPr>
                <w:t>Filed with this report.</w:t>
              </w:r>
            </w:hyperlink>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Non-Employee Director Deferred Fee Award Agreement for the 2023 Marriott International, Inc. Stock and Cash Incentive Plan (May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2026q2xexx102.htm">
              <w:r>
                <w:rPr>
                  <w:rStyle w:val="InternetLink"/>
                  <w:rFonts w:ascii="Times New Roman;serif" w:hAnsi="Times New Roman;serif"/>
                  <w:b w:val="false"/>
                  <w:i/>
                  <w:color w:val="0000FF"/>
                  <w:sz w:val="16"/>
                  <w:u w:val="single"/>
                </w:rPr>
                <w:t>Filed with this report.</w:t>
              </w:r>
            </w:hyperlink>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Non-Employee Director Stock Appreciation Right Agreement for the 2023 Marriott International, Inc. Stock and Cash Incentive Plan (May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2026q2xexx103.htm">
              <w:r>
                <w:rPr>
                  <w:rStyle w:val="InternetLink"/>
                  <w:rFonts w:ascii="Times New Roman;serif" w:hAnsi="Times New Roman;serif"/>
                  <w:b w:val="false"/>
                  <w:i/>
                  <w:color w:val="0000FF"/>
                  <w:sz w:val="16"/>
                  <w:u w:val="single"/>
                </w:rPr>
                <w:t>Filed with this report.</w:t>
              </w:r>
            </w:hyperlink>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Executive Officer Pursuant to Rule 13a-14(a).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2026q2xexx311.htm">
              <w:r>
                <w:rPr>
                  <w:rStyle w:val="InternetLink"/>
                  <w:rFonts w:ascii="Times New Roman;serif" w:hAnsi="Times New Roman;serif"/>
                  <w:b w:val="false"/>
                  <w:i/>
                  <w:color w:val="0000FF"/>
                  <w:sz w:val="16"/>
                  <w:u w:val="single"/>
                </w:rPr>
                <w:t>Filed with this report.</w:t>
              </w:r>
            </w:hyperlink>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Financial Officer Pursuant to Rule 13a-14(a).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2026q2xexx312.htm">
              <w:r>
                <w:rPr>
                  <w:rStyle w:val="InternetLink"/>
                  <w:rFonts w:ascii="Times New Roman;serif" w:hAnsi="Times New Roman;serif"/>
                  <w:b w:val="false"/>
                  <w:i/>
                  <w:color w:val="0000FF"/>
                  <w:sz w:val="16"/>
                  <w:u w:val="single"/>
                </w:rPr>
                <w:t>Filed with this report.</w:t>
              </w:r>
            </w:hyperlink>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Section 1350 Certifications.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2026q2xexx32.htm">
              <w:r>
                <w:rPr>
                  <w:rStyle w:val="InternetLink"/>
                  <w:rFonts w:ascii="Times New Roman;serif" w:hAnsi="Times New Roman;serif"/>
                  <w:b w:val="false"/>
                  <w:i/>
                  <w:color w:val="0000FF"/>
                  <w:sz w:val="16"/>
                  <w:u w:val="single"/>
                </w:rPr>
                <w:t>Furnished with this report.</w:t>
              </w:r>
            </w:hyperlink>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following financial statements from Marriott International, Inc.’s Quarterly Report on Form 10-Q for the quarter ended June 30, 2026, formatted in Inline XBRL: (i) the Condensed Consolidated Statements of Income; (ii) the Condensed Consolidated Statements of Comprehensive Income; (iii) the Condensed Consolidated Balance Sheets; and (iv) the Condensed 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Submitted electronically with this report.</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Submitted electronically with this report.</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Submitted electronically with this report.</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Submitted electronically with this report.</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Submitted electronically with this report.</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Submitted electronically with this report.</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Submitted electronically with this report.</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cover page from Marriott International, Inc.’s Quarterly Report on Form 10-Q for the quarter ended June 30, 2026, formatted in Inline XBRL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Submitted electronically with this report.</w:t>
            </w:r>
          </w:p>
        </w:tc>
      </w:tr>
    </w:tbl>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Denotes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180" w:after="283"/>
        <w:jc w:val="left"/>
        <w:rPr/>
      </w:pPr>
      <w:hyperlink w:anchor="ie6b40330aff044afaef5b4cdb19f2e3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center"/>
        <w:rPr>
          <w:rFonts w:ascii="Times New Roman;serif" w:hAnsi="Times New Roman;serif"/>
          <w:b/>
          <w:color w:val="000000"/>
          <w:sz w:val="22"/>
        </w:rPr>
      </w:pPr>
      <w:bookmarkStart w:id="5" w:name="i2addf2f6e62346708dd1ee792a6eb4b1_203"/>
      <w:bookmarkEnd w:id="5"/>
      <w:r>
        <w:rPr>
          <w:rFonts w:ascii="Times New Roman;serif" w:hAnsi="Times New Roman;serif"/>
          <w:b/>
          <w:color w:val="000000"/>
          <w:sz w:val="22"/>
        </w:rPr>
        <w:t>SIGNATURE</w:t>
      </w:r>
    </w:p>
    <w:p>
      <w:pPr>
        <w:pStyle w:val="TextBody"/>
        <w:bidi w:val="0"/>
        <w:spacing w:lineRule="auto" w:line="288" w:before="180" w:after="283"/>
        <w:ind w:left="0" w:right="0" w:firstLine="495"/>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ind w:left="0" w:right="0" w:firstLine="450"/>
        <w:jc w:val="left"/>
        <w:rPr>
          <w:color w:val="000000"/>
        </w:rPr>
      </w:pPr>
      <w:r>
        <w:rPr>
          <w:color w:val="000000"/>
        </w:rPr>
        <w:t> </w:t>
      </w:r>
    </w:p>
    <w:tbl>
      <w:tblPr>
        <w:tblW w:w="3449" w:type="dxa"/>
        <w:jc w:val="right"/>
        <w:tblInd w:w="0" w:type="dxa"/>
        <w:tblLayout w:type="fixed"/>
        <w:tblCellMar>
          <w:top w:w="28" w:type="dxa"/>
          <w:left w:w="28" w:type="dxa"/>
          <w:bottom w:w="28" w:type="dxa"/>
          <w:right w:w="28" w:type="dxa"/>
        </w:tblCellMar>
      </w:tblPr>
      <w:tblGrid>
        <w:gridCol w:w="1104"/>
        <w:gridCol w:w="970"/>
        <w:gridCol w:w="1375"/>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INTERNATIONAL, INC.</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Felitia O. Lee</w:t>
            </w:r>
          </w:p>
        </w:tc>
      </w:tr>
      <w:tr>
        <w:trPr/>
        <w:tc>
          <w:tcPr>
            <w:tcW w:w="34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Felitia O. Lee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 and Chief Accounting Officer</w:t>
              <w:br/>
              <w:t>(Duly Authorized Officer)</w:t>
            </w:r>
          </w:p>
        </w:tc>
      </w:tr>
    </w:tbl>
    <w:p>
      <w:pPr>
        <w:pStyle w:val="TextBody"/>
        <w:bidi w:val="0"/>
        <w:spacing w:before="18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89560"/>
                <wp:effectExtent l="0" t="0" r="0" b="0"/>
                <wp:wrapNone/>
                <wp:docPr id="27" name="Frame2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2023 MARRIOTT INTERNATIONAL,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STOCK AND CASH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NON-EMPLOYEE DIRECTOR DEFERRED SHARE AWARD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AGREEMENT (this “Agreement”) is entered into on #GrantDate+C# (the “Grant Date”) by MARRIOTT INTERNATIONAL, INC. (the “Company”) and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#ParticipantName+C# (“Director”).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Company maintains the 2023 Marriott International, Inc. Stock and Cash Incentive Plan (as the same may be amended from time to time, the “Plan”);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upon recommendation by the Committee, has approved a Non-Employee Director Deferred Share Award to Director;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Director has elected to receive all or a portion of such Award in a manner prescribed by the Committee pursuant to Section 12.2 of the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it is agreed as follows: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rPr>
        <w:t>Prospectus</w:t>
      </w:r>
      <w:r>
        <w:rPr>
          <w:rFonts w:ascii="Times New Roman;serif" w:hAnsi="Times New Roman;serif"/>
          <w:b w:val="false"/>
          <w:color w:val="000000"/>
          <w:sz w:val="24"/>
        </w:rPr>
        <w:t>. Director has been provided with, and hereby acknowledges receipt of, a Prospectus for the Plan, which contains, among other things, a detailed description of the Non-Employee Director Deferred Share Award provisions of the Plan (provided that, in the event of any inconsistency between the Prospectus and the Plan, the terms of the Plan shall govern). Director further acknowledges that Director has read the Prospectus and this Agreement and that Director understands the provisions thereof.</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rPr>
        <w:t>Incorporation of Plan and Interpretation</w:t>
      </w:r>
      <w:r>
        <w:rPr>
          <w:rFonts w:ascii="Times New Roman;serif" w:hAnsi="Times New Roman;serif"/>
          <w:b w:val="false"/>
          <w:color w:val="000000"/>
          <w:sz w:val="24"/>
        </w:rPr>
        <w:t>. The provisions of the Plan are incorporated herein by reference and form an integral part of this Agreement. Except as otherwise set forth herein, capitalized terms used herein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designee, with regard to any question arising hereunder or under the Plan, shall be binding and conclusive.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rPr>
        <w:t>Grant of Award</w:t>
      </w:r>
      <w:r>
        <w:rPr>
          <w:rFonts w:ascii="Times New Roman;serif" w:hAnsi="Times New Roman;serif"/>
          <w:b w:val="false"/>
          <w:color w:val="000000"/>
          <w:sz w:val="24"/>
        </w:rPr>
        <w:t>. Subject to the terms and conditions of the Plan and Director’s acceptance of this Agreement, the Company hereby grants to Director, as of the Grant Date, a Non-Employee Director Deferred Share Award with respect to #QuantityGranted+C# Shares (the “Award”). Under this Agreement, vested Shares shall be distributed to Director in a lump sum within 30 days following Director’s Termination of Service, unless Director has made an advance election designating another time or form of distribution in a manner designated by the Committee and in accordance with Section 12.2 of the Plan.</w:t>
      </w:r>
    </w:p>
    <w:p>
      <w:pPr>
        <w:pStyle w:val="TextBody"/>
        <w:bidi w:val="0"/>
        <w:spacing w:lineRule="auto" w:line="240" w:before="240" w:after="283"/>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rPr>
        <w:t>Vesting of Award</w:t>
      </w:r>
      <w:r>
        <w:rPr>
          <w:rFonts w:ascii="Times New Roman;serif" w:hAnsi="Times New Roman;serif"/>
          <w:b w:val="false"/>
          <w:color w:val="000000"/>
          <w:sz w:val="24"/>
        </w:rPr>
        <w:t>. The Award shall vest and become nonforfeitable on a daily pro-rata basis over Director’s term of office, which expires at the next Annual Meeting following the Grant Date. Upon Director’s Termination of Service, any unvested portion of the Award shall be forfeited for no consideration.</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rPr>
        <w:t>Rights as a Stockholder</w:t>
      </w:r>
      <w:r>
        <w:rPr>
          <w:rFonts w:ascii="Times New Roman;serif" w:hAnsi="Times New Roman;serif"/>
          <w:b w:val="false"/>
          <w:color w:val="000000"/>
          <w:sz w:val="24"/>
        </w:rPr>
        <w:t xml:space="preserve">. Director shall have no voting, transfer, liquidation, dividend, or other rights of a stockholder of the Company with respect to the Award prior to such time that the Shares, subject to the Award, are distributed to Director pursuant to </w:t>
      </w:r>
      <w:r>
        <w:rPr>
          <w:rFonts w:ascii="Times New Roman;serif" w:hAnsi="Times New Roman;serif"/>
          <w:b w:val="false"/>
          <w:color w:val="000000"/>
          <w:sz w:val="24"/>
          <w:u w:val="single"/>
        </w:rPr>
        <w:t>Paragraph 3</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rPr>
        <w:t>Nontransferability</w:t>
      </w:r>
      <w:r>
        <w:rPr>
          <w:rFonts w:ascii="Times New Roman;serif" w:hAnsi="Times New Roman;serif"/>
          <w:b w:val="false"/>
          <w:color w:val="000000"/>
          <w:sz w:val="24"/>
        </w:rPr>
        <w:t xml:space="preserve">. The Award shall not be sold, transferred, pledged, assigned, or otherwise alienated or hypothecated, other than by will or the laws of descent and distribution.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rPr>
        <w:t>Successors and Assigns</w:t>
      </w:r>
      <w:r>
        <w:rPr>
          <w:rFonts w:ascii="Times New Roman;serif" w:hAnsi="Times New Roman;serif"/>
          <w:b w:val="false"/>
          <w:color w:val="000000"/>
          <w:sz w:val="24"/>
        </w:rPr>
        <w:t xml:space="preserve">. This Agreement shall bind and inure to the benefit of the parties hereto and the successors and assigns of the Company and, to the extent provided in </w:t>
      </w:r>
      <w:r>
        <w:rPr>
          <w:rFonts w:ascii="Times New Roman;serif" w:hAnsi="Times New Roman;serif"/>
          <w:b w:val="false"/>
          <w:color w:val="000000"/>
          <w:sz w:val="24"/>
          <w:u w:val="single"/>
        </w:rPr>
        <w:t>Paragraph 6</w:t>
      </w:r>
      <w:r>
        <w:rPr>
          <w:color w:val="000000"/>
        </w:rPr>
        <w:t xml:space="preserve"> </w:t>
      </w:r>
      <w:r>
        <w:rPr>
          <w:rFonts w:ascii="Times New Roman;serif" w:hAnsi="Times New Roman;serif"/>
          <w:b w:val="false"/>
          <w:color w:val="000000"/>
          <w:sz w:val="24"/>
        </w:rPr>
        <w:t>above and the provisions of the Plan, to the Director’s designated beneficiary. In the absence of a properly designated beneficiary under the terms of the Plan, any payment due in respect of this Award following the death of Director shall be made to the Director’s estate or personal representative.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rPr>
        <w:t>Amendment of this Agreement</w:t>
      </w:r>
      <w:r>
        <w:rPr>
          <w:rFonts w:ascii="Times New Roman;serif" w:hAnsi="Times New Roman;serif"/>
          <w:b w:val="false"/>
          <w:color w:val="000000"/>
          <w:sz w:val="24"/>
        </w:rPr>
        <w:t xml:space="preserve">. The Board, or its authorized delegate, may at any time amend, suspend or terminate the Plan or amend this Agreement; provided, however, that no amendment, suspension or termination of the Plan or amendment of this Agreement shall adversely affect the Award in any material way without written consent of Director.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rPr>
        <w:t>Notices</w:t>
      </w:r>
      <w:r>
        <w:rPr>
          <w:rFonts w:ascii="Times New Roman;serif" w:hAnsi="Times New Roman;serif"/>
          <w:b w:val="false"/>
          <w:color w:val="000000"/>
          <w:sz w:val="24"/>
        </w:rPr>
        <w:t>. Notices hereunder shall be in writing, and if to the Company, may be delivered personally to the Compensation Department or such other party as designated by the Company or mailed to its principal office at: 7750 Wisconsin Avenue, Bethesda, Maryland 20814, addressed to the attention of the Stock Plan Administrator (Department 935.40), and if to Director, may be delivered personally or mailed to Director at Director’s address on the records of the Company. The Company may also, in its sole discretion, decide to deliver any documents related to Director’s current or future participation in the Plan, this Award, any Shares, or any other Company-related documents by electronic means. By accepting this Award, whether electronically or otherwise, Director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Counterparts</w:t>
      </w:r>
      <w:r>
        <w:rPr>
          <w:rFonts w:ascii="Times New Roman;serif" w:hAnsi="Times New Roman;serif"/>
          <w:b w:val="false"/>
          <w:color w:val="000000"/>
          <w:sz w:val="24"/>
        </w:rPr>
        <w:t>. This Agreement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color w:val="000000"/>
          <w:sz w:val="24"/>
        </w:rPr>
        <w:t xml:space="preserve">IN WITNESS WHEREOF, </w:t>
      </w:r>
      <w:r>
        <w:rPr>
          <w:rFonts w:ascii="Times New Roman;serif" w:hAnsi="Times New Roman;serif"/>
          <w:b w:val="false"/>
          <w:color w:val="000000"/>
          <w:sz w:val="24"/>
        </w:rPr>
        <w:t>the parties hereto have executed this Agreement to be effective as of the Grant Date.</w:t>
      </w:r>
    </w:p>
    <w:p>
      <w:pPr>
        <w:pStyle w:val="TextBody"/>
        <w:bidi w:val="0"/>
        <w:spacing w:before="0" w:after="0"/>
        <w:jc w:val="both"/>
        <w:rPr/>
      </w:pPr>
      <w:r>
        <w:rPr/>
      </w:r>
    </w:p>
    <w:p>
      <w:pPr>
        <w:pStyle w:val="TextBody"/>
        <w:bidi w:val="0"/>
        <w:spacing w:before="0" w:after="0"/>
        <w:ind w:left="0" w:right="0" w:firstLine="490"/>
        <w:jc w:val="left"/>
        <w:rPr/>
      </w:pPr>
      <w:r>
        <w:rPr/>
      </w:r>
    </w:p>
    <w:p>
      <w:pPr>
        <w:pStyle w:val="TextBody"/>
        <w:bidi w:val="0"/>
        <w:spacing w:lineRule="auto" w:line="288" w:before="0" w:after="0"/>
        <w:jc w:val="left"/>
        <w:rPr>
          <w:color w:val="000000"/>
        </w:rPr>
      </w:pPr>
      <w:r>
        <w:rPr>
          <w:color w:val="000000"/>
        </w:rPr>
        <w:t> </w:t>
      </w:r>
    </w:p>
    <w:tbl>
      <w:tblPr>
        <w:tblW w:w="9116" w:type="dxa"/>
        <w:jc w:val="left"/>
        <w:tblInd w:w="0" w:type="dxa"/>
        <w:tblLayout w:type="fixed"/>
        <w:tblCellMar>
          <w:top w:w="28" w:type="dxa"/>
          <w:left w:w="28" w:type="dxa"/>
          <w:bottom w:w="28" w:type="dxa"/>
          <w:right w:w="28" w:type="dxa"/>
        </w:tblCellMar>
      </w:tblPr>
      <w:tblGrid>
        <w:gridCol w:w="2183"/>
        <w:gridCol w:w="1921"/>
        <w:gridCol w:w="1925"/>
        <w:gridCol w:w="109"/>
        <w:gridCol w:w="109"/>
        <w:gridCol w:w="109"/>
        <w:gridCol w:w="807"/>
        <w:gridCol w:w="807"/>
        <w:gridCol w:w="1146"/>
      </w:tblGrid>
      <w:tr>
        <w:trPr/>
        <w:tc>
          <w:tcPr>
            <w:tcW w:w="2183"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MARRIOTT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/s/ Benjamin T. Breland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#PARTICIPANTNAME#</w:t>
            </w:r>
          </w:p>
        </w:tc>
      </w:tr>
      <w:tr>
        <w:trPr/>
        <w:tc>
          <w:tcPr>
            <w:tcW w:w="6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 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Signed Electronically </w:t>
            </w:r>
          </w:p>
        </w:tc>
      </w:tr>
    </w:tbl>
    <w:p>
      <w:pPr>
        <w:pStyle w:val="TextBody"/>
        <w:bidi w:val="0"/>
        <w:spacing w:before="0" w:after="0"/>
        <w:jc w:val="both"/>
        <w:rPr/>
      </w:pPr>
      <w:r>
        <w:rPr/>
      </w:r>
    </w:p>
    <w:p>
      <w:pPr>
        <w:pStyle w:val="TextBody"/>
        <w:bidi w:val="0"/>
        <w:spacing w:before="240" w:after="283"/>
        <w:ind w:left="0" w:right="0" w:firstLine="720"/>
        <w:jc w:val="both"/>
        <w:rPr/>
      </w:pPr>
      <w:r>
        <w:rPr/>
      </w:r>
    </w:p>
    <w:p>
      <w:pPr>
        <w:pStyle w:val="TextBody"/>
        <w:bidi w:val="0"/>
        <w:spacing w:before="4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2023 MARRIOTT INTERNATIONAL,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STOCK AND CASH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NON-EMPLOYEE DIRECTOR DEFERRED FEE AWARD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AGREEMENT (this “Agreement”) is entered into on #GrantDate+C# (the “Grant Date”) by MARRIOTT INTERNATIONAL, INC. (the “Company”) and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#ParticipantName+C# (“Director”).</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Company maintains the 2023 Marriott International, Inc. Stock and Cash Incentive Plan (as the same may be amended from time to time, the “Plan”); </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upon recommendation by the Committee, has awarded Fees to Director;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Director has elected to defer payment of all or a portion of such Fees (“Fee Deferral Election”) in a manner prescribed by the Committee pursuant to Section 12.3 of the Plan.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it is agreed as follows: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rPr>
        <w:t>Prospectus</w:t>
      </w:r>
      <w:r>
        <w:rPr>
          <w:rFonts w:ascii="Times New Roman;serif" w:hAnsi="Times New Roman;serif"/>
          <w:b w:val="false"/>
          <w:color w:val="000000"/>
          <w:sz w:val="24"/>
        </w:rPr>
        <w:t>. Director has been provided with, and hereby acknowledges receipt of, a Prospectus for the Plan, which contains, among other things, a detailed description of the Fee Deferral Election provisions of the Plan (provided that, in the event of any inconsistency between the Prospectus and the Plan, the terms of the Plan shall govern). Director further acknowledges that Director has read the Prospectus and this Agreement and that Director understands the provisions thereof.</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rPr>
        <w:t>Incorporation of Plan and Interpretation</w:t>
      </w:r>
      <w:r>
        <w:rPr>
          <w:rFonts w:ascii="Times New Roman;serif" w:hAnsi="Times New Roman;serif"/>
          <w:b w:val="false"/>
          <w:color w:val="000000"/>
          <w:sz w:val="24"/>
        </w:rPr>
        <w:t>. The provisions of the Plan are incorporated herein by reference and form an integral part of this Agreement. Except as otherwise set forth herein, capitalized terms used herein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designee, with regard to any question arising hereunder or under the Plan, shall be binding and conclusive.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rPr>
        <w:t>Grant of Stock Units</w:t>
      </w:r>
      <w:r>
        <w:rPr>
          <w:rFonts w:ascii="Times New Roman;serif" w:hAnsi="Times New Roman;serif"/>
          <w:b w:val="false"/>
          <w:color w:val="000000"/>
          <w:sz w:val="24"/>
        </w:rPr>
        <w:t>. Subject to the terms and conditions of the Plan and Director’s acceptance of this Agreement, in connection with Director’s Fee Deferral Election, the Company hereby credits, as of the end of the calendar quarter for which Fees were payable, #QuantityGranted+C# Stock Units to Director’s Stock Unit Account. The Stock Unit Account shall also be credited with additional Stock Units as dividend equivalents in accordance with Section 12.3(d) of the Plan. Under this Agreement, the Stock Units credited to the Stock Unit Account, including any Stock Units credited as dividend equivalents, shall be distributed to Director in an equal number of Shares in a lump sum within 30 days following Director’s Termination of Service, unless Director has made an advance election designating another time or form of distribution in a manner designated by the Committee in accordance with Section 12.3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rPr>
        <w:t>Vesting of Stock Units</w:t>
      </w:r>
      <w:r>
        <w:rPr>
          <w:rFonts w:ascii="Times New Roman;serif" w:hAnsi="Times New Roman;serif"/>
          <w:b w:val="false"/>
          <w:color w:val="000000"/>
          <w:sz w:val="24"/>
        </w:rPr>
        <w:t>. All Stock Units credited under the Fee Deferral Election shall be at all times fully vested and nonforfeitable.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rPr>
        <w:t>Rights as a Stockholder</w:t>
      </w:r>
      <w:r>
        <w:rPr>
          <w:rFonts w:ascii="Times New Roman;serif" w:hAnsi="Times New Roman;serif"/>
          <w:b w:val="false"/>
          <w:color w:val="000000"/>
          <w:sz w:val="24"/>
        </w:rPr>
        <w:t xml:space="preserve">. Director shall have no voting, transfer, liquidation, dividend (other than dividend equivalents pursuant to </w:t>
      </w:r>
      <w:r>
        <w:rPr>
          <w:rFonts w:ascii="Times New Roman;serif" w:hAnsi="Times New Roman;serif"/>
          <w:b w:val="false"/>
          <w:color w:val="000000"/>
          <w:sz w:val="24"/>
          <w:u w:val="single"/>
        </w:rPr>
        <w:t>Paragraph 3</w:t>
      </w:r>
      <w:r>
        <w:rPr>
          <w:rFonts w:ascii="Times New Roman;serif" w:hAnsi="Times New Roman;serif"/>
          <w:b w:val="false"/>
          <w:color w:val="000000"/>
          <w:sz w:val="24"/>
        </w:rPr>
        <w:t xml:space="preserve">), or other rights of a stockholder of the Company with respect to the Stock Units, or Shares subject to the Stock Units, prior to such time that the Shares, subject to the Stock Units, are distributed to Director pursuant to </w:t>
      </w:r>
      <w:r>
        <w:rPr>
          <w:rFonts w:ascii="Times New Roman;serif" w:hAnsi="Times New Roman;serif"/>
          <w:b w:val="false"/>
          <w:color w:val="000000"/>
          <w:sz w:val="24"/>
          <w:u w:val="single"/>
        </w:rPr>
        <w:t>Paragraph 3</w:t>
      </w:r>
      <w:r>
        <w:rPr>
          <w:rFonts w:ascii="Times New Roman;serif" w:hAnsi="Times New Roman;serif"/>
          <w:b w:val="false"/>
          <w:color w:val="000000"/>
          <w:sz w:val="24"/>
        </w:rPr>
        <w: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rPr>
        <w:t>Nontransferability</w:t>
      </w:r>
      <w:r>
        <w:rPr>
          <w:rFonts w:ascii="Times New Roman;serif" w:hAnsi="Times New Roman;serif"/>
          <w:b w:val="false"/>
          <w:color w:val="000000"/>
          <w:sz w:val="24"/>
        </w:rPr>
        <w:t xml:space="preserve">. The Stock Units shall not be sold, transferred, pledged, assigned, or otherwise alienated or hypothecated, other than by will or the laws of descent and distribution.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rPr>
        <w:t>Successors and Assigns</w:t>
      </w:r>
      <w:r>
        <w:rPr>
          <w:rFonts w:ascii="Times New Roman;serif" w:hAnsi="Times New Roman;serif"/>
          <w:b w:val="false"/>
          <w:color w:val="000000"/>
          <w:sz w:val="24"/>
        </w:rPr>
        <w:t xml:space="preserve">. This Agreement shall bind and inure to the benefit of the parties hereto and the successors and assigns of the Company and, to the extent provided in </w:t>
      </w:r>
      <w:r>
        <w:rPr>
          <w:rFonts w:ascii="Times New Roman;serif" w:hAnsi="Times New Roman;serif"/>
          <w:b w:val="false"/>
          <w:color w:val="000000"/>
          <w:sz w:val="24"/>
          <w:u w:val="single"/>
        </w:rPr>
        <w:t>Paragraph 6</w:t>
      </w:r>
      <w:r>
        <w:rPr>
          <w:color w:val="000000"/>
        </w:rPr>
        <w:t xml:space="preserve"> </w:t>
      </w:r>
      <w:r>
        <w:rPr>
          <w:rFonts w:ascii="Times New Roman;serif" w:hAnsi="Times New Roman;serif"/>
          <w:b w:val="false"/>
          <w:color w:val="000000"/>
          <w:sz w:val="24"/>
        </w:rPr>
        <w:t>above and the provisions of the Plan, to Director’s designated beneficiary. In the absence of a properly designated beneficiary under the terms of the Plan, any payment due in respect of the Stock Units following the death of Director shall be made to the Director’s estate or personal representative.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rPr>
        <w:t>Amendment of this Agreement</w:t>
      </w:r>
      <w:r>
        <w:rPr>
          <w:rFonts w:ascii="Times New Roman;serif" w:hAnsi="Times New Roman;serif"/>
          <w:b w:val="false"/>
          <w:color w:val="000000"/>
          <w:sz w:val="24"/>
        </w:rPr>
        <w:t xml:space="preserve">. The Board, or its authorized delegate, may at any time amend, suspend or terminate the Plan or amend this Agreement; provided, however, that no amendment, suspension or termination of the Plan or amendment of this Agreement shall adversely affect the Stock Units in any material way without written consent of Director.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rPr>
        <w:t>Notices</w:t>
      </w:r>
      <w:r>
        <w:rPr>
          <w:rFonts w:ascii="Times New Roman;serif" w:hAnsi="Times New Roman;serif"/>
          <w:b w:val="false"/>
          <w:color w:val="000000"/>
          <w:sz w:val="24"/>
        </w:rPr>
        <w:t>. Notices hereunder shall be in writing, and if to the Company, may be delivered personally to the Compensation Department or such other party as designated by the Company or mailed to its principal office at: 7750 Wisconsin Avenue, Bethesda, Maryland 20814, addressed to the attention of the Stock Plan Administrator (Department 935.40), and if to Director, may be delivered personally or mailed to Director at Director’s address on the records of the Company. The Company may also, in its sole discretion, decide to deliver any documents related to Director’s current or future participation in the Plan, the Stock Units, any Shares, or any other Company-related documents by electronic means. By accepting this Agreement, whether electronically or otherwise, Director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Counterparts</w:t>
      </w:r>
      <w:r>
        <w:rPr>
          <w:rFonts w:ascii="Times New Roman;serif" w:hAnsi="Times New Roman;serif"/>
          <w:b w:val="false"/>
          <w:color w:val="000000"/>
          <w:sz w:val="24"/>
        </w:rPr>
        <w:t>. This Agreement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color w:val="000000"/>
          <w:sz w:val="24"/>
        </w:rPr>
        <w:t xml:space="preserve">IN WITNESS WHEREOF, </w:t>
      </w:r>
      <w:r>
        <w:rPr>
          <w:rFonts w:ascii="Times New Roman;serif" w:hAnsi="Times New Roman;serif"/>
          <w:b w:val="false"/>
          <w:color w:val="000000"/>
          <w:sz w:val="24"/>
        </w:rPr>
        <w:t>the parties hereto have executed this Agreement to be effective as of the Grant Date.</w:t>
      </w:r>
    </w:p>
    <w:p>
      <w:pPr>
        <w:pStyle w:val="TextBody"/>
        <w:bidi w:val="0"/>
        <w:spacing w:before="0" w:after="0"/>
        <w:jc w:val="both"/>
        <w:rPr/>
      </w:pPr>
      <w:r>
        <w:rPr/>
      </w:r>
    </w:p>
    <w:p>
      <w:pPr>
        <w:pStyle w:val="TextBody"/>
        <w:bidi w:val="0"/>
        <w:spacing w:before="0" w:after="0"/>
        <w:ind w:left="0" w:right="0" w:firstLine="490"/>
        <w:jc w:val="left"/>
        <w:rPr/>
      </w:pPr>
      <w:r>
        <w:rPr/>
      </w:r>
    </w:p>
    <w:p>
      <w:pPr>
        <w:pStyle w:val="TextBody"/>
        <w:bidi w:val="0"/>
        <w:spacing w:lineRule="auto" w:line="288" w:before="0" w:after="0"/>
        <w:jc w:val="left"/>
        <w:rPr>
          <w:color w:val="000000"/>
        </w:rPr>
      </w:pPr>
      <w:r>
        <w:rPr>
          <w:color w:val="000000"/>
        </w:rPr>
        <w:t> </w:t>
      </w:r>
    </w:p>
    <w:tbl>
      <w:tblPr>
        <w:tblW w:w="9116" w:type="dxa"/>
        <w:jc w:val="left"/>
        <w:tblInd w:w="0" w:type="dxa"/>
        <w:tblLayout w:type="fixed"/>
        <w:tblCellMar>
          <w:top w:w="28" w:type="dxa"/>
          <w:left w:w="28" w:type="dxa"/>
          <w:bottom w:w="28" w:type="dxa"/>
          <w:right w:w="28" w:type="dxa"/>
        </w:tblCellMar>
      </w:tblPr>
      <w:tblGrid>
        <w:gridCol w:w="2183"/>
        <w:gridCol w:w="1921"/>
        <w:gridCol w:w="1925"/>
        <w:gridCol w:w="109"/>
        <w:gridCol w:w="109"/>
        <w:gridCol w:w="109"/>
        <w:gridCol w:w="807"/>
        <w:gridCol w:w="807"/>
        <w:gridCol w:w="1146"/>
      </w:tblGrid>
      <w:tr>
        <w:trPr/>
        <w:tc>
          <w:tcPr>
            <w:tcW w:w="2183"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MARRIOTT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/s/ Benjamin T. Breland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#PARTICIPANTNAME#</w:t>
            </w:r>
          </w:p>
        </w:tc>
      </w:tr>
      <w:tr>
        <w:trPr/>
        <w:tc>
          <w:tcPr>
            <w:tcW w:w="6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 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Signed Electronically </w:t>
            </w:r>
          </w:p>
        </w:tc>
      </w:tr>
    </w:tbl>
    <w:p>
      <w:pPr>
        <w:pStyle w:val="TextBody"/>
        <w:bidi w:val="0"/>
        <w:spacing w:before="0" w:after="0"/>
        <w:jc w:val="both"/>
        <w:rPr/>
      </w:pPr>
      <w:r>
        <w:rPr/>
      </w:r>
    </w:p>
    <w:p>
      <w:pPr>
        <w:pStyle w:val="TextBody"/>
        <w:bidi w:val="0"/>
        <w:spacing w:before="240" w:after="283"/>
        <w:ind w:left="0" w:right="0" w:firstLine="720"/>
        <w:jc w:val="both"/>
        <w:rPr/>
      </w:pPr>
      <w:r>
        <w:rPr/>
      </w:r>
    </w:p>
    <w:p>
      <w:pPr>
        <w:pStyle w:val="TextBody"/>
        <w:bidi w:val="0"/>
        <w:spacing w:before="4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2023 MARRIOTT INTERNATIONAL,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STOCK AND CASH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NON-EMPLOYEE DIRECTOR STOCK APPRECIATION RIGHT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AGREEMENT (this “Agreement”) is entered into on #GrantDate+C#</w:t>
      </w:r>
      <w:r>
        <w:rPr>
          <w:color w:val="000000"/>
        </w:rPr>
        <w:t xml:space="preserve"> </w:t>
      </w:r>
      <w:r>
        <w:rPr>
          <w:rFonts w:ascii="Times New Roman;serif" w:hAnsi="Times New Roman;serif"/>
          <w:b w:val="false"/>
          <w:color w:val="000000"/>
          <w:sz w:val="24"/>
        </w:rPr>
        <w:t xml:space="preserve">(the “Grant Date”) by MARRIOTT INTERNATIONAL, INC. (the “Company”)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#ParticipantName+C# (“Director”).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Company maintains the 2023 Marriott International, Inc. Stock and Cash Incentive Plan (as the same may be amended from time to time, the “Plan”);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upon recommendation by the Committee, has awarded Fees to Director;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Director has elected to receive all or a portion of such Fees in the form of a stock appreciation right (“SAR” or “SARs”) in a manner prescribed by the Committee pursuant to the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NOW, THEREFORE, it is agreed as follows: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rPr>
        <w:t>Prospectus</w:t>
      </w:r>
      <w:r>
        <w:rPr>
          <w:rFonts w:ascii="Times New Roman;serif" w:hAnsi="Times New Roman;serif"/>
          <w:b w:val="false"/>
          <w:color w:val="000000"/>
          <w:sz w:val="24"/>
        </w:rPr>
        <w:t>. Director has been provided with, and hereby acknowledges receipt of, a Prospectus for the Plan which contains, among other things, a detailed description of the SARs provisions of the Plan (provided that, in the event of any inconsistency between the Prospectus and the Plan, the terms of the Plan shall govern). Director further acknowledges that Director has read the Prospectus and this Agreement and that Director understands the provisions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rPr>
        <w:t>Incorporation of Plan and Interpretation</w:t>
      </w:r>
      <w:r>
        <w:rPr>
          <w:rFonts w:ascii="Times New Roman;serif" w:hAnsi="Times New Roman;serif"/>
          <w:b w:val="false"/>
          <w:color w:val="000000"/>
          <w:sz w:val="24"/>
        </w:rPr>
        <w:t xml:space="preserve">. The provisions of the Plan are incorporated herein by reference and form an integral part of this Agreement. Except as otherwise set forth herein, capitalized terms used herein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designee, with regard to any question arising hereunder or under the Plan, shall be binding and conclusive.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rPr>
        <w:t>Grant of SARs.</w:t>
      </w:r>
      <w:r>
        <w:rPr>
          <w:color w:val="000000"/>
        </w:rPr>
        <w:t xml:space="preserve"> </w:t>
      </w:r>
      <w:r>
        <w:rPr>
          <w:rFonts w:ascii="Times New Roman;serif" w:hAnsi="Times New Roman;serif"/>
          <w:b w:val="false"/>
          <w:color w:val="000000"/>
          <w:sz w:val="24"/>
        </w:rPr>
        <w:t xml:space="preserve">Subject to the terms and conditions of the Plan and Director’s acceptance of this Agreement, the Company hereby grants to Director, as of the Grant Date, SARs with respect to #QuantityGranted+C# Shares (the “SAR Shares”). Under this Agreement, upon exercising the SARs, and subject to satisfying the conditions for exercising SARs as set forth in </w:t>
      </w:r>
      <w:r>
        <w:rPr>
          <w:rFonts w:ascii="Times New Roman;serif" w:hAnsi="Times New Roman;serif"/>
          <w:b w:val="false"/>
          <w:color w:val="000000"/>
          <w:sz w:val="24"/>
          <w:u w:val="single"/>
        </w:rPr>
        <w:t>Paragraphs 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 xml:space="preserve">below, Director shall receive a number of Shares equal to (a) the number of SAR Shares that are being exercised hereunder,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(b) the quotient of (i) the Fair Market Value of a Share on the date the SAR is exercised (the “Final Value”), </w:t>
      </w:r>
      <w:r>
        <w:rPr>
          <w:rFonts w:ascii="Times New Roman;serif" w:hAnsi="Times New Roman;serif"/>
          <w:b w:val="false"/>
          <w:i/>
          <w:color w:val="000000"/>
          <w:sz w:val="24"/>
        </w:rPr>
        <w:t>minus the</w:t>
      </w:r>
      <w:r>
        <w:rPr>
          <w:color w:val="000000"/>
        </w:rPr>
        <w:t xml:space="preserve"> </w:t>
      </w:r>
      <w:r>
        <w:rPr>
          <w:rFonts w:ascii="Times New Roman;serif" w:hAnsi="Times New Roman;serif"/>
          <w:b w:val="false"/>
          <w:color w:val="000000"/>
          <w:sz w:val="24"/>
        </w:rPr>
        <w:t xml:space="preserve">Exercise Price, </w:t>
      </w:r>
      <w:r>
        <w:rPr>
          <w:rFonts w:ascii="Times New Roman;serif" w:hAnsi="Times New Roman;serif"/>
          <w:b w:val="false"/>
          <w:i/>
          <w:color w:val="000000"/>
          <w:sz w:val="24"/>
        </w:rPr>
        <w:t>divided by</w:t>
      </w:r>
      <w:r>
        <w:rPr>
          <w:color w:val="000000"/>
        </w:rPr>
        <w:t xml:space="preserve"> </w:t>
      </w:r>
      <w:r>
        <w:rPr>
          <w:rFonts w:ascii="Times New Roman;serif" w:hAnsi="Times New Roman;serif"/>
          <w:b w:val="false"/>
          <w:color w:val="000000"/>
          <w:sz w:val="24"/>
        </w:rPr>
        <w:t>(ii) the Final Value.</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rPr>
        <w:t>Exercise Price.</w:t>
      </w:r>
      <w:r>
        <w:rPr>
          <w:color w:val="000000"/>
        </w:rPr>
        <w:t xml:space="preserve"> </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Paragraph 8</w:t>
      </w:r>
      <w:r>
        <w:rPr>
          <w:color w:val="000000"/>
        </w:rPr>
        <w:t xml:space="preserve"> </w:t>
      </w:r>
      <w:r>
        <w:rPr>
          <w:rFonts w:ascii="Times New Roman;serif" w:hAnsi="Times New Roman;serif"/>
          <w:b w:val="false"/>
          <w:color w:val="000000"/>
          <w:sz w:val="24"/>
        </w:rPr>
        <w:t>hereof, the Exercise Price per SAR Share is #GrantPrice+C#.</w:t>
      </w:r>
    </w:p>
    <w:p>
      <w:pPr>
        <w:pStyle w:val="TextBody"/>
        <w:bidi w:val="0"/>
        <w:spacing w:before="0" w:after="24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rPr>
        <w:t>Exercise Dates.</w:t>
      </w:r>
      <w:r>
        <w:rPr>
          <w:color w:val="000000"/>
        </w:rPr>
        <w:t xml:space="preserve"> </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Paragraph 8</w:t>
      </w:r>
      <w:r>
        <w:rPr>
          <w:color w:val="000000"/>
        </w:rPr>
        <w:t xml:space="preserve"> </w:t>
      </w:r>
      <w:r>
        <w:rPr>
          <w:rFonts w:ascii="Times New Roman;serif" w:hAnsi="Times New Roman;serif"/>
          <w:b w:val="false"/>
          <w:color w:val="000000"/>
          <w:sz w:val="24"/>
        </w:rPr>
        <w:t xml:space="preserve">hereof, the SAR Shares may be exercised commencing on the first exercisable date and at any time thereafter; provided, however, that the SARs shall not be exercisable after the tenth anniversary of the Grant Date (the “Final Expiration Date”) or sooner as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 xml:space="preserve">, if applicable. Exercise of the SARs shall not be dependent upon the prior or sequential exercise of any other SARs previously granted to Director by the Company. </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rPr>
        <w:t>Method of Exercising SARs.</w:t>
      </w:r>
      <w:r>
        <w:rPr>
          <w:color w:val="000000"/>
        </w:rPr>
        <w:t xml:space="preserve"> </w:t>
      </w:r>
      <w:r>
        <w:rPr>
          <w:rFonts w:ascii="Times New Roman;serif" w:hAnsi="Times New Roman;serif"/>
          <w:b w:val="false"/>
          <w:color w:val="000000"/>
          <w:sz w:val="24"/>
        </w:rPr>
        <w:t>To exercise the SARs, the person entitled to exercise the SARs must provide a signed written notice or its equivalent to the Committee,</w:t>
      </w:r>
      <w:r>
        <w:rPr>
          <w:color w:val="0000FF"/>
        </w:rPr>
        <w:t xml:space="preserve"> </w:t>
      </w:r>
      <w:r>
        <w:rPr>
          <w:rFonts w:ascii="Times New Roman;serif" w:hAnsi="Times New Roman;serif"/>
          <w:b w:val="false"/>
          <w:color w:val="000000"/>
          <w:sz w:val="24"/>
        </w:rPr>
        <w:t>or its designee, in the manner prescribed by the Committee, stating the number of SAR Shares with respect to which the SARs are being exercised. Upon satisfying the conditions for exercise, the Company shall provide confirmation from the Plan recordkeeper that the transfer agent for the Shares is holding Shares for the account of such person in a certificateless account. The exercise of the SARs may be made by any other means that the Committee determines to be consistent with the Plan’s purpose and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rPr>
        <w:t xml:space="preserve">Effect of Termination of Service. </w:t>
      </w:r>
      <w:r>
        <w:rPr>
          <w:rFonts w:ascii="Times New Roman;serif" w:hAnsi="Times New Roman;serif"/>
          <w:b w:val="false"/>
          <w:color w:val="000000"/>
          <w:sz w:val="24"/>
        </w:rPr>
        <w:t xml:space="preserve">If Director experiences a Termination of Service for any reason except death prior to the next Annual Meeting of Stockholders of the Company following the Grant Date, (i) a pro-rated portion of the SARs, based on the number of days that has elapsed from the Company’s last Annual Meeting of Stockholders to the Director’s Termination of Service, shall become exercisable in accordance with </w:t>
      </w:r>
      <w:r>
        <w:rPr>
          <w:rFonts w:ascii="Times New Roman;serif" w:hAnsi="Times New Roman;serif"/>
          <w:b w:val="false"/>
          <w:color w:val="000000"/>
          <w:sz w:val="24"/>
          <w:u w:val="single"/>
        </w:rPr>
        <w:t>Paragraph 5</w:t>
      </w:r>
      <w:r>
        <w:rPr>
          <w:color w:val="000000"/>
        </w:rPr>
        <w:t xml:space="preserve"> </w:t>
      </w:r>
      <w:r>
        <w:rPr>
          <w:rFonts w:ascii="Times New Roman;serif" w:hAnsi="Times New Roman;serif"/>
          <w:b w:val="false"/>
          <w:color w:val="000000"/>
          <w:sz w:val="24"/>
        </w:rPr>
        <w:t xml:space="preserve">above and remain exercisable until the Final Expiration Date, and (ii) the remaining SARs shall be automatically forfeited on the date of such Termination of Service. For a Termination of Service other than due to death after the next Annual Meeting of Stockholders of the Company following the Grant Date, all of the SARs granted hereunder will become exercisable in accordance with </w:t>
      </w:r>
      <w:r>
        <w:rPr>
          <w:rFonts w:ascii="Times New Roman;serif" w:hAnsi="Times New Roman;serif"/>
          <w:b w:val="false"/>
          <w:color w:val="000000"/>
          <w:sz w:val="24"/>
          <w:u w:val="single"/>
        </w:rPr>
        <w:t>Paragraph 5</w:t>
      </w:r>
      <w:r>
        <w:rPr>
          <w:color w:val="000000"/>
        </w:rPr>
        <w:t xml:space="preserve"> </w:t>
      </w:r>
      <w:r>
        <w:rPr>
          <w:rFonts w:ascii="Times New Roman;serif" w:hAnsi="Times New Roman;serif"/>
          <w:b w:val="false"/>
          <w:color w:val="000000"/>
          <w:sz w:val="24"/>
        </w:rPr>
        <w:t>above and remain exercisable until the Final Expiration Date. In the event of the death of Director, all outstanding SARs shall remain exercisable (or become exercisable and remain exercisable) by Director’s beneficiary (or personal representative or estate, as applicable) at any time prior to the expiration of one year from the date of the death of Director, but in no event after the Final Expiration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rPr>
        <w:t xml:space="preserve">General Restriction. </w:t>
      </w:r>
      <w:r>
        <w:rPr>
          <w:rFonts w:ascii="Times New Roman;serif" w:hAnsi="Times New Roman;serif"/>
          <w:b w:val="false"/>
          <w:color w:val="000000"/>
          <w:sz w:val="24"/>
        </w:rPr>
        <w:t>In accordance with the terms of the Plan, the Company may, under certain circumstances, limit or suspend the exercisability of the SARs or the purchase or issuance of SAR Shares thereunder. Any delay caused thereby shall in no way affect the Final Expiration Date of the SARs.</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rPr>
        <w:t>Rights as a Shareholder.</w:t>
      </w:r>
      <w:r>
        <w:rPr>
          <w:color w:val="000000"/>
        </w:rPr>
        <w:t xml:space="preserve"> </w:t>
      </w:r>
      <w:r>
        <w:rPr>
          <w:rFonts w:ascii="Times New Roman;serif" w:hAnsi="Times New Roman;serif"/>
          <w:b w:val="false"/>
          <w:color w:val="000000"/>
          <w:sz w:val="24"/>
        </w:rPr>
        <w:t>Director shall have no rights as a shareholder with respect to any SAR Shares covered by the SARs granted hereby, until the date of acquisition by Director of such SAR Shares. No adjustment shall be made for dividends or other rights for which the record date is prior to such date of acquisition of such SAR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rPr>
        <w:t xml:space="preserve">Nontransferability. </w:t>
      </w:r>
      <w:r>
        <w:rPr>
          <w:rFonts w:ascii="Times New Roman;serif" w:hAnsi="Times New Roman;serif"/>
          <w:b w:val="false"/>
          <w:color w:val="000000"/>
          <w:sz w:val="24"/>
        </w:rPr>
        <w:t xml:space="preserve">The SARs shall not be sold, transferred, pledged, assigned, or otherwise alienated or hypothecated, other than by will or by the laws of descent and distribution. The SARs shall be exercisable during Director’s lifetime only by Director.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 xml:space="preserve">Successors and Assigns. </w:t>
      </w:r>
      <w:r>
        <w:rPr>
          <w:rFonts w:ascii="Times New Roman;serif" w:hAnsi="Times New Roman;serif"/>
          <w:b w:val="false"/>
          <w:color w:val="000000"/>
          <w:sz w:val="24"/>
        </w:rPr>
        <w:t xml:space="preserve">This Agreement shall bind and inure to the benefit of the parties hereto and the successors and assigns of the Company and, to the extent provided in </w:t>
      </w:r>
      <w:r>
        <w:rPr>
          <w:rFonts w:ascii="Times New Roman;serif" w:hAnsi="Times New Roman;serif"/>
          <w:b w:val="false"/>
          <w:color w:val="000000"/>
          <w:sz w:val="24"/>
          <w:u w:val="single"/>
        </w:rPr>
        <w:t>Paragraphs 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w:t>
      </w:r>
      <w:r>
        <w:rPr>
          <w:color w:val="000000"/>
        </w:rPr>
        <w:t xml:space="preserve"> </w:t>
      </w:r>
      <w:r>
        <w:rPr>
          <w:rFonts w:ascii="Times New Roman;serif" w:hAnsi="Times New Roman;serif"/>
          <w:b w:val="false"/>
          <w:color w:val="000000"/>
          <w:sz w:val="24"/>
        </w:rPr>
        <w:t>above and the provisions of the Plan, to the Director’s designated beneficiary. In the absence of a properly designated beneficiary under the terms of the Plan, any payment due in respect of the SARs following the death of Director shall be made to the Director’s estate or personal representative.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Amendment of this Agreement</w:t>
      </w:r>
      <w:r>
        <w:rPr>
          <w:rFonts w:ascii="Times New Roman;serif" w:hAnsi="Times New Roman;serif"/>
          <w:b w:val="false"/>
          <w:color w:val="000000"/>
          <w:sz w:val="24"/>
        </w:rPr>
        <w:t xml:space="preserve">. The Board, or its authorized delegate, may at any time amend, suspend or terminate the Plan or amend this Agreement; provided, however, </w:t>
      </w:r>
    </w:p>
    <w:p>
      <w:pPr>
        <w:pStyle w:val="TextBody"/>
        <w:bidi w:val="0"/>
        <w:spacing w:before="0" w:after="24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that no amendment, suspension or termination of the Plan or amendment of this Agreement shall adversely affect the SARs in any material way without written consent of Director.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Notices</w:t>
      </w:r>
      <w:r>
        <w:rPr>
          <w:rFonts w:ascii="Times New Roman;serif" w:hAnsi="Times New Roman;serif"/>
          <w:b w:val="false"/>
          <w:color w:val="000000"/>
          <w:sz w:val="24"/>
        </w:rPr>
        <w:t>. Notices hereunder shall be in writing, and if to the Company, may be delivered personally to the Compensation Department or such other party as designated by the Company or mailed to its principal office at: 7750 Wisconsin Avenue, Bethesda, Maryland 20814, addressed to the attention of the Stock Plan Administrator (Department 935.40), and if to Director, may be delivered personally or mailed to Director at Director’s address on the records of the Company. The Company may also, in its sole discretion, decide to deliver any documents related to Director’s current or future participation in the Plan, the SARs, any Shares, or any other Company-related documents by electronic means. By accepting this Agreement, whether electronically or otherwise, Director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Counterparts</w:t>
      </w:r>
      <w:r>
        <w:rPr>
          <w:rFonts w:ascii="Times New Roman;serif" w:hAnsi="Times New Roman;serif"/>
          <w:b w:val="false"/>
          <w:color w:val="000000"/>
          <w:sz w:val="24"/>
        </w:rPr>
        <w:t>. This Agreement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240"/>
        <w:ind w:left="0" w:right="0" w:firstLine="720"/>
        <w:jc w:val="both"/>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IN WITNESS WHEREOF, </w:t>
      </w:r>
      <w:r>
        <w:rPr>
          <w:rFonts w:ascii="Times New Roman;serif" w:hAnsi="Times New Roman;serif"/>
          <w:b w:val="false"/>
          <w:color w:val="000000"/>
          <w:sz w:val="24"/>
        </w:rPr>
        <w:t>the parties hereto have executed this Agreement to be effective as of the Grant Date.</w:t>
      </w:r>
    </w:p>
    <w:p>
      <w:pPr>
        <w:pStyle w:val="TextBody"/>
        <w:bidi w:val="0"/>
        <w:spacing w:lineRule="auto" w:line="288" w:before="0" w:after="240"/>
        <w:jc w:val="both"/>
        <w:rPr>
          <w:color w:val="000000"/>
        </w:rPr>
      </w:pPr>
      <w:r>
        <w:rPr>
          <w:color w:val="000000"/>
        </w:rPr>
        <w:t> </w:t>
      </w:r>
    </w:p>
    <w:tbl>
      <w:tblPr>
        <w:tblW w:w="9116" w:type="dxa"/>
        <w:jc w:val="left"/>
        <w:tblInd w:w="0" w:type="dxa"/>
        <w:tblLayout w:type="fixed"/>
        <w:tblCellMar>
          <w:top w:w="28" w:type="dxa"/>
          <w:left w:w="28" w:type="dxa"/>
          <w:bottom w:w="28" w:type="dxa"/>
          <w:right w:w="28" w:type="dxa"/>
        </w:tblCellMar>
      </w:tblPr>
      <w:tblGrid>
        <w:gridCol w:w="2183"/>
        <w:gridCol w:w="1921"/>
        <w:gridCol w:w="1925"/>
        <w:gridCol w:w="109"/>
        <w:gridCol w:w="109"/>
        <w:gridCol w:w="109"/>
        <w:gridCol w:w="807"/>
        <w:gridCol w:w="807"/>
        <w:gridCol w:w="1146"/>
      </w:tblGrid>
      <w:tr>
        <w:trPr/>
        <w:tc>
          <w:tcPr>
            <w:tcW w:w="2183"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MARRIOTT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DIRECTOR</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40"/>
              <w:jc w:val="both"/>
              <w:rPr>
                <w:color w:val="000000"/>
              </w:rPr>
            </w:pPr>
            <w:r>
              <w:rPr>
                <w:color w:val="000000"/>
              </w:rPr>
              <w:t> </w:t>
            </w:r>
            <w:r>
              <w:rPr>
                <w:rFonts w:ascii="Times New Roman;serif" w:hAnsi="Times New Roman;serif"/>
                <w:b w:val="false"/>
                <w:color w:val="000000"/>
                <w:sz w:val="24"/>
              </w:rPr>
              <w:t>/s/ Benjamin T. Breland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40"/>
              <w:jc w:val="both"/>
              <w:rPr>
                <w:color w:val="000000"/>
              </w:rPr>
            </w:pPr>
            <w:r>
              <w:rPr>
                <w:color w:val="000000"/>
              </w:rPr>
              <w:t> </w:t>
            </w:r>
            <w:r>
              <w:rPr>
                <w:rFonts w:ascii="Times New Roman;serif" w:hAnsi="Times New Roman;serif"/>
                <w:b w:val="false"/>
                <w:color w:val="000000"/>
                <w:sz w:val="24"/>
              </w:rPr>
              <w:t>#PARTICIPANTNAME#</w:t>
            </w:r>
          </w:p>
        </w:tc>
      </w:tr>
      <w:tr>
        <w:trPr/>
        <w:tc>
          <w:tcPr>
            <w:tcW w:w="6029"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 Vice President and 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Signed Electronically </w:t>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13a-14(a)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Anthony G. Capuano, certify that: </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Marriott International,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959" w:type="dxa"/>
        <w:jc w:val="center"/>
        <w:tblInd w:w="0" w:type="dxa"/>
        <w:tblLayout w:type="fixed"/>
        <w:tblCellMar>
          <w:top w:w="28" w:type="dxa"/>
          <w:left w:w="28" w:type="dxa"/>
          <w:bottom w:w="28" w:type="dxa"/>
          <w:right w:w="28" w:type="dxa"/>
        </w:tblCellMar>
      </w:tblPr>
      <w:tblGrid>
        <w:gridCol w:w="493"/>
        <w:gridCol w:w="435"/>
        <w:gridCol w:w="437"/>
        <w:gridCol w:w="758"/>
        <w:gridCol w:w="758"/>
        <w:gridCol w:w="107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G. Capuano</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Anthony G. Capuano</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w:t>
              <w:br/>
              <w:t>Chief Executive Officer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(Principal Executive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13a-14(a)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Jennifer C. Mason, certify that: </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Marriott International,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945" w:type="dxa"/>
        <w:jc w:val="center"/>
        <w:tblInd w:w="0" w:type="dxa"/>
        <w:tblLayout w:type="fixed"/>
        <w:tblCellMar>
          <w:top w:w="28" w:type="dxa"/>
          <w:left w:w="28" w:type="dxa"/>
          <w:bottom w:w="28" w:type="dxa"/>
          <w:right w:w="28" w:type="dxa"/>
        </w:tblCellMar>
      </w:tblPr>
      <w:tblGrid>
        <w:gridCol w:w="493"/>
        <w:gridCol w:w="435"/>
        <w:gridCol w:w="437"/>
        <w:gridCol w:w="753"/>
        <w:gridCol w:w="753"/>
        <w:gridCol w:w="107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Jennifer C. Mason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Jennifer C. Mason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br/>
              <w:t>Chief Financial Officer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13a-14(b) and Section 906 of the Sarbanes-Oxley Act of 2002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Sections 1350(a) and (b))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Anthony G. Capuano, President and Chief Executive Officer of Marriott International, Inc. (the “Company”) certify that: </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“Quarterly Report”) fully complies with the requirements of section 13(a) or 15(d) of the Securities Exchange Act of 1934 (15 U.S.C. 78m or 78o(d));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959" w:type="dxa"/>
        <w:jc w:val="center"/>
        <w:tblInd w:w="0" w:type="dxa"/>
        <w:tblLayout w:type="fixed"/>
        <w:tblCellMar>
          <w:top w:w="28" w:type="dxa"/>
          <w:left w:w="28" w:type="dxa"/>
          <w:bottom w:w="28" w:type="dxa"/>
          <w:right w:w="28" w:type="dxa"/>
        </w:tblCellMar>
      </w:tblPr>
      <w:tblGrid>
        <w:gridCol w:w="493"/>
        <w:gridCol w:w="435"/>
        <w:gridCol w:w="437"/>
        <w:gridCol w:w="758"/>
        <w:gridCol w:w="758"/>
        <w:gridCol w:w="107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G. Capuano</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Anthony G. Capuano</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w:t>
              <w:br/>
              <w:t>Chief Executive Officer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(Principal Executive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Jennifer C. Mason, Executive Vice President and Chief Financial Officer of Marriott International, Inc. (the “Company”) certify that: </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“Quarterly Report”) fully complies with the requirements of section 13(a) or 15(d) of the Securities Exchange Act of 1934 (15 U.S.C. 78m or 78o(d));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945" w:type="dxa"/>
        <w:jc w:val="center"/>
        <w:tblInd w:w="0" w:type="dxa"/>
        <w:tblLayout w:type="fixed"/>
        <w:tblCellMar>
          <w:top w:w="28" w:type="dxa"/>
          <w:left w:w="28" w:type="dxa"/>
          <w:bottom w:w="28" w:type="dxa"/>
          <w:right w:w="28" w:type="dxa"/>
        </w:tblCellMar>
      </w:tblPr>
      <w:tblGrid>
        <w:gridCol w:w="493"/>
        <w:gridCol w:w="435"/>
        <w:gridCol w:w="437"/>
        <w:gridCol w:w="753"/>
        <w:gridCol w:w="753"/>
        <w:gridCol w:w="107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Jennifer C. Mason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Jennifer C. Mason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br/>
              <w:t>Chief Financial Officer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48286/000118143106048907/rrd127798_15693.htm" TargetMode="External"/><Relationship Id="rId4" Type="http://schemas.openxmlformats.org/officeDocument/2006/relationships/hyperlink" Target="https://www.sec.gov/Archives/edgar/data/1048286/000119312523203849/d467663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15787</Words>
  <Characters>83001</Characters>
  <CharactersWithSpaces>97211</CharactersWithSpaces>
  <Paragraphs>2965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